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48"/>
          <w:szCs w:val="48"/>
        </w:rPr>
      </w:pPr>
    </w:p>
    <w:p>
      <w:pPr>
        <w:jc w:val="center"/>
        <w:rPr>
          <w:rFonts w:ascii="宋体" w:hAnsi="宋体" w:eastAsia="宋体" w:cs="Arial"/>
          <w:b/>
          <w:bCs/>
          <w:color w:val="auto"/>
          <w:sz w:val="52"/>
          <w:szCs w:val="52"/>
        </w:rPr>
      </w:pPr>
      <w:r>
        <w:rPr>
          <w:rFonts w:hint="eastAsia" w:ascii="宋体" w:hAnsi="宋体" w:eastAsia="宋体" w:cs="Arial"/>
          <w:b/>
          <w:bCs/>
          <w:color w:val="auto"/>
          <w:sz w:val="52"/>
          <w:szCs w:val="52"/>
        </w:rPr>
        <w:t>项目支出绩效评价报告</w:t>
      </w:r>
    </w:p>
    <w:p>
      <w:pPr>
        <w:jc w:val="center"/>
        <w:rPr>
          <w:rFonts w:ascii="宋体" w:hAnsi="宋体" w:eastAsia="宋体" w:cs="Arial"/>
          <w:b/>
          <w:bCs/>
          <w:color w:val="auto"/>
          <w:sz w:val="48"/>
          <w:szCs w:val="48"/>
        </w:rPr>
      </w:pPr>
    </w:p>
    <w:p>
      <w:pPr>
        <w:widowControl/>
        <w:spacing w:line="560" w:lineRule="exact"/>
        <w:jc w:val="center"/>
        <w:rPr>
          <w:rFonts w:ascii="仿宋_GB2312" w:hAnsi="仿宋_GB2312" w:cs="仿宋_GB2312"/>
          <w:b/>
          <w:color w:val="auto"/>
          <w:kern w:val="0"/>
          <w:sz w:val="50"/>
          <w:szCs w:val="50"/>
          <w:lang w:bidi="en-US"/>
        </w:rPr>
      </w:pPr>
      <w:r>
        <w:rPr>
          <w:rFonts w:hint="eastAsia" w:ascii="方正小标宋简体" w:hAnsi="方正小标宋简体" w:eastAsia="方正小标宋简体" w:cs="方正小标宋简体"/>
          <w:color w:val="auto"/>
          <w:kern w:val="0"/>
          <w:sz w:val="36"/>
          <w:szCs w:val="36"/>
        </w:rPr>
        <w:t>（2</w:t>
      </w:r>
      <w:r>
        <w:rPr>
          <w:rFonts w:ascii="方正小标宋简体" w:hAnsi="方正小标宋简体" w:eastAsia="方正小标宋简体" w:cs="方正小标宋简体"/>
          <w:color w:val="auto"/>
          <w:kern w:val="0"/>
          <w:sz w:val="36"/>
          <w:szCs w:val="36"/>
        </w:rPr>
        <w:t>021</w:t>
      </w:r>
      <w:r>
        <w:rPr>
          <w:rFonts w:hint="eastAsia" w:ascii="方正小标宋简体" w:hAnsi="方正小标宋简体" w:eastAsia="方正小标宋简体" w:cs="方正小标宋简体"/>
          <w:color w:val="auto"/>
          <w:kern w:val="0"/>
          <w:sz w:val="36"/>
          <w:szCs w:val="36"/>
        </w:rPr>
        <w:t>年度）</w:t>
      </w: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480" w:lineRule="auto"/>
        <w:jc w:val="center"/>
        <w:rPr>
          <w:rFonts w:ascii="仿宋_GB2312" w:hAnsi="仿宋_GB2312" w:cs="仿宋_GB2312"/>
          <w:b/>
          <w:color w:val="auto"/>
          <w:kern w:val="0"/>
          <w:sz w:val="50"/>
          <w:szCs w:val="50"/>
          <w:lang w:bidi="en-US"/>
        </w:rPr>
      </w:pP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项目名称：2021年优抚对象补助经费</w:t>
      </w:r>
      <w:r>
        <w:rPr>
          <w:rFonts w:ascii="宋体" w:hAnsi="宋体" w:eastAsia="宋体" w:cs="宋体"/>
          <w:color w:val="auto"/>
          <w:kern w:val="0"/>
          <w:sz w:val="32"/>
          <w:szCs w:val="32"/>
        </w:rPr>
        <w:t xml:space="preserve"> </w:t>
      </w:r>
    </w:p>
    <w:p>
      <w:pPr>
        <w:spacing w:line="560" w:lineRule="exact"/>
        <w:ind w:firstLine="321" w:firstLineChars="100"/>
        <w:rPr>
          <w:rFonts w:hint="default" w:ascii="宋体" w:hAnsi="宋体" w:eastAsia="宋体" w:cs="仿宋_GB2312"/>
          <w:b/>
          <w:bCs/>
          <w:color w:val="auto"/>
          <w:kern w:val="0"/>
          <w:sz w:val="32"/>
          <w:szCs w:val="32"/>
          <w:lang w:val="en-US" w:eastAsia="zh-CN"/>
        </w:rPr>
      </w:pPr>
      <w:r>
        <w:rPr>
          <w:rFonts w:hint="eastAsia" w:ascii="宋体" w:hAnsi="宋体" w:eastAsia="宋体" w:cs="仿宋_GB2312"/>
          <w:b/>
          <w:bCs/>
          <w:color w:val="auto"/>
          <w:kern w:val="0"/>
          <w:sz w:val="32"/>
          <w:szCs w:val="32"/>
        </w:rPr>
        <w:t>实施单位（公章）：</w:t>
      </w:r>
      <w:r>
        <w:rPr>
          <w:rFonts w:ascii="宋体" w:hAnsi="宋体" w:eastAsia="宋体" w:cs="宋体"/>
          <w:color w:val="auto"/>
          <w:kern w:val="0"/>
          <w:sz w:val="32"/>
          <w:szCs w:val="32"/>
        </w:rPr>
        <w:t xml:space="preserve"> </w:t>
      </w:r>
      <w:r>
        <w:rPr>
          <w:rFonts w:hint="eastAsia" w:ascii="宋体" w:hAnsi="宋体" w:eastAsia="宋体" w:cs="仿宋_GB2312"/>
          <w:b/>
          <w:bCs/>
          <w:color w:val="auto"/>
          <w:kern w:val="0"/>
          <w:sz w:val="32"/>
          <w:szCs w:val="32"/>
          <w:lang w:val="en-US" w:eastAsia="zh-CN"/>
        </w:rPr>
        <w:t>特克斯县退役军人事务局</w:t>
      </w:r>
    </w:p>
    <w:p>
      <w:pPr>
        <w:spacing w:line="560" w:lineRule="exact"/>
        <w:ind w:firstLine="321" w:firstLineChars="100"/>
        <w:rPr>
          <w:rFonts w:ascii="宋体" w:hAnsi="宋体" w:eastAsia="宋体" w:cs="宋体"/>
          <w:color w:val="auto"/>
          <w:kern w:val="0"/>
          <w:sz w:val="32"/>
          <w:szCs w:val="32"/>
        </w:rPr>
      </w:pPr>
      <w:r>
        <w:rPr>
          <w:rFonts w:hint="eastAsia" w:ascii="宋体" w:hAnsi="宋体" w:eastAsia="宋体" w:cs="仿宋_GB2312"/>
          <w:b/>
          <w:bCs/>
          <w:color w:val="auto"/>
          <w:kern w:val="0"/>
          <w:sz w:val="32"/>
          <w:szCs w:val="32"/>
        </w:rPr>
        <w:t>主管部门（公章）：</w:t>
      </w:r>
      <w:r>
        <w:rPr>
          <w:rFonts w:hint="eastAsia" w:ascii="宋体" w:hAnsi="宋体" w:eastAsia="宋体" w:cs="仿宋_GB2312"/>
          <w:b/>
          <w:bCs/>
          <w:color w:val="auto"/>
          <w:kern w:val="0"/>
          <w:sz w:val="32"/>
          <w:szCs w:val="32"/>
          <w:lang w:val="en-US" w:eastAsia="zh-CN"/>
        </w:rPr>
        <w:t>特克斯县人民政府</w:t>
      </w:r>
      <w:r>
        <w:rPr>
          <w:rFonts w:ascii="宋体" w:hAnsi="宋体" w:eastAsia="宋体" w:cs="宋体"/>
          <w:color w:val="auto"/>
          <w:kern w:val="0"/>
          <w:sz w:val="32"/>
          <w:szCs w:val="32"/>
        </w:rPr>
        <w:t xml:space="preserve"> </w:t>
      </w:r>
    </w:p>
    <w:p>
      <w:pPr>
        <w:spacing w:line="560" w:lineRule="exact"/>
        <w:ind w:firstLine="321" w:firstLineChars="100"/>
        <w:rPr>
          <w:rFonts w:hint="default" w:ascii="宋体" w:hAnsi="宋体" w:eastAsia="宋体" w:cs="宋体"/>
          <w:color w:val="auto"/>
          <w:kern w:val="0"/>
          <w:sz w:val="32"/>
          <w:szCs w:val="32"/>
          <w:lang w:val="en-US" w:eastAsia="zh-CN"/>
        </w:rPr>
      </w:pPr>
      <w:r>
        <w:rPr>
          <w:rFonts w:hint="eastAsia" w:ascii="宋体" w:hAnsi="宋体" w:eastAsia="宋体" w:cs="仿宋_GB2312"/>
          <w:b/>
          <w:bCs/>
          <w:color w:val="auto"/>
          <w:kern w:val="0"/>
          <w:sz w:val="32"/>
          <w:szCs w:val="32"/>
        </w:rPr>
        <w:t>项目负责人（签章）：</w:t>
      </w:r>
      <w:r>
        <w:rPr>
          <w:rFonts w:ascii="宋体" w:hAnsi="宋体" w:eastAsia="宋体" w:cs="宋体"/>
          <w:color w:val="auto"/>
          <w:kern w:val="0"/>
          <w:sz w:val="32"/>
          <w:szCs w:val="32"/>
        </w:rPr>
        <w:t xml:space="preserve"> </w:t>
      </w:r>
      <w:r>
        <w:rPr>
          <w:rFonts w:hint="eastAsia" w:ascii="宋体" w:hAnsi="宋体" w:eastAsia="宋体" w:cs="仿宋_GB2312"/>
          <w:b/>
          <w:bCs/>
          <w:color w:val="auto"/>
          <w:kern w:val="0"/>
          <w:sz w:val="32"/>
          <w:szCs w:val="32"/>
          <w:lang w:val="en-US" w:eastAsia="zh-CN"/>
        </w:rPr>
        <w:t>巴合提奴尔·达尼亚尔</w:t>
      </w:r>
    </w:p>
    <w:p>
      <w:pPr>
        <w:spacing w:line="560" w:lineRule="exact"/>
        <w:ind w:firstLine="321" w:firstLineChars="100"/>
        <w:rPr>
          <w:rFonts w:hint="eastAsia" w:ascii="宋体" w:hAnsi="宋体" w:eastAsia="宋体" w:cs="仿宋_GB2312"/>
          <w:b/>
          <w:bCs/>
          <w:color w:val="auto"/>
          <w:kern w:val="0"/>
          <w:sz w:val="32"/>
          <w:szCs w:val="32"/>
          <w:lang w:val="en-US" w:eastAsia="zh-CN"/>
        </w:rPr>
      </w:pPr>
      <w:r>
        <w:rPr>
          <w:rFonts w:hint="eastAsia" w:ascii="宋体" w:hAnsi="宋体" w:eastAsia="宋体" w:cs="仿宋_GB2312"/>
          <w:b/>
          <w:bCs/>
          <w:color w:val="auto"/>
          <w:kern w:val="0"/>
          <w:sz w:val="32"/>
          <w:szCs w:val="32"/>
        </w:rPr>
        <w:t>填报时间：</w:t>
      </w:r>
      <w:r>
        <w:rPr>
          <w:rFonts w:hint="eastAsia" w:ascii="宋体" w:hAnsi="宋体" w:eastAsia="宋体" w:cs="仿宋_GB2312"/>
          <w:b/>
          <w:bCs/>
          <w:color w:val="auto"/>
          <w:kern w:val="0"/>
          <w:sz w:val="32"/>
          <w:szCs w:val="32"/>
          <w:lang w:val="en-US" w:eastAsia="zh-CN"/>
        </w:rPr>
        <w:t>2022年4 月 12日</w:t>
      </w:r>
    </w:p>
    <w:p>
      <w:pPr>
        <w:widowControl/>
        <w:jc w:val="left"/>
        <w:rPr>
          <w:rFonts w:ascii="宋体" w:hAnsi="宋体" w:eastAsia="宋体" w:cs="Arial"/>
          <w:b/>
          <w:bCs/>
          <w:color w:val="auto"/>
          <w:sz w:val="36"/>
          <w:szCs w:val="36"/>
        </w:rPr>
      </w:pPr>
      <w:r>
        <w:rPr>
          <w:rFonts w:ascii="宋体" w:hAnsi="宋体" w:eastAsia="宋体" w:cs="Arial"/>
          <w:b/>
          <w:bCs/>
          <w:color w:val="auto"/>
          <w:sz w:val="36"/>
          <w:szCs w:val="36"/>
        </w:rPr>
        <w:br w:type="page"/>
      </w:r>
    </w:p>
    <w:p>
      <w:pPr>
        <w:jc w:val="center"/>
        <w:rPr>
          <w:rFonts w:ascii="Arial" w:hAnsi="Arial" w:eastAsia="宋体" w:cs="Arial"/>
          <w:b/>
          <w:bCs/>
          <w:color w:val="auto"/>
          <w:sz w:val="36"/>
          <w:szCs w:val="36"/>
        </w:rPr>
      </w:pPr>
      <w:r>
        <w:rPr>
          <w:rFonts w:hint="eastAsia" w:ascii="宋体" w:hAnsi="宋体" w:eastAsia="宋体" w:cs="Arial"/>
          <w:b/>
          <w:bCs/>
          <w:color w:val="auto"/>
          <w:sz w:val="36"/>
          <w:szCs w:val="36"/>
        </w:rPr>
        <w:t>项目支出</w:t>
      </w:r>
      <w:r>
        <w:rPr>
          <w:rFonts w:ascii="宋体" w:hAnsi="宋体" w:eastAsia="宋体" w:cs="Arial"/>
          <w:b/>
          <w:bCs/>
          <w:color w:val="auto"/>
          <w:sz w:val="36"/>
          <w:szCs w:val="36"/>
        </w:rPr>
        <w:t>绩效</w:t>
      </w:r>
      <w:r>
        <w:rPr>
          <w:rFonts w:hint="eastAsia" w:ascii="宋体" w:hAnsi="宋体" w:eastAsia="宋体" w:cs="Arial"/>
          <w:b/>
          <w:bCs/>
          <w:color w:val="auto"/>
          <w:sz w:val="36"/>
          <w:szCs w:val="36"/>
        </w:rPr>
        <w:t>评价报告</w:t>
      </w:r>
    </w:p>
    <w:p>
      <w:pPr>
        <w:jc w:val="center"/>
        <w:rPr>
          <w:rFonts w:ascii="仿宋_GB2312"/>
          <w:color w:val="auto"/>
          <w:szCs w:val="30"/>
        </w:rPr>
      </w:pPr>
    </w:p>
    <w:p>
      <w:pPr>
        <w:pStyle w:val="2"/>
        <w:spacing w:line="360" w:lineRule="auto"/>
        <w:rPr>
          <w:rFonts w:ascii="宋体" w:hAnsi="宋体" w:eastAsia="宋体"/>
          <w:color w:val="auto"/>
          <w:sz w:val="32"/>
          <w:szCs w:val="32"/>
        </w:rPr>
      </w:pPr>
      <w:bookmarkStart w:id="0" w:name="_Toc68703827"/>
      <w:r>
        <w:rPr>
          <w:rFonts w:hint="eastAsia" w:ascii="宋体" w:hAnsi="宋体" w:eastAsia="宋体"/>
          <w:color w:val="auto"/>
          <w:sz w:val="32"/>
          <w:szCs w:val="32"/>
        </w:rPr>
        <w:t>一、基本情况</w:t>
      </w:r>
      <w:bookmarkEnd w:id="0"/>
    </w:p>
    <w:p>
      <w:pPr>
        <w:pStyle w:val="3"/>
        <w:spacing w:line="360" w:lineRule="auto"/>
        <w:rPr>
          <w:rFonts w:ascii="仿宋_GB2312" w:eastAsia="仿宋_GB2312"/>
          <w:b w:val="0"/>
          <w:bCs w:val="0"/>
          <w:color w:val="auto"/>
        </w:rPr>
      </w:pPr>
      <w:bookmarkStart w:id="1" w:name="_Toc68703828"/>
      <w:r>
        <w:rPr>
          <w:rFonts w:hint="eastAsia" w:ascii="仿宋_GB2312" w:eastAsia="仿宋_GB2312"/>
          <w:b w:val="0"/>
          <w:bCs w:val="0"/>
          <w:color w:val="auto"/>
        </w:rPr>
        <w:t>（一）项目概况。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eastAsia="仿宋_GB2312"/>
          <w:color w:val="auto"/>
          <w:lang w:val="en-US" w:eastAsia="zh-CN"/>
        </w:rPr>
      </w:pPr>
      <w:r>
        <w:rPr>
          <w:rFonts w:hint="eastAsia" w:ascii="仿宋_GB2312"/>
          <w:color w:val="auto"/>
        </w:rPr>
        <w:t>1、项目背景</w:t>
      </w:r>
      <w:r>
        <w:rPr>
          <w:rFonts w:hint="eastAsia" w:ascii="仿宋_GB2312"/>
          <w:color w:val="auto"/>
          <w:lang w:val="en-US" w:eastAsia="zh-CN"/>
        </w:rPr>
        <w:t xml:space="preserve"> 根据《中华人民共和国兵役法》、《军人抚恤优待条列》，负责各类优抚对象的优待、抚恤、生活补助和国家机关工作人员伤亡抚恤工作；负责烈士褒扬工作。</w:t>
      </w:r>
      <w:r>
        <w:rPr>
          <w:rStyle w:val="8"/>
          <w:rFonts w:hint="eastAsia" w:ascii="仿宋_GB2312" w:hAnsi="楷体" w:eastAsia="仿宋_GB2312"/>
          <w:b w:val="0"/>
          <w:color w:val="auto"/>
          <w:spacing w:val="-4"/>
          <w:sz w:val="30"/>
          <w:szCs w:val="30"/>
          <w:lang w:val="en-US" w:eastAsia="zh-CN"/>
        </w:rPr>
        <w:t>为了加强财政绩效管理，提高财政资金使用效益，我局开展了</w:t>
      </w:r>
      <w:r>
        <w:rPr>
          <w:rStyle w:val="8"/>
          <w:rFonts w:hint="eastAsia" w:ascii="仿宋_GB2312" w:hAnsi="楷体"/>
          <w:b w:val="0"/>
          <w:color w:val="auto"/>
          <w:spacing w:val="-4"/>
          <w:sz w:val="30"/>
          <w:szCs w:val="30"/>
          <w:lang w:val="en-US" w:eastAsia="zh-CN"/>
        </w:rPr>
        <w:t>优抚对象抚恤和生活补助</w:t>
      </w:r>
      <w:r>
        <w:rPr>
          <w:rStyle w:val="8"/>
          <w:rFonts w:hint="eastAsia" w:ascii="仿宋_GB2312" w:hAnsi="楷体" w:eastAsia="仿宋_GB2312"/>
          <w:b w:val="0"/>
          <w:color w:val="auto"/>
          <w:spacing w:val="-4"/>
          <w:sz w:val="30"/>
          <w:szCs w:val="30"/>
          <w:lang w:val="en-US" w:eastAsia="zh-CN"/>
        </w:rPr>
        <w:t>项目支出绩效评价。</w:t>
      </w:r>
    </w:p>
    <w:p>
      <w:pPr>
        <w:spacing w:line="360" w:lineRule="auto"/>
        <w:ind w:firstLine="600" w:firstLineChars="200"/>
        <w:rPr>
          <w:rFonts w:ascii="仿宋_GB2312"/>
          <w:color w:val="auto"/>
        </w:rPr>
      </w:pPr>
      <w:r>
        <w:rPr>
          <w:rFonts w:hint="eastAsia" w:ascii="仿宋_GB2312"/>
          <w:color w:val="auto"/>
        </w:rPr>
        <w:t>2、主要内容</w:t>
      </w:r>
      <w:r>
        <w:rPr>
          <w:rFonts w:hint="eastAsia"/>
          <w:color w:val="auto"/>
        </w:rPr>
        <w:t>及</w:t>
      </w:r>
      <w:r>
        <w:rPr>
          <w:rFonts w:hint="eastAsia" w:ascii="仿宋_GB2312"/>
          <w:color w:val="auto"/>
        </w:rPr>
        <w:t>实施情况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_GB2312"/>
          <w:color w:val="auto"/>
        </w:rPr>
      </w:pPr>
      <w:r>
        <w:rPr>
          <w:rFonts w:hint="eastAsia" w:ascii="仿宋_GB2312"/>
          <w:color w:val="auto"/>
        </w:rPr>
        <w:t>主要内容：</w:t>
      </w:r>
      <w:r>
        <w:rPr>
          <w:rStyle w:val="8"/>
          <w:rFonts w:hint="eastAsia" w:ascii="仿宋_GB2312" w:hAnsi="楷体"/>
          <w:b w:val="0"/>
          <w:color w:val="auto"/>
          <w:spacing w:val="-4"/>
          <w:sz w:val="30"/>
          <w:szCs w:val="30"/>
          <w:lang w:val="en-US" w:eastAsia="zh-CN"/>
        </w:rPr>
        <w:t>及时足额的发放我县优抚对象抚恤及生活补助，解决全县优抚对象的实际生活困难问题、保障人员生活安定。</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ascii="仿宋_GB2312"/>
          <w:color w:val="auto"/>
        </w:rPr>
      </w:pPr>
      <w:r>
        <w:rPr>
          <w:rFonts w:hint="eastAsia" w:ascii="仿宋_GB2312"/>
          <w:color w:val="auto"/>
        </w:rPr>
        <w:t>实施情况：目前已完成</w:t>
      </w:r>
      <w:r>
        <w:rPr>
          <w:rFonts w:hint="eastAsia" w:ascii="仿宋_GB2312"/>
          <w:color w:val="auto"/>
          <w:lang w:val="en-US" w:eastAsia="zh-CN"/>
        </w:rPr>
        <w:t>2021年全年</w:t>
      </w:r>
      <w:r>
        <w:rPr>
          <w:rStyle w:val="8"/>
          <w:rFonts w:hint="eastAsia" w:ascii="仿宋_GB2312" w:hAnsi="楷体"/>
          <w:b w:val="0"/>
          <w:color w:val="auto"/>
          <w:spacing w:val="-4"/>
          <w:sz w:val="30"/>
          <w:szCs w:val="30"/>
          <w:lang w:val="en-US" w:eastAsia="zh-CN"/>
        </w:rPr>
        <w:t>我县优抚对象抚恤及生活补助，解决全县优抚对象的实际生活困难问题、保障人员生活安定。</w:t>
      </w:r>
    </w:p>
    <w:p>
      <w:pPr>
        <w:spacing w:line="360" w:lineRule="auto"/>
        <w:ind w:firstLine="600" w:firstLineChars="200"/>
        <w:rPr>
          <w:rFonts w:ascii="仿宋_GB2312"/>
          <w:color w:val="auto"/>
        </w:rPr>
      </w:pPr>
      <w:r>
        <w:rPr>
          <w:rFonts w:ascii="仿宋_GB2312"/>
          <w:color w:val="auto"/>
        </w:rPr>
        <w:t>3</w:t>
      </w:r>
      <w:r>
        <w:rPr>
          <w:rFonts w:hint="eastAsia" w:ascii="仿宋_GB2312"/>
          <w:color w:val="auto"/>
        </w:rPr>
        <w:t>、资金投入和使用情况</w:t>
      </w:r>
    </w:p>
    <w:p>
      <w:pPr>
        <w:spacing w:line="360" w:lineRule="auto"/>
        <w:ind w:firstLine="600" w:firstLineChars="200"/>
        <w:rPr>
          <w:color w:val="auto"/>
        </w:rPr>
      </w:pPr>
      <w:r>
        <w:rPr>
          <w:rFonts w:hint="eastAsia"/>
          <w:color w:val="auto"/>
        </w:rPr>
        <w:t>资金投入情况：该项目年初预算数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289</w:t>
      </w:r>
      <w:r>
        <w:rPr>
          <w:rFonts w:hint="eastAsia"/>
          <w:color w:val="auto"/>
        </w:rPr>
        <w:t>万元</w:t>
      </w:r>
      <w:r>
        <w:rPr>
          <w:rFonts w:hint="eastAsia"/>
          <w:color w:val="auto"/>
          <w:lang w:eastAsia="zh-CN"/>
        </w:rPr>
        <w:t>，</w:t>
      </w:r>
      <w:r>
        <w:rPr>
          <w:rFonts w:hint="eastAsia"/>
          <w:color w:val="auto"/>
        </w:rPr>
        <w:t>实际总投入</w:t>
      </w:r>
      <w:r>
        <w:rPr>
          <w:rFonts w:hint="eastAsia"/>
          <w:color w:val="auto"/>
          <w:lang w:val="en-US" w:eastAsia="zh-CN"/>
        </w:rPr>
        <w:t>289</w:t>
      </w:r>
      <w:r>
        <w:rPr>
          <w:rFonts w:hint="eastAsia"/>
          <w:color w:val="auto"/>
        </w:rPr>
        <w:t>万元，该项目资金已全部落实到位，资金来源为</w:t>
      </w:r>
      <w:r>
        <w:rPr>
          <w:rFonts w:hint="eastAsia"/>
          <w:color w:val="auto"/>
          <w:lang w:val="en-US" w:eastAsia="zh-CN"/>
        </w:rPr>
        <w:t>财政拨款</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0</w:t>
      </w:r>
      <w:r>
        <w:rPr>
          <w:rFonts w:hint="eastAsia"/>
          <w:color w:val="auto"/>
        </w:rPr>
        <w:t>万元，全年预算数</w:t>
      </w:r>
      <w:r>
        <w:rPr>
          <w:rFonts w:hint="eastAsia"/>
          <w:color w:val="auto"/>
          <w:lang w:val="en-US" w:eastAsia="zh-CN"/>
        </w:rPr>
        <w:t>289</w:t>
      </w:r>
      <w:r>
        <w:rPr>
          <w:rFonts w:hint="eastAsia"/>
          <w:color w:val="auto"/>
        </w:rPr>
        <w:t>万元，全年执行数</w:t>
      </w:r>
      <w:r>
        <w:rPr>
          <w:rFonts w:hint="eastAsia"/>
          <w:color w:val="auto"/>
          <w:lang w:val="en-US" w:eastAsia="zh-CN"/>
        </w:rPr>
        <w:t>289</w:t>
      </w:r>
      <w:r>
        <w:rPr>
          <w:rFonts w:hint="eastAsia"/>
          <w:color w:val="auto"/>
        </w:rPr>
        <w:t>万元，预算执行率为</w:t>
      </w:r>
      <w:r>
        <w:rPr>
          <w:rFonts w:hint="eastAsia"/>
          <w:color w:val="auto"/>
          <w:lang w:val="en-US" w:eastAsia="zh-CN"/>
        </w:rPr>
        <w:t>100</w:t>
      </w:r>
      <w:r>
        <w:rPr>
          <w:rFonts w:hint="eastAsia"/>
          <w:color w:val="auto"/>
        </w:rPr>
        <w:t>%，用于：在乡老复员军人补助发放平均标准19020元/年</w:t>
      </w:r>
      <w:r>
        <w:rPr>
          <w:rFonts w:hint="eastAsia"/>
          <w:color w:val="auto"/>
          <w:lang w:eastAsia="zh-CN"/>
        </w:rPr>
        <w:t>；</w:t>
      </w:r>
      <w:r>
        <w:rPr>
          <w:rFonts w:hint="eastAsia"/>
          <w:color w:val="auto"/>
        </w:rPr>
        <w:t>带病回乡退伍军人补助发放平均标准9000元/年</w:t>
      </w:r>
      <w:r>
        <w:rPr>
          <w:rFonts w:hint="eastAsia"/>
          <w:color w:val="auto"/>
          <w:lang w:eastAsia="zh-CN"/>
        </w:rPr>
        <w:t>；</w:t>
      </w:r>
      <w:r>
        <w:rPr>
          <w:rFonts w:hint="eastAsia"/>
          <w:color w:val="auto"/>
        </w:rPr>
        <w:t>因公牺牲军人遗属补助发放平均标准26440元/年</w:t>
      </w:r>
      <w:r>
        <w:rPr>
          <w:rFonts w:hint="eastAsia"/>
          <w:color w:val="auto"/>
          <w:lang w:eastAsia="zh-CN"/>
        </w:rPr>
        <w:t>；</w:t>
      </w:r>
      <w:r>
        <w:rPr>
          <w:rFonts w:hint="eastAsia"/>
          <w:color w:val="auto"/>
        </w:rPr>
        <w:t>农村籍退役士兵补助发放平均标准540*服役年数+12420元/年。</w:t>
      </w:r>
    </w:p>
    <w:p>
      <w:pPr>
        <w:pStyle w:val="3"/>
        <w:spacing w:line="360" w:lineRule="auto"/>
        <w:ind w:firstLine="640" w:firstLineChars="200"/>
        <w:rPr>
          <w:rFonts w:ascii="仿宋_GB2312" w:eastAsia="仿宋_GB2312"/>
          <w:b w:val="0"/>
          <w:bCs w:val="0"/>
          <w:color w:val="auto"/>
        </w:rPr>
      </w:pPr>
      <w:bookmarkStart w:id="2" w:name="_Toc68703829"/>
      <w:r>
        <w:rPr>
          <w:rFonts w:hint="eastAsia" w:ascii="仿宋_GB2312" w:eastAsia="仿宋_GB2312"/>
          <w:b w:val="0"/>
          <w:bCs w:val="0"/>
          <w:color w:val="auto"/>
        </w:rPr>
        <w:t>（二）项目绩效目标。</w:t>
      </w:r>
      <w:bookmarkEnd w:id="2"/>
    </w:p>
    <w:p>
      <w:pPr>
        <w:numPr>
          <w:ilvl w:val="0"/>
          <w:numId w:val="1"/>
        </w:numPr>
        <w:spacing w:line="360" w:lineRule="auto"/>
        <w:ind w:firstLine="600" w:firstLineChars="200"/>
        <w:rPr>
          <w:rFonts w:hint="eastAsia"/>
          <w:color w:val="auto"/>
        </w:rPr>
      </w:pPr>
      <w:r>
        <w:rPr>
          <w:rFonts w:hint="eastAsia"/>
          <w:color w:val="auto"/>
        </w:rPr>
        <w:t>总体目标：此项目为优抚对象补助经费2个项目合并，对应监控平台中2个项目，分别为2021年优抚对象补助经费120万元，2021年优抚对象补助资金项目169万元。根据《中华人民共和国兵役法》、《军人抚恤优待条列》，负责各类优抚对象的优待、抚恤、生活补助和国家机关工作人员伤亡抚恤工作；负责烈士褒扬工作。</w:t>
      </w:r>
    </w:p>
    <w:p>
      <w:pPr>
        <w:spacing w:line="360" w:lineRule="auto"/>
        <w:ind w:firstLine="600" w:firstLineChars="200"/>
        <w:rPr>
          <w:color w:val="auto"/>
        </w:rPr>
      </w:pPr>
      <w:r>
        <w:rPr>
          <w:color w:val="auto"/>
        </w:rPr>
        <w:t>2</w:t>
      </w:r>
      <w:r>
        <w:rPr>
          <w:rFonts w:hint="eastAsia"/>
          <w:color w:val="auto"/>
        </w:rPr>
        <w:t>、阶段性目标：</w:t>
      </w:r>
      <w:r>
        <w:rPr>
          <w:rFonts w:hint="eastAsia"/>
          <w:color w:val="auto"/>
          <w:lang w:val="en-US" w:eastAsia="zh-CN"/>
        </w:rPr>
        <w:t>每月</w:t>
      </w:r>
      <w:r>
        <w:rPr>
          <w:rFonts w:hint="eastAsia"/>
          <w:color w:val="auto"/>
        </w:rPr>
        <w:t>负责各类优抚对象的优待、抚恤、生活补助和国家机关工作人员伤亡抚恤工作；负责烈士褒扬工作。</w:t>
      </w:r>
    </w:p>
    <w:p>
      <w:pPr>
        <w:pStyle w:val="2"/>
        <w:spacing w:line="360" w:lineRule="auto"/>
        <w:rPr>
          <w:rFonts w:ascii="宋体" w:hAnsi="宋体" w:eastAsia="宋体"/>
          <w:color w:val="auto"/>
          <w:sz w:val="32"/>
          <w:szCs w:val="32"/>
        </w:rPr>
      </w:pPr>
      <w:bookmarkStart w:id="3" w:name="_Toc68703830"/>
      <w:r>
        <w:rPr>
          <w:rFonts w:hint="eastAsia" w:ascii="宋体" w:hAnsi="宋体" w:eastAsia="宋体"/>
          <w:color w:val="auto"/>
          <w:sz w:val="32"/>
          <w:szCs w:val="32"/>
        </w:rPr>
        <w:t>二、绩效评价工作开展情况</w:t>
      </w:r>
      <w:bookmarkEnd w:id="3"/>
    </w:p>
    <w:p>
      <w:pPr>
        <w:pStyle w:val="3"/>
        <w:spacing w:line="360" w:lineRule="auto"/>
        <w:rPr>
          <w:rFonts w:ascii="仿宋_GB2312" w:eastAsia="仿宋_GB2312"/>
          <w:b w:val="0"/>
          <w:bCs w:val="0"/>
          <w:color w:val="auto"/>
        </w:rPr>
      </w:pPr>
      <w:bookmarkStart w:id="4" w:name="_Toc68703831"/>
      <w:r>
        <w:rPr>
          <w:rFonts w:hint="eastAsia" w:ascii="仿宋_GB2312" w:eastAsia="仿宋_GB2312"/>
          <w:b w:val="0"/>
          <w:bCs w:val="0"/>
          <w:color w:val="auto"/>
        </w:rPr>
        <w:t>（一）绩效评价目的、对象和范围。</w:t>
      </w:r>
      <w:bookmarkEnd w:id="4"/>
    </w:p>
    <w:p>
      <w:pPr>
        <w:spacing w:line="360" w:lineRule="auto"/>
        <w:rPr>
          <w:color w:val="auto"/>
        </w:rPr>
      </w:pPr>
      <w:r>
        <w:rPr>
          <w:rFonts w:hint="eastAsia"/>
          <w:color w:val="auto"/>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w:t>
      </w:r>
      <w:r>
        <w:rPr>
          <w:rFonts w:hint="eastAsia" w:ascii="仿宋_GB2312"/>
          <w:bCs/>
          <w:color w:val="auto"/>
          <w:sz w:val="32"/>
          <w:szCs w:val="32"/>
          <w:lang w:val="en-US" w:eastAsia="zh-CN"/>
        </w:rPr>
        <w:t>2021年优抚对象补助</w:t>
      </w:r>
      <w:r>
        <w:rPr>
          <w:rFonts w:hint="eastAsia" w:ascii="仿宋_GB2312"/>
          <w:bCs/>
          <w:color w:val="auto"/>
          <w:sz w:val="32"/>
          <w:szCs w:val="32"/>
        </w:rPr>
        <w:t>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rPr>
          <w:color w:val="auto"/>
        </w:rPr>
      </w:pPr>
      <w:r>
        <w:rPr>
          <w:rFonts w:hint="eastAsia"/>
          <w:color w:val="auto"/>
        </w:rPr>
        <w:t>2、绩效评价对象：</w:t>
      </w:r>
    </w:p>
    <w:p>
      <w:pPr>
        <w:spacing w:line="360" w:lineRule="auto"/>
        <w:ind w:firstLine="600" w:firstLineChars="200"/>
        <w:rPr>
          <w:color w:val="auto"/>
        </w:rPr>
      </w:pPr>
      <w:r>
        <w:rPr>
          <w:rFonts w:hint="eastAsia"/>
          <w:color w:val="auto"/>
        </w:rPr>
        <w:t>2021年优抚对象补助经费</w:t>
      </w:r>
    </w:p>
    <w:p>
      <w:pPr>
        <w:spacing w:line="360" w:lineRule="auto"/>
        <w:ind w:firstLine="600" w:firstLineChars="200"/>
        <w:rPr>
          <w:color w:val="auto"/>
        </w:rPr>
      </w:pPr>
      <w:r>
        <w:rPr>
          <w:rFonts w:hint="eastAsia"/>
          <w:color w:val="auto"/>
        </w:rPr>
        <w:t>3、绩效评价范围：</w:t>
      </w:r>
    </w:p>
    <w:p>
      <w:pPr>
        <w:spacing w:line="360" w:lineRule="auto"/>
        <w:ind w:firstLine="600" w:firstLineChars="200"/>
        <w:rPr>
          <w:color w:val="auto"/>
        </w:rPr>
      </w:pPr>
      <w:r>
        <w:rPr>
          <w:rFonts w:hint="eastAsia"/>
          <w:color w:val="auto"/>
        </w:rPr>
        <w:t>本次评价从项目决策（包括绩效目标、决策过程）、项目管理（包括项目资金、项目实施）、项目产出（包括项目产出数量、产出质量、产出时效和产出成本）项目效益四个维度进行</w:t>
      </w:r>
      <w:r>
        <w:rPr>
          <w:rFonts w:hint="eastAsia" w:ascii="仿宋_GB2312"/>
          <w:bCs/>
          <w:color w:val="auto"/>
          <w:sz w:val="32"/>
          <w:szCs w:val="32"/>
          <w:lang w:val="en-US" w:eastAsia="zh-CN"/>
        </w:rPr>
        <w:t>2021年优抚对象补助</w:t>
      </w:r>
      <w:r>
        <w:rPr>
          <w:rFonts w:hint="eastAsia" w:ascii="仿宋_GB2312"/>
          <w:bCs/>
          <w:color w:val="auto"/>
          <w:sz w:val="32"/>
          <w:szCs w:val="32"/>
        </w:rPr>
        <w:t>经费</w:t>
      </w:r>
      <w:r>
        <w:rPr>
          <w:rFonts w:hint="eastAsia"/>
          <w:color w:val="auto"/>
        </w:rPr>
        <w:t>评价，评价核心为专项资金的支出完成情况和效果。</w:t>
      </w:r>
    </w:p>
    <w:p>
      <w:pPr>
        <w:pStyle w:val="3"/>
        <w:spacing w:line="360" w:lineRule="auto"/>
        <w:rPr>
          <w:rFonts w:ascii="仿宋_GB2312" w:eastAsia="仿宋_GB2312"/>
          <w:b w:val="0"/>
          <w:bCs w:val="0"/>
          <w:color w:val="auto"/>
        </w:rPr>
      </w:pPr>
      <w:bookmarkStart w:id="5" w:name="_Toc68703832"/>
      <w:r>
        <w:rPr>
          <w:rFonts w:hint="eastAsia" w:ascii="仿宋_GB2312" w:eastAsia="仿宋_GB2312"/>
          <w:b w:val="0"/>
          <w:bCs w:val="0"/>
          <w:color w:val="auto"/>
        </w:rPr>
        <w:t>（二）绩效评价原则、评价指标体系、评价方法、评价标准等。</w:t>
      </w:r>
      <w:bookmarkEnd w:id="5"/>
    </w:p>
    <w:p>
      <w:pPr>
        <w:spacing w:line="360" w:lineRule="auto"/>
        <w:rPr>
          <w:color w:val="auto"/>
        </w:rPr>
      </w:pPr>
      <w:r>
        <w:rPr>
          <w:rFonts w:hint="eastAsia"/>
          <w:color w:val="auto"/>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val="en-US" w:eastAsia="zh-CN"/>
        </w:rPr>
        <w:t>人民政府</w:t>
      </w:r>
      <w:r>
        <w:rPr>
          <w:rFonts w:hint="eastAsia" w:ascii="仿宋_GB2312"/>
          <w:bCs/>
          <w:color w:val="auto"/>
          <w:sz w:val="32"/>
          <w:szCs w:val="32"/>
        </w:rPr>
        <w:t>网站上，并自觉接受社会监督。</w:t>
      </w:r>
    </w:p>
    <w:p>
      <w:pPr>
        <w:spacing w:line="360" w:lineRule="auto"/>
        <w:rPr>
          <w:color w:val="auto"/>
        </w:rPr>
      </w:pPr>
    </w:p>
    <w:p>
      <w:pPr>
        <w:spacing w:line="360" w:lineRule="auto"/>
        <w:rPr>
          <w:color w:val="auto"/>
        </w:rPr>
      </w:pPr>
      <w:r>
        <w:rPr>
          <w:rFonts w:hint="eastAsia"/>
          <w:color w:val="auto"/>
        </w:rPr>
        <w:t>2、评价指标体系（附表说明）</w:t>
      </w:r>
    </w:p>
    <w:p>
      <w:pPr>
        <w:pStyle w:val="3"/>
        <w:spacing w:before="0" w:after="0" w:line="240" w:lineRule="auto"/>
        <w:jc w:val="center"/>
        <w:rPr>
          <w:rFonts w:ascii="Times New Roman" w:hAnsi="Times New Roman" w:eastAsia="仿宋_GB2312" w:cs="Times New Roman"/>
          <w:b w:val="0"/>
          <w:bCs w:val="0"/>
          <w:color w:val="auto"/>
          <w:sz w:val="30"/>
          <w:szCs w:val="24"/>
        </w:rPr>
      </w:pPr>
      <w:r>
        <w:rPr>
          <w:rFonts w:hint="eastAsia" w:ascii="Times New Roman" w:hAnsi="Times New Roman" w:eastAsia="仿宋_GB2312" w:cs="Times New Roman"/>
          <w:b w:val="0"/>
          <w:bCs w:val="0"/>
          <w:color w:val="auto"/>
          <w:sz w:val="30"/>
          <w:szCs w:val="24"/>
        </w:rPr>
        <w:t>2021年优抚对象补助项目支出绩效评价指标体系</w:t>
      </w:r>
    </w:p>
    <w:tbl>
      <w:tblPr>
        <w:tblStyle w:val="6"/>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auto"/>
                <w:kern w:val="0"/>
                <w:sz w:val="22"/>
              </w:rPr>
            </w:pPr>
            <w:r>
              <w:rPr>
                <w:rFonts w:hint="eastAsia" w:ascii="宋体" w:hAnsi="宋体" w:eastAsia="宋体" w:cs="宋体"/>
                <w:b/>
                <w:bCs/>
                <w:color w:val="auto"/>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分值</w:t>
            </w:r>
          </w:p>
        </w:tc>
        <w:tc>
          <w:tcPr>
            <w:tcW w:w="874" w:type="dxa"/>
            <w:shd w:val="clear" w:color="auto" w:fill="FFFFFF"/>
          </w:tcPr>
          <w:p>
            <w:pPr>
              <w:widowControl/>
              <w:spacing w:line="600" w:lineRule="auto"/>
              <w:jc w:val="center"/>
              <w:rPr>
                <w:rFonts w:ascii="宋体" w:hAnsi="宋体" w:eastAsia="宋体" w:cs="宋体"/>
                <w:b/>
                <w:bCs/>
                <w:color w:val="auto"/>
                <w:kern w:val="0"/>
                <w:sz w:val="22"/>
              </w:rPr>
            </w:pPr>
            <w:r>
              <w:rPr>
                <w:rFonts w:hint="eastAsia" w:ascii="宋体" w:hAnsi="宋体" w:eastAsia="宋体" w:cs="宋体"/>
                <w:b/>
                <w:bCs/>
                <w:color w:val="auto"/>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立项依据</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立项程序</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绩效目标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绩效指标</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资金投入</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预算编制</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资金分配</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continue"/>
            <w:shd w:val="clear" w:color="auto" w:fill="FFFFFF"/>
            <w:vAlign w:val="center"/>
          </w:tcPr>
          <w:p>
            <w:pPr>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资金使用</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8</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组织实施</w:t>
            </w:r>
          </w:p>
          <w:p>
            <w:pPr>
              <w:spacing w:line="0" w:lineRule="atLeast"/>
              <w:jc w:val="center"/>
              <w:rPr>
                <w:rFonts w:ascii="宋体" w:hAnsi="宋体" w:cs="宋体"/>
                <w:color w:val="auto"/>
                <w:kern w:val="0"/>
                <w:sz w:val="22"/>
              </w:rPr>
            </w:pPr>
            <w:r>
              <w:rPr>
                <w:rFonts w:hint="eastAsia" w:ascii="宋体" w:hAnsi="宋体" w:cs="宋体"/>
                <w:color w:val="auto"/>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管理制度</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制度执行</w:t>
            </w:r>
          </w:p>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6</w:t>
            </w:r>
          </w:p>
        </w:tc>
        <w:tc>
          <w:tcPr>
            <w:tcW w:w="874" w:type="dxa"/>
            <w:tcBorders>
              <w:bottom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w:t>
            </w: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15</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auto"/>
                <w:kern w:val="0"/>
                <w:sz w:val="22"/>
              </w:rPr>
            </w:pPr>
          </w:p>
        </w:tc>
        <w:tc>
          <w:tcPr>
            <w:tcW w:w="1478" w:type="dxa"/>
            <w:shd w:val="clear" w:color="auto" w:fill="FFFFFF"/>
            <w:vAlign w:val="center"/>
          </w:tcPr>
          <w:p>
            <w:pPr>
              <w:spacing w:line="0" w:lineRule="atLeast"/>
              <w:jc w:val="center"/>
              <w:rPr>
                <w:rFonts w:ascii="宋体" w:hAnsi="宋体" w:cs="宋体"/>
                <w:color w:val="auto"/>
                <w:kern w:val="0"/>
                <w:sz w:val="22"/>
              </w:rPr>
            </w:pPr>
            <w:r>
              <w:rPr>
                <w:rFonts w:hint="eastAsia" w:ascii="宋体" w:hAnsi="宋体" w:cs="宋体"/>
                <w:color w:val="auto"/>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c>
          <w:tcPr>
            <w:tcW w:w="874" w:type="dxa"/>
            <w:shd w:val="clear" w:color="000000" w:fill="FFFFFF"/>
          </w:tcPr>
          <w:p>
            <w:pPr>
              <w:spacing w:line="600" w:lineRule="auto"/>
              <w:jc w:val="center"/>
              <w:rPr>
                <w:rFonts w:hint="default" w:eastAsia="仿宋_GB2312"/>
                <w:color w:val="auto"/>
                <w:lang w:val="en-US" w:eastAsia="zh-CN"/>
              </w:rPr>
            </w:pPr>
            <w:r>
              <w:rPr>
                <w:rFonts w:hint="eastAsia"/>
                <w:color w:val="auto"/>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12</w:t>
            </w:r>
          </w:p>
        </w:tc>
        <w:tc>
          <w:tcPr>
            <w:tcW w:w="874" w:type="dxa"/>
            <w:shd w:val="clear" w:color="auto" w:fill="FFFFFF"/>
          </w:tcPr>
          <w:p>
            <w:pPr>
              <w:spacing w:line="600" w:lineRule="auto"/>
              <w:jc w:val="center"/>
              <w:rPr>
                <w:rFonts w:hint="default" w:eastAsia="仿宋_GB2312"/>
                <w:color w:val="auto"/>
                <w:lang w:val="en-US" w:eastAsia="zh-CN"/>
              </w:rPr>
            </w:pPr>
            <w:r>
              <w:rPr>
                <w:rFonts w:hint="eastAsia"/>
                <w:color w:val="auto"/>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2</w:t>
            </w:r>
          </w:p>
        </w:tc>
        <w:tc>
          <w:tcPr>
            <w:tcW w:w="874" w:type="dxa"/>
            <w:shd w:val="clear" w:color="auto" w:fill="FFFFFF"/>
          </w:tcPr>
          <w:p>
            <w:pPr>
              <w:spacing w:line="600" w:lineRule="auto"/>
              <w:jc w:val="center"/>
              <w:rPr>
                <w:rFonts w:hint="eastAsia" w:eastAsia="仿宋_GB2312"/>
                <w:color w:val="auto"/>
                <w:lang w:val="en-US" w:eastAsia="zh-CN"/>
              </w:rPr>
            </w:pPr>
            <w:r>
              <w:rPr>
                <w:rFonts w:hint="eastAsia"/>
                <w:color w:va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auto"/>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auto"/>
                <w:kern w:val="0"/>
                <w:sz w:val="22"/>
              </w:rPr>
            </w:pPr>
            <w:r>
              <w:rPr>
                <w:rFonts w:hint="eastAsia" w:ascii="宋体" w:hAnsi="宋体" w:cs="宋体"/>
                <w:color w:val="auto"/>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2</w:t>
            </w:r>
          </w:p>
        </w:tc>
        <w:tc>
          <w:tcPr>
            <w:tcW w:w="874" w:type="dxa"/>
            <w:shd w:val="clear" w:color="000000" w:fill="FFFFFF"/>
          </w:tcPr>
          <w:p>
            <w:pPr>
              <w:spacing w:line="600" w:lineRule="auto"/>
              <w:jc w:val="center"/>
              <w:rPr>
                <w:rFonts w:hint="eastAsia" w:eastAsia="仿宋_GB2312"/>
                <w:color w:val="auto"/>
                <w:lang w:val="en-US" w:eastAsia="zh-CN"/>
              </w:rPr>
            </w:pPr>
            <w:r>
              <w:rPr>
                <w:rFonts w:hint="eastAsia"/>
                <w:color w:val="auto"/>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auto"/>
                <w:kern w:val="0"/>
                <w:sz w:val="22"/>
              </w:rPr>
            </w:pPr>
            <w:r>
              <w:rPr>
                <w:rFonts w:hint="eastAsia" w:ascii="宋体" w:hAnsi="宋体" w:cs="宋体"/>
                <w:b/>
                <w:bCs/>
                <w:color w:val="auto"/>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auto"/>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auto"/>
                <w:kern w:val="0"/>
                <w:sz w:val="22"/>
                <w:lang w:val="en-US" w:eastAsia="zh-CN"/>
              </w:rPr>
            </w:pPr>
            <w:r>
              <w:rPr>
                <w:rFonts w:hint="eastAsia" w:ascii="宋体" w:hAnsi="宋体" w:cs="宋体"/>
                <w:color w:val="auto"/>
                <w:kern w:val="0"/>
                <w:sz w:val="22"/>
                <w:lang w:val="en-US" w:eastAsia="zh-CN"/>
              </w:rPr>
              <w:t>100</w:t>
            </w:r>
          </w:p>
        </w:tc>
      </w:tr>
    </w:tbl>
    <w:p>
      <w:pPr>
        <w:rPr>
          <w:color w:val="auto"/>
        </w:rPr>
        <w:sectPr>
          <w:pgSz w:w="11906" w:h="16838"/>
          <w:pgMar w:top="1928" w:right="1531" w:bottom="1701" w:left="1531" w:header="737" w:footer="851" w:gutter="0"/>
          <w:cols w:space="720" w:num="1"/>
          <w:docGrid w:type="lines" w:linePitch="408" w:charSpace="0"/>
        </w:sectPr>
      </w:pPr>
    </w:p>
    <w:p>
      <w:pPr>
        <w:spacing w:line="360" w:lineRule="auto"/>
        <w:rPr>
          <w:color w:val="auto"/>
        </w:rPr>
      </w:pPr>
      <w:r>
        <w:rPr>
          <w:rFonts w:hint="eastAsia"/>
          <w:color w:val="auto"/>
        </w:rPr>
        <w:t>3、评价方法</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0"/>
        <w:rPr>
          <w:color w:val="auto"/>
          <w:highlight w:val="none"/>
        </w:rPr>
      </w:pPr>
      <w:r>
        <w:rPr>
          <w:rFonts w:hint="eastAsia"/>
          <w:bCs/>
          <w:color w:val="auto"/>
          <w:sz w:val="32"/>
          <w:szCs w:val="32"/>
          <w:highlight w:val="none"/>
        </w:rPr>
        <w:t>本次项目支出绩效自评采用</w:t>
      </w:r>
      <w:r>
        <w:rPr>
          <w:rFonts w:hint="eastAsia"/>
          <w:bCs/>
          <w:color w:val="auto"/>
          <w:sz w:val="32"/>
          <w:szCs w:val="32"/>
          <w:highlight w:val="none"/>
          <w:lang w:val="en-US" w:eastAsia="zh-CN"/>
        </w:rPr>
        <w:t>因素分析</w:t>
      </w:r>
      <w:r>
        <w:rPr>
          <w:rFonts w:hint="eastAsia"/>
          <w:bCs/>
          <w:color w:val="auto"/>
          <w:sz w:val="32"/>
          <w:szCs w:val="32"/>
          <w:highlight w:val="none"/>
        </w:rPr>
        <w:t>方法，原因是：</w:t>
      </w:r>
      <w:r>
        <w:rPr>
          <w:rFonts w:hint="eastAsia"/>
          <w:bCs/>
          <w:color w:val="auto"/>
          <w:sz w:val="32"/>
          <w:szCs w:val="32"/>
          <w:highlight w:val="none"/>
          <w:lang w:val="en-US" w:eastAsia="zh-CN"/>
        </w:rPr>
        <w:t>此项目主要是根据中央和自治区相关文件精神，根据补助要求，</w:t>
      </w:r>
      <w:r>
        <w:rPr>
          <w:rStyle w:val="8"/>
          <w:rFonts w:hint="eastAsia" w:ascii="仿宋_GB2312" w:hAnsi="楷体"/>
          <w:b w:val="0"/>
          <w:color w:val="auto"/>
          <w:spacing w:val="-4"/>
          <w:sz w:val="30"/>
          <w:szCs w:val="30"/>
          <w:highlight w:val="none"/>
          <w:lang w:val="en-US" w:eastAsia="zh-CN"/>
        </w:rPr>
        <w:t>解决全县优抚对象的实际生活困难问题、保障人员生活安定。</w:t>
      </w:r>
    </w:p>
    <w:p>
      <w:pPr>
        <w:spacing w:line="360" w:lineRule="auto"/>
        <w:rPr>
          <w:color w:val="auto"/>
        </w:rPr>
      </w:pPr>
      <w:r>
        <w:rPr>
          <w:rFonts w:hint="eastAsia"/>
          <w:color w:val="auto"/>
        </w:rPr>
        <w:t>4、评价标准</w:t>
      </w:r>
    </w:p>
    <w:p>
      <w:pPr>
        <w:spacing w:line="360" w:lineRule="auto"/>
        <w:ind w:firstLine="640" w:firstLineChars="200"/>
        <w:rPr>
          <w:rFonts w:hint="default" w:eastAsia="仿宋_GB2312"/>
          <w:bCs/>
          <w:color w:val="auto"/>
          <w:sz w:val="32"/>
          <w:szCs w:val="32"/>
          <w:lang w:val="en-US" w:eastAsia="zh-CN"/>
        </w:rPr>
      </w:pPr>
      <w:r>
        <w:rPr>
          <w:rFonts w:hint="eastAsia"/>
          <w:bCs/>
          <w:color w:val="auto"/>
          <w:sz w:val="32"/>
          <w:szCs w:val="32"/>
        </w:rPr>
        <w:t>本次项目支出绩效自评采用</w:t>
      </w:r>
      <w:r>
        <w:rPr>
          <w:rFonts w:hint="eastAsia"/>
          <w:bCs/>
          <w:color w:val="auto"/>
          <w:sz w:val="32"/>
          <w:szCs w:val="32"/>
          <w:lang w:val="en-US" w:eastAsia="zh-CN"/>
        </w:rPr>
        <w:t>计划</w:t>
      </w:r>
      <w:r>
        <w:rPr>
          <w:rFonts w:hint="eastAsia"/>
          <w:bCs/>
          <w:color w:val="auto"/>
          <w:sz w:val="32"/>
          <w:szCs w:val="32"/>
        </w:rPr>
        <w:t>标准，原因是：</w:t>
      </w:r>
      <w:r>
        <w:rPr>
          <w:rFonts w:hint="eastAsia"/>
          <w:bCs/>
          <w:color w:val="auto"/>
          <w:sz w:val="32"/>
          <w:szCs w:val="32"/>
          <w:lang w:val="en-US" w:eastAsia="zh-CN"/>
        </w:rPr>
        <w:t>优抚对象每年人数不固定，补助标准每年一次提高发放标准，股采用计划标准。</w:t>
      </w:r>
    </w:p>
    <w:p>
      <w:pPr>
        <w:pStyle w:val="3"/>
        <w:spacing w:line="360" w:lineRule="auto"/>
        <w:rPr>
          <w:rFonts w:ascii="仿宋_GB2312" w:eastAsia="仿宋_GB2312"/>
          <w:b w:val="0"/>
          <w:bCs w:val="0"/>
          <w:color w:val="auto"/>
        </w:rPr>
      </w:pPr>
      <w:bookmarkStart w:id="6" w:name="_Toc68703833"/>
      <w:r>
        <w:rPr>
          <w:rFonts w:hint="eastAsia" w:ascii="仿宋_GB2312" w:eastAsia="仿宋_GB2312"/>
          <w:b w:val="0"/>
          <w:bCs w:val="0"/>
          <w:color w:val="auto"/>
        </w:rPr>
        <w:t>（三）绩效评价工作过程。</w:t>
      </w:r>
      <w:bookmarkEnd w:id="6"/>
    </w:p>
    <w:p>
      <w:pPr>
        <w:spacing w:line="360" w:lineRule="auto"/>
        <w:rPr>
          <w:color w:val="auto"/>
        </w:rPr>
      </w:pPr>
      <w:r>
        <w:rPr>
          <w:rFonts w:hint="eastAsia"/>
          <w:color w:val="auto"/>
        </w:rPr>
        <w:t>1、前期准备：</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1</w:t>
      </w:r>
      <w:r>
        <w:rPr>
          <w:rFonts w:hint="eastAsia"/>
          <w:color w:val="auto"/>
        </w:rPr>
        <w:t>月</w:t>
      </w:r>
      <w:r>
        <w:rPr>
          <w:rFonts w:hint="eastAsia"/>
          <w:color w:val="auto"/>
          <w:lang w:val="en-US" w:eastAsia="zh-CN"/>
        </w:rPr>
        <w:t>1</w:t>
      </w:r>
      <w:r>
        <w:rPr>
          <w:rFonts w:hint="eastAsia"/>
          <w:color w:val="auto"/>
        </w:rPr>
        <w:t>日，</w:t>
      </w:r>
      <w:r>
        <w:rPr>
          <w:rFonts w:hint="eastAsia" w:ascii="仿宋_GB2312"/>
          <w:color w:val="auto"/>
          <w:lang w:val="zh-CN"/>
        </w:rPr>
        <w:t>开始前期准备工作，评价组通过前期调研</w:t>
      </w:r>
      <w:r>
        <w:rPr>
          <w:rFonts w:hint="eastAsia"/>
          <w:color w:val="auto"/>
        </w:rPr>
        <w:t>确定绩效评价对象和范围，</w:t>
      </w:r>
      <w:r>
        <w:rPr>
          <w:rFonts w:hint="eastAsia" w:ascii="仿宋_GB2312"/>
          <w:color w:val="auto"/>
          <w:lang w:val="zh-CN"/>
        </w:rPr>
        <w:t>确定了评价的目的、方法以及评价的原则，根据项目的内容和特征制定了评价指标体系及评价标准以及评价实施方案，修正并确定所需资料清单，最终确定</w:t>
      </w:r>
      <w:r>
        <w:rPr>
          <w:rFonts w:hint="eastAsia"/>
          <w:color w:val="auto"/>
        </w:rPr>
        <w:t>绩效评价工作方案；</w:t>
      </w:r>
    </w:p>
    <w:p>
      <w:pPr>
        <w:spacing w:line="360" w:lineRule="auto"/>
        <w:rPr>
          <w:color w:val="auto"/>
        </w:rPr>
      </w:pPr>
      <w:r>
        <w:rPr>
          <w:color w:val="auto"/>
        </w:rPr>
        <w:t>2</w:t>
      </w:r>
      <w:r>
        <w:rPr>
          <w:rFonts w:hint="eastAsia"/>
          <w:color w:val="auto"/>
        </w:rPr>
        <w:t>、组织实施：</w:t>
      </w:r>
    </w:p>
    <w:p>
      <w:pPr>
        <w:spacing w:line="360" w:lineRule="auto"/>
        <w:ind w:firstLine="600" w:firstLineChars="200"/>
        <w:rPr>
          <w:color w:val="auto"/>
        </w:rPr>
      </w:pPr>
      <w:r>
        <w:rPr>
          <w:rFonts w:hint="eastAsia"/>
          <w:color w:val="auto"/>
        </w:rPr>
        <w:t>2</w:t>
      </w:r>
      <w:r>
        <w:rPr>
          <w:color w:val="auto"/>
        </w:rPr>
        <w:t>022</w:t>
      </w:r>
      <w:r>
        <w:rPr>
          <w:rFonts w:hint="eastAsia"/>
          <w:color w:val="auto"/>
        </w:rPr>
        <w:t>年</w:t>
      </w:r>
      <w:r>
        <w:rPr>
          <w:rFonts w:hint="eastAsia"/>
          <w:color w:val="auto"/>
          <w:lang w:val="en-US" w:eastAsia="zh-CN"/>
        </w:rPr>
        <w:t>1</w:t>
      </w:r>
      <w:r>
        <w:rPr>
          <w:rFonts w:hint="eastAsia"/>
          <w:color w:val="auto"/>
        </w:rPr>
        <w:t>月</w:t>
      </w:r>
      <w:r>
        <w:rPr>
          <w:rFonts w:hint="eastAsia"/>
          <w:color w:val="auto"/>
          <w:lang w:val="en-US" w:eastAsia="zh-CN"/>
        </w:rPr>
        <w:t>10</w:t>
      </w:r>
      <w:r>
        <w:rPr>
          <w:rFonts w:hint="eastAsia"/>
          <w:color w:val="auto"/>
        </w:rPr>
        <w:t>日-</w:t>
      </w:r>
      <w:r>
        <w:rPr>
          <w:color w:val="auto"/>
        </w:rPr>
        <w:t xml:space="preserve"> </w:t>
      </w:r>
      <w:r>
        <w:rPr>
          <w:rFonts w:hint="eastAsia"/>
          <w:color w:val="auto"/>
          <w:lang w:val="en-US" w:eastAsia="zh-CN"/>
        </w:rPr>
        <w:t>1</w:t>
      </w:r>
      <w:r>
        <w:rPr>
          <w:rFonts w:hint="eastAsia"/>
          <w:color w:val="auto"/>
        </w:rPr>
        <w:t>月</w:t>
      </w:r>
      <w:r>
        <w:rPr>
          <w:rFonts w:hint="eastAsia"/>
          <w:color w:val="auto"/>
          <w:lang w:val="en-US" w:eastAsia="zh-CN"/>
        </w:rPr>
        <w:t>30</w:t>
      </w:r>
      <w:r>
        <w:rPr>
          <w:rFonts w:hint="eastAsia"/>
          <w:color w:val="auto"/>
        </w:rPr>
        <w:t>日，</w:t>
      </w:r>
      <w:r>
        <w:rPr>
          <w:rFonts w:hint="eastAsia" w:ascii="仿宋_GB2312"/>
          <w:color w:val="auto"/>
        </w:rPr>
        <w:t>评价工作进入实施阶段，评价组</w:t>
      </w:r>
      <w:r>
        <w:rPr>
          <w:rFonts w:hint="eastAsia"/>
          <w:color w:val="auto"/>
        </w:rPr>
        <w:t>收集绩效评价相关数据资料，进行现场调研、座谈；并</w:t>
      </w:r>
      <w:r>
        <w:rPr>
          <w:rFonts w:hint="eastAsia" w:ascii="仿宋_GB2312"/>
          <w:color w:val="auto"/>
        </w:rPr>
        <w:t>与项目实施负责人沟通，了解资金的内容、操作流程、管理机制、资金使用方向等情况</w:t>
      </w:r>
      <w:r>
        <w:rPr>
          <w:rFonts w:hint="eastAsia"/>
          <w:color w:val="auto"/>
        </w:rPr>
        <w:t>，</w:t>
      </w:r>
      <w:r>
        <w:rPr>
          <w:color w:val="auto"/>
        </w:rPr>
        <w:t>分析</w:t>
      </w:r>
      <w:r>
        <w:rPr>
          <w:rFonts w:hint="eastAsia"/>
          <w:color w:val="auto"/>
        </w:rPr>
        <w:t>形成初步结论。</w:t>
      </w:r>
      <w:r>
        <w:rPr>
          <w:color w:val="auto"/>
        </w:rPr>
        <w:t xml:space="preserve"> </w:t>
      </w:r>
    </w:p>
    <w:p>
      <w:pPr>
        <w:spacing w:line="360" w:lineRule="auto"/>
        <w:rPr>
          <w:color w:val="auto"/>
        </w:rPr>
      </w:pPr>
      <w:r>
        <w:rPr>
          <w:rFonts w:hint="eastAsia"/>
          <w:color w:val="auto"/>
        </w:rPr>
        <w:t>3、分析评价：</w:t>
      </w:r>
    </w:p>
    <w:p>
      <w:pPr>
        <w:spacing w:line="360" w:lineRule="auto"/>
        <w:ind w:firstLine="600" w:firstLineChars="200"/>
        <w:rPr>
          <w:rFonts w:ascii="仿宋_GB2312"/>
          <w:color w:val="auto"/>
        </w:rPr>
      </w:pPr>
      <w:r>
        <w:rPr>
          <w:rFonts w:hint="eastAsia"/>
          <w:color w:val="auto"/>
        </w:rPr>
        <w:t>202</w:t>
      </w:r>
      <w:r>
        <w:rPr>
          <w:color w:val="auto"/>
        </w:rPr>
        <w:t>2</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color w:val="auto"/>
        </w:rPr>
        <w:t xml:space="preserve"> </w:t>
      </w:r>
      <w:r>
        <w:rPr>
          <w:rFonts w:hint="eastAsia"/>
          <w:color w:val="auto"/>
          <w:lang w:val="en-US" w:eastAsia="zh-CN"/>
        </w:rPr>
        <w:t>3</w:t>
      </w:r>
      <w:r>
        <w:rPr>
          <w:rFonts w:hint="eastAsia"/>
          <w:color w:val="auto"/>
        </w:rPr>
        <w:t>月</w:t>
      </w:r>
      <w:r>
        <w:rPr>
          <w:rFonts w:hint="eastAsia"/>
          <w:color w:val="auto"/>
          <w:lang w:val="en-US" w:eastAsia="zh-CN"/>
        </w:rPr>
        <w:t>31</w:t>
      </w:r>
      <w:r>
        <w:rPr>
          <w:rFonts w:hint="eastAsia"/>
          <w:color w:val="auto"/>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3"/>
        <w:spacing w:line="360" w:lineRule="auto"/>
        <w:rPr>
          <w:rFonts w:ascii="仿宋_GB2312" w:eastAsia="仿宋_GB2312"/>
          <w:b w:val="0"/>
          <w:bCs w:val="0"/>
          <w:color w:val="auto"/>
        </w:rPr>
      </w:pPr>
      <w:bookmarkStart w:id="8" w:name="_Toc68703835"/>
      <w:r>
        <w:rPr>
          <w:rFonts w:hint="eastAsia" w:ascii="仿宋_GB2312" w:eastAsia="仿宋_GB2312"/>
          <w:b w:val="0"/>
          <w:bCs w:val="0"/>
          <w:color w:val="auto"/>
        </w:rPr>
        <w:t>（一）综合评价情况</w:t>
      </w:r>
      <w:bookmarkEnd w:id="8"/>
    </w:p>
    <w:p>
      <w:pPr>
        <w:spacing w:line="360" w:lineRule="auto"/>
        <w:ind w:firstLine="600" w:firstLineChars="200"/>
        <w:rPr>
          <w:color w:val="auto"/>
        </w:rPr>
      </w:pPr>
      <w:r>
        <w:rPr>
          <w:rFonts w:hint="eastAsia"/>
          <w:color w:val="auto"/>
        </w:rPr>
        <w:t>本项目严格按照</w:t>
      </w:r>
      <w:r>
        <w:rPr>
          <w:rFonts w:hint="eastAsia" w:ascii="仿宋_GB2312"/>
          <w:bCs/>
          <w:color w:val="auto"/>
          <w:kern w:val="0"/>
          <w:sz w:val="32"/>
          <w:szCs w:val="32"/>
        </w:rPr>
        <w:t>科学公正、统筹兼顾、激励约束、公开透明的</w:t>
      </w:r>
      <w:r>
        <w:rPr>
          <w:rFonts w:hint="eastAsia"/>
          <w:color w:val="auto"/>
        </w:rPr>
        <w:t>绩效评价原则，采用</w:t>
      </w:r>
      <w:r>
        <w:rPr>
          <w:rFonts w:hint="eastAsia"/>
          <w:bCs/>
          <w:color w:val="auto"/>
          <w:sz w:val="32"/>
          <w:szCs w:val="32"/>
          <w:lang w:val="en-US" w:eastAsia="zh-CN"/>
        </w:rPr>
        <w:t>因素</w:t>
      </w:r>
      <w:r>
        <w:rPr>
          <w:rFonts w:hint="eastAsia"/>
          <w:bCs/>
          <w:color w:val="auto"/>
          <w:sz w:val="32"/>
          <w:szCs w:val="32"/>
        </w:rPr>
        <w:t>分析法</w:t>
      </w:r>
      <w:r>
        <w:rPr>
          <w:rFonts w:hint="eastAsia"/>
          <w:color w:val="auto"/>
        </w:rPr>
        <w:t>，坚持</w:t>
      </w:r>
      <w:r>
        <w:rPr>
          <w:rFonts w:hint="eastAsia"/>
          <w:bCs/>
          <w:color w:val="auto"/>
          <w:sz w:val="32"/>
          <w:szCs w:val="32"/>
        </w:rPr>
        <w:t>计划标准</w:t>
      </w:r>
      <w:r>
        <w:rPr>
          <w:rFonts w:hint="eastAsia"/>
          <w:color w:val="auto"/>
        </w:rPr>
        <w:t>对本项目的立项、项绩效目标、资金投入、资金管理、组织实施、产出数量、产出质量、产出时效、产出成本、项目效益进行了综合评价。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2021年优抚对象补助经费项目评价得分情况</w:t>
      </w:r>
    </w:p>
    <w:tbl>
      <w:tblPr>
        <w:tblStyle w:val="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auto"/>
                <w:sz w:val="22"/>
              </w:rPr>
            </w:pPr>
            <w:r>
              <w:rPr>
                <w:rFonts w:hint="eastAsia"/>
                <w:b/>
                <w:bCs/>
                <w:color w:val="auto"/>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47</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auto"/>
                <w:sz w:val="22"/>
                <w:lang w:val="en-US" w:eastAsia="zh-CN"/>
              </w:rPr>
            </w:pPr>
            <w:r>
              <w:rPr>
                <w:rFonts w:hint="eastAsia"/>
                <w:color w:val="auto"/>
                <w:sz w:val="22"/>
                <w:lang w:val="en-US" w:eastAsia="zh-CN"/>
              </w:rPr>
              <w:t>47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auto"/>
                <w:sz w:val="22"/>
              </w:rPr>
            </w:pPr>
            <w:r>
              <w:rPr>
                <w:rFonts w:hint="eastAsia"/>
                <w:color w:val="auto"/>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auto"/>
                <w:sz w:val="22"/>
                <w:lang w:val="en-US" w:eastAsia="zh-CN"/>
              </w:rPr>
            </w:pPr>
            <w:r>
              <w:rPr>
                <w:rFonts w:hint="eastAsia"/>
                <w:color w:val="auto"/>
                <w:sz w:val="22"/>
                <w:lang w:val="en-US" w:eastAsia="zh-CN"/>
              </w:rPr>
              <w:t>4</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eastAsia" w:eastAsia="仿宋_GB2312"/>
                <w:color w:val="auto"/>
                <w:sz w:val="22"/>
                <w:lang w:val="en-US" w:eastAsia="zh-CN"/>
              </w:rPr>
            </w:pPr>
            <w:r>
              <w:rPr>
                <w:rFonts w:hint="eastAsia"/>
                <w:color w:val="auto"/>
                <w:sz w:val="22"/>
                <w:lang w:val="en-US" w:eastAsia="zh-CN"/>
              </w:rPr>
              <w:t>4</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auto"/>
                <w:sz w:val="22"/>
              </w:rPr>
            </w:pPr>
            <w:r>
              <w:rPr>
                <w:rFonts w:hint="eastAsia" w:cs="宋体"/>
                <w:b/>
                <w:bCs/>
                <w:color w:val="auto"/>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auto"/>
                <w:sz w:val="22"/>
                <w:lang w:val="en-US" w:eastAsia="zh-CN"/>
              </w:rPr>
            </w:pPr>
            <w:r>
              <w:rPr>
                <w:rFonts w:hint="eastAsia"/>
                <w:b/>
                <w:bCs/>
                <w:color w:val="auto"/>
                <w:sz w:val="22"/>
                <w:lang w:val="en-US" w:eastAsia="zh-CN"/>
              </w:rPr>
              <w:t>100</w:t>
            </w:r>
          </w:p>
        </w:tc>
      </w:tr>
    </w:tbl>
    <w:p>
      <w:pPr>
        <w:pStyle w:val="3"/>
        <w:spacing w:line="360" w:lineRule="auto"/>
        <w:rPr>
          <w:rFonts w:ascii="仿宋_GB2312" w:eastAsia="仿宋_GB2312"/>
          <w:b w:val="0"/>
          <w:bCs w:val="0"/>
          <w:color w:val="auto"/>
        </w:rPr>
      </w:pPr>
      <w:bookmarkStart w:id="9" w:name="_Toc68703836"/>
      <w:r>
        <w:rPr>
          <w:rFonts w:hint="eastAsia" w:ascii="仿宋_GB2312" w:eastAsia="仿宋_GB2312"/>
          <w:b w:val="0"/>
          <w:bCs w:val="0"/>
          <w:color w:val="auto"/>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本项目的项目决策、项目过程、项目产出、项目效益均达到了预期要求，最终得分为100分，项目达成年度指标。</w:t>
      </w:r>
    </w:p>
    <w:p>
      <w:pPr>
        <w:spacing w:line="360" w:lineRule="auto"/>
        <w:ind w:firstLine="600" w:firstLineChars="200"/>
        <w:rPr>
          <w:color w:val="auto"/>
        </w:rPr>
      </w:pPr>
    </w:p>
    <w:p>
      <w:pPr>
        <w:pStyle w:val="2"/>
        <w:spacing w:line="360" w:lineRule="auto"/>
        <w:rPr>
          <w:rFonts w:ascii="宋体" w:hAnsi="宋体" w:eastAsia="宋体"/>
          <w:color w:val="auto"/>
          <w:sz w:val="32"/>
          <w:szCs w:val="32"/>
        </w:rPr>
      </w:pPr>
      <w:bookmarkStart w:id="10" w:name="_Toc68703837"/>
      <w:r>
        <w:rPr>
          <w:rFonts w:hint="eastAsia" w:ascii="宋体" w:hAnsi="宋体" w:eastAsia="宋体"/>
          <w:color w:val="auto"/>
          <w:sz w:val="32"/>
          <w:szCs w:val="32"/>
        </w:rPr>
        <w:t>四、绩效评价指标分析</w:t>
      </w:r>
      <w:bookmarkEnd w:id="10"/>
    </w:p>
    <w:p>
      <w:pPr>
        <w:pStyle w:val="3"/>
        <w:spacing w:line="360" w:lineRule="auto"/>
        <w:rPr>
          <w:rFonts w:ascii="仿宋_GB2312" w:eastAsia="仿宋_GB2312"/>
          <w:b w:val="0"/>
          <w:bCs w:val="0"/>
          <w:color w:val="auto"/>
        </w:rPr>
      </w:pPr>
      <w:bookmarkStart w:id="11" w:name="_Toc68703838"/>
      <w:r>
        <w:rPr>
          <w:rFonts w:hint="eastAsia" w:ascii="仿宋_GB2312" w:eastAsia="仿宋_GB2312"/>
          <w:b w:val="0"/>
          <w:bCs w:val="0"/>
          <w:color w:val="auto"/>
        </w:rPr>
        <w:t>（一）项目决策情况。</w:t>
      </w:r>
      <w:bookmarkEnd w:id="11"/>
    </w:p>
    <w:p>
      <w:pPr>
        <w:spacing w:line="360" w:lineRule="auto"/>
        <w:rPr>
          <w:color w:val="auto"/>
        </w:rPr>
      </w:pPr>
      <w:r>
        <w:rPr>
          <w:rFonts w:hint="eastAsia"/>
          <w:color w:val="auto"/>
        </w:rPr>
        <w:t>1、立项依据充分性</w:t>
      </w:r>
    </w:p>
    <w:p>
      <w:pPr>
        <w:spacing w:line="360" w:lineRule="auto"/>
        <w:ind w:firstLine="600" w:firstLineChars="200"/>
        <w:rPr>
          <w:color w:val="auto"/>
        </w:rPr>
      </w:pPr>
      <w:r>
        <w:rPr>
          <w:rFonts w:hint="eastAsia"/>
          <w:color w:val="auto"/>
        </w:rPr>
        <w:t>项目立项依据</w:t>
      </w:r>
      <w:r>
        <w:rPr>
          <w:rFonts w:hint="eastAsia" w:ascii="仿宋_GB2312"/>
          <w:color w:val="auto"/>
          <w:lang w:val="en-US" w:eastAsia="zh-CN"/>
        </w:rPr>
        <w:t>根据《中华人民共和国兵役法》、《军人抚恤优待条列》、伊州财社【2020】120号《关于下达中央财政2021年优抚对象补助经费预算的通知》、新退役军人发【2021】16号《关于调整部分优抚对象等人员抚恤和生活补助标准的通知》</w:t>
      </w:r>
      <w:r>
        <w:rPr>
          <w:rFonts w:hint="eastAsia"/>
          <w:color w:val="auto"/>
        </w:rPr>
        <w:t>；项目立项符合行业发展规划和政策要求；项目立项与部门职责范围相符，属于部门履职所需；项目属于公共财政支持范围，符合中央、地方事权支出责任划分原则；项目</w:t>
      </w:r>
      <w:r>
        <w:rPr>
          <w:rFonts w:hint="eastAsia"/>
          <w:color w:val="auto"/>
          <w:lang w:val="en-US" w:eastAsia="zh-CN"/>
        </w:rPr>
        <w:t>未</w:t>
      </w:r>
      <w:r>
        <w:rPr>
          <w:rFonts w:hint="eastAsia"/>
          <w:color w:val="auto"/>
        </w:rPr>
        <w:t>与相关部门同类项目或部门内部相关项目重复。</w:t>
      </w:r>
    </w:p>
    <w:p>
      <w:pPr>
        <w:spacing w:line="360" w:lineRule="auto"/>
        <w:rPr>
          <w:color w:val="auto"/>
        </w:rPr>
      </w:pPr>
      <w:r>
        <w:rPr>
          <w:rFonts w:hint="eastAsia"/>
          <w:color w:val="auto"/>
        </w:rPr>
        <w:t>2、立项程序规范性</w:t>
      </w:r>
    </w:p>
    <w:p>
      <w:pPr>
        <w:spacing w:line="360" w:lineRule="auto"/>
        <w:ind w:firstLine="600" w:firstLineChars="200"/>
        <w:rPr>
          <w:color w:val="auto"/>
        </w:rPr>
      </w:pPr>
      <w:r>
        <w:rPr>
          <w:rFonts w:hint="eastAsia"/>
          <w:color w:val="auto"/>
        </w:rPr>
        <w:t>项目是按照规定的程序申请设立；审批文件、材料是符合相关要求；事前已经过必要的可行性研究、专家论证、风险评估、绩效评估、集体决策。</w:t>
      </w:r>
    </w:p>
    <w:p>
      <w:pPr>
        <w:spacing w:line="360" w:lineRule="auto"/>
        <w:rPr>
          <w:color w:val="auto"/>
        </w:rPr>
      </w:pPr>
      <w:r>
        <w:rPr>
          <w:rFonts w:hint="eastAsia"/>
          <w:color w:val="auto"/>
        </w:rPr>
        <w:t>3、绩效目标合理性</w:t>
      </w:r>
    </w:p>
    <w:p>
      <w:pPr>
        <w:spacing w:line="360" w:lineRule="auto"/>
        <w:ind w:firstLine="600" w:firstLineChars="200"/>
        <w:rPr>
          <w:color w:val="auto"/>
        </w:rPr>
      </w:pPr>
      <w:r>
        <w:rPr>
          <w:rFonts w:hint="eastAsia"/>
          <w:color w:val="auto"/>
        </w:rPr>
        <w:t>2021年优抚对象补助经费项目设立了项目绩效目标，与</w:t>
      </w:r>
      <w:r>
        <w:rPr>
          <w:rFonts w:hint="eastAsia"/>
          <w:color w:val="auto"/>
          <w:lang w:val="en-US" w:eastAsia="zh-CN"/>
        </w:rPr>
        <w:t>每月为优抚对象发放伤残抚恤和生活补助金</w:t>
      </w:r>
      <w:r>
        <w:rPr>
          <w:rFonts w:hint="eastAsia"/>
          <w:color w:val="auto"/>
        </w:rPr>
        <w:t>具有相关性，项目的预期产出效益和效果也均能符合正常的业绩水平，并且与预算确定的项目投资额或资金量相匹配。</w:t>
      </w:r>
    </w:p>
    <w:p>
      <w:pPr>
        <w:spacing w:line="360" w:lineRule="auto"/>
        <w:rPr>
          <w:color w:val="auto"/>
        </w:rPr>
      </w:pPr>
      <w:r>
        <w:rPr>
          <w:rFonts w:hint="eastAsia"/>
          <w:color w:val="auto"/>
        </w:rPr>
        <w:t>4、绩效指标明确性</w:t>
      </w:r>
    </w:p>
    <w:p>
      <w:pPr>
        <w:spacing w:line="360" w:lineRule="auto"/>
        <w:ind w:firstLine="600" w:firstLineChars="200"/>
        <w:rPr>
          <w:color w:val="auto"/>
        </w:rPr>
      </w:pPr>
      <w:bookmarkStart w:id="12" w:name="_Hlk68699917"/>
      <w:r>
        <w:rPr>
          <w:rFonts w:hint="eastAsia"/>
          <w:color w:val="auto"/>
        </w:rPr>
        <w:t>2021年优抚对象补助项目将项目绩效目标细化分解为具体的绩效指标，一级指标共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7</w:t>
      </w:r>
      <w:r>
        <w:rPr>
          <w:rFonts w:hint="eastAsia"/>
          <w:color w:val="auto"/>
        </w:rPr>
        <w:t>条，三级指标共</w:t>
      </w:r>
      <w:r>
        <w:rPr>
          <w:rFonts w:hint="eastAsia"/>
          <w:color w:val="auto"/>
          <w:lang w:val="en-US" w:eastAsia="zh-CN"/>
        </w:rPr>
        <w:t>12</w:t>
      </w:r>
      <w:r>
        <w:rPr>
          <w:rFonts w:hint="eastAsia"/>
          <w:color w:val="auto"/>
        </w:rPr>
        <w:t>条，其中量化指标条数共</w:t>
      </w:r>
      <w:r>
        <w:rPr>
          <w:rFonts w:hint="eastAsia"/>
          <w:color w:val="auto"/>
          <w:lang w:val="en-US" w:eastAsia="zh-CN"/>
        </w:rPr>
        <w:t>9</w:t>
      </w:r>
      <w:r>
        <w:rPr>
          <w:rFonts w:hint="eastAsia"/>
          <w:color w:val="auto"/>
        </w:rPr>
        <w:t>条，所有绩效指标均通过清晰、可衡量的指标值予以体现，并且做到了与项目目标任务数或计划数相对应。</w:t>
      </w:r>
      <w:bookmarkEnd w:id="12"/>
    </w:p>
    <w:p>
      <w:pPr>
        <w:spacing w:line="360" w:lineRule="auto"/>
        <w:rPr>
          <w:color w:val="auto"/>
        </w:rPr>
      </w:pPr>
      <w:r>
        <w:rPr>
          <w:rFonts w:hint="eastAsia"/>
          <w:color w:val="auto"/>
        </w:rPr>
        <w:t>5、预算编制科学性</w:t>
      </w:r>
    </w:p>
    <w:p>
      <w:pPr>
        <w:spacing w:line="360" w:lineRule="auto"/>
        <w:ind w:firstLine="600" w:firstLineChars="200"/>
        <w:rPr>
          <w:color w:val="auto"/>
        </w:rPr>
      </w:pPr>
      <w:r>
        <w:rPr>
          <w:rFonts w:hint="eastAsia"/>
          <w:color w:val="auto"/>
        </w:rPr>
        <w:t>预算编制是经过科学论证；预算内容与项目内容是匹配；预算额度测算依据充分，按照标准编制；预算确定的项目投资额或资金量与工作任务相匹配。</w:t>
      </w:r>
    </w:p>
    <w:p>
      <w:pPr>
        <w:spacing w:line="360" w:lineRule="auto"/>
        <w:rPr>
          <w:color w:val="auto"/>
        </w:rPr>
      </w:pPr>
      <w:r>
        <w:rPr>
          <w:rFonts w:hint="eastAsia"/>
          <w:color w:val="auto"/>
        </w:rPr>
        <w:t>6、资金分配合理性</w:t>
      </w:r>
    </w:p>
    <w:p>
      <w:pPr>
        <w:spacing w:line="360" w:lineRule="auto"/>
        <w:ind w:firstLine="600" w:firstLineChars="200"/>
        <w:rPr>
          <w:color w:val="auto"/>
        </w:rPr>
      </w:pPr>
      <w:r>
        <w:rPr>
          <w:rFonts w:hint="eastAsia"/>
          <w:color w:val="auto"/>
        </w:rPr>
        <w:t>预算资金分配依据充分；资金分配额度合理，与项目单位或地方实际相适应。</w:t>
      </w:r>
    </w:p>
    <w:p>
      <w:pPr>
        <w:pStyle w:val="3"/>
        <w:spacing w:line="360" w:lineRule="auto"/>
        <w:rPr>
          <w:rFonts w:ascii="仿宋_GB2312" w:eastAsia="仿宋_GB2312"/>
          <w:b w:val="0"/>
          <w:bCs w:val="0"/>
          <w:color w:val="auto"/>
        </w:rPr>
      </w:pPr>
      <w:bookmarkStart w:id="13" w:name="_Toc68703839"/>
      <w:r>
        <w:rPr>
          <w:rFonts w:hint="eastAsia" w:ascii="仿宋_GB2312" w:eastAsia="仿宋_GB2312"/>
          <w:b w:val="0"/>
          <w:bCs w:val="0"/>
          <w:color w:val="auto"/>
        </w:rPr>
        <w:t>（二）项目过程情况。</w:t>
      </w:r>
      <w:bookmarkEnd w:id="13"/>
    </w:p>
    <w:p>
      <w:pPr>
        <w:spacing w:line="360" w:lineRule="auto"/>
        <w:rPr>
          <w:color w:val="auto"/>
        </w:rPr>
      </w:pPr>
      <w:r>
        <w:rPr>
          <w:rFonts w:hint="eastAsia"/>
          <w:color w:val="auto"/>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289</w:t>
      </w:r>
      <w:r>
        <w:rPr>
          <w:rFonts w:hint="eastAsia"/>
          <w:color w:val="auto"/>
        </w:rPr>
        <w:t>万元，实际到位资金</w:t>
      </w:r>
      <w:r>
        <w:rPr>
          <w:rFonts w:hint="eastAsia"/>
          <w:color w:val="auto"/>
          <w:lang w:val="en-US" w:eastAsia="zh-CN"/>
        </w:rPr>
        <w:t>289</w:t>
      </w:r>
      <w:r>
        <w:rPr>
          <w:rFonts w:hint="eastAsia"/>
          <w:color w:val="auto"/>
        </w:rPr>
        <w:t>万元，资金到位率</w:t>
      </w:r>
      <w:r>
        <w:rPr>
          <w:rFonts w:hint="eastAsia"/>
          <w:color w:val="auto"/>
          <w:lang w:val="en-US" w:eastAsia="zh-CN"/>
        </w:rPr>
        <w:t>100</w:t>
      </w:r>
      <w:r>
        <w:rPr>
          <w:rFonts w:hint="eastAsia"/>
          <w:color w:val="auto"/>
        </w:rPr>
        <w:t>%。</w:t>
      </w:r>
    </w:p>
    <w:p>
      <w:pPr>
        <w:spacing w:line="360" w:lineRule="auto"/>
        <w:rPr>
          <w:color w:val="auto"/>
        </w:rPr>
      </w:pPr>
      <w:r>
        <w:rPr>
          <w:rFonts w:hint="eastAsia"/>
          <w:color w:val="auto"/>
        </w:rPr>
        <w:t>2、预算执行率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0</w:t>
      </w:r>
      <w:r>
        <w:rPr>
          <w:rFonts w:hint="eastAsia"/>
          <w:color w:val="auto"/>
        </w:rPr>
        <w:t>万元，全年预算数</w:t>
      </w:r>
      <w:r>
        <w:rPr>
          <w:rFonts w:hint="eastAsia"/>
          <w:color w:val="auto"/>
          <w:lang w:val="en-US" w:eastAsia="zh-CN"/>
        </w:rPr>
        <w:t>289</w:t>
      </w:r>
      <w:r>
        <w:rPr>
          <w:rFonts w:hint="eastAsia"/>
          <w:color w:val="auto"/>
        </w:rPr>
        <w:t>万元，全年执行数</w:t>
      </w:r>
      <w:r>
        <w:rPr>
          <w:rFonts w:hint="eastAsia"/>
          <w:color w:val="auto"/>
          <w:lang w:val="en-US" w:eastAsia="zh-CN"/>
        </w:rPr>
        <w:t>289</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rPr>
          <w:color w:val="auto"/>
        </w:rPr>
      </w:pPr>
      <w:r>
        <w:rPr>
          <w:rFonts w:hint="eastAsia"/>
          <w:color w:val="auto"/>
        </w:rPr>
        <w:t>3、资金使用合规性</w:t>
      </w:r>
    </w:p>
    <w:p>
      <w:pPr>
        <w:spacing w:line="360" w:lineRule="auto"/>
        <w:ind w:firstLine="600" w:firstLineChars="200"/>
        <w:rPr>
          <w:color w:val="auto"/>
        </w:rPr>
      </w:pPr>
      <w:r>
        <w:rPr>
          <w:rFonts w:hint="eastAsia"/>
          <w:color w:val="auto"/>
        </w:rPr>
        <w:t>符合国家财经法规和财务管理制度以及有关专项资金管理办法的规定；资金的拨付是有完整的审批程序和手续；符合项目预算批复或合同规定的用途；</w:t>
      </w:r>
      <w:r>
        <w:rPr>
          <w:rFonts w:hint="eastAsia"/>
          <w:color w:val="auto"/>
          <w:lang w:val="en-US"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lang w:val="en-US" w:eastAsia="zh-CN"/>
        </w:rPr>
        <w:t>本项目</w:t>
      </w:r>
      <w:r>
        <w:rPr>
          <w:rFonts w:hint="eastAsia"/>
          <w:color w:val="auto"/>
        </w:rPr>
        <w:t>已制定或具有相应的财务和业务管理制度；财务和业务管理制度是合法、合规、完整。</w:t>
      </w:r>
    </w:p>
    <w:p>
      <w:pPr>
        <w:spacing w:line="360" w:lineRule="auto"/>
        <w:rPr>
          <w:color w:val="auto"/>
        </w:rPr>
      </w:pPr>
      <w:r>
        <w:rPr>
          <w:rFonts w:hint="eastAsia"/>
          <w:color w:val="auto"/>
        </w:rPr>
        <w:t>5、制度执行有效性</w:t>
      </w:r>
    </w:p>
    <w:p>
      <w:pPr>
        <w:spacing w:line="360" w:lineRule="auto"/>
        <w:ind w:firstLine="600" w:firstLineChars="200"/>
        <w:rPr>
          <w:color w:val="auto"/>
        </w:rPr>
      </w:pPr>
      <w:r>
        <w:rPr>
          <w:rFonts w:hint="eastAsia"/>
          <w:color w:val="auto"/>
        </w:rPr>
        <w:t>遵守相关法律法规和相关管理规定；项目调整及支出调整手续是完备；项目合同书、验收报告、技术鉴定等资料是齐全并及时归档；项目实施的人员条件、场地设备、信息支撑等是落实到位。</w:t>
      </w:r>
    </w:p>
    <w:p>
      <w:pPr>
        <w:pStyle w:val="3"/>
        <w:spacing w:line="360" w:lineRule="auto"/>
        <w:rPr>
          <w:rFonts w:ascii="仿宋_GB2312" w:eastAsia="仿宋_GB2312"/>
          <w:b w:val="0"/>
          <w:bCs w:val="0"/>
          <w:color w:val="auto"/>
        </w:rPr>
      </w:pPr>
      <w:bookmarkStart w:id="14" w:name="_Toc68703840"/>
      <w:r>
        <w:rPr>
          <w:rFonts w:hint="eastAsia" w:ascii="仿宋_GB2312" w:eastAsia="仿宋_GB2312"/>
          <w:b w:val="0"/>
          <w:bCs w:val="0"/>
          <w:color w:val="auto"/>
        </w:rPr>
        <w:t>（三）项目产出情况。</w:t>
      </w:r>
      <w:bookmarkEnd w:id="14"/>
    </w:p>
    <w:p>
      <w:pPr>
        <w:spacing w:line="360" w:lineRule="auto"/>
        <w:ind w:firstLine="600" w:firstLineChars="200"/>
        <w:rPr>
          <w:color w:val="auto"/>
        </w:rPr>
      </w:pPr>
      <w:r>
        <w:rPr>
          <w:rFonts w:hint="eastAsia"/>
          <w:color w:val="auto"/>
        </w:rPr>
        <w:t>1、数量指标：指标1：享受优抚对象伤残抚恤补助人数，指标值：≥23人</w:t>
      </w:r>
      <w:r>
        <w:rPr>
          <w:color w:val="auto"/>
        </w:rPr>
        <w:t xml:space="preserve"> </w:t>
      </w:r>
      <w:r>
        <w:rPr>
          <w:rFonts w:hint="eastAsia"/>
          <w:color w:val="auto"/>
        </w:rPr>
        <w:t>，实际完成值24人，指标完成率</w:t>
      </w:r>
      <w:r>
        <w:rPr>
          <w:rFonts w:hint="eastAsia"/>
          <w:color w:val="auto"/>
          <w:lang w:val="en-US" w:eastAsia="zh-CN"/>
        </w:rPr>
        <w:t>104.35</w:t>
      </w:r>
      <w:r>
        <w:rPr>
          <w:rFonts w:hint="eastAsia"/>
          <w:color w:val="auto"/>
        </w:rPr>
        <w:t>%，偏差原因：</w:t>
      </w:r>
      <w:r>
        <w:rPr>
          <w:rFonts w:hint="eastAsia"/>
          <w:color w:val="auto"/>
          <w:lang w:val="en-US" w:eastAsia="zh-CN"/>
        </w:rPr>
        <w:t>伤残人员增加1名</w:t>
      </w:r>
      <w:r>
        <w:rPr>
          <w:rFonts w:hint="eastAsia"/>
          <w:color w:val="auto"/>
        </w:rPr>
        <w:t>；指标2：享受优抚对象生活补助人数，指标值：≥148人</w:t>
      </w:r>
      <w:r>
        <w:rPr>
          <w:color w:val="auto"/>
        </w:rPr>
        <w:t xml:space="preserve"> </w:t>
      </w:r>
      <w:r>
        <w:rPr>
          <w:rFonts w:hint="eastAsia"/>
          <w:color w:val="auto"/>
        </w:rPr>
        <w:t>，实际完成值</w:t>
      </w:r>
      <w:r>
        <w:rPr>
          <w:rFonts w:hint="eastAsia"/>
          <w:color w:val="auto"/>
          <w:lang w:val="en-US" w:eastAsia="zh-CN"/>
        </w:rPr>
        <w:t>145人</w:t>
      </w:r>
      <w:r>
        <w:rPr>
          <w:rFonts w:hint="eastAsia"/>
          <w:color w:val="auto"/>
        </w:rPr>
        <w:t>，指标完成率</w:t>
      </w:r>
      <w:r>
        <w:rPr>
          <w:rFonts w:hint="eastAsia"/>
          <w:color w:val="auto"/>
          <w:lang w:val="en-US" w:eastAsia="zh-CN"/>
        </w:rPr>
        <w:t>97.97</w:t>
      </w:r>
      <w:r>
        <w:rPr>
          <w:rFonts w:hint="eastAsia"/>
          <w:color w:val="auto"/>
        </w:rPr>
        <w:t>%，偏差原因：人员死亡，</w:t>
      </w:r>
      <w:r>
        <w:rPr>
          <w:rStyle w:val="8"/>
          <w:rFonts w:hint="eastAsia" w:ascii="仿宋_GB2312" w:hAnsi="楷体"/>
          <w:b w:val="0"/>
          <w:color w:val="auto"/>
          <w:spacing w:val="-4"/>
          <w:sz w:val="30"/>
          <w:szCs w:val="30"/>
          <w:lang w:val="en-US" w:eastAsia="zh-CN"/>
        </w:rPr>
        <w:t>所以补助人数有所减少。</w:t>
      </w:r>
      <w:r>
        <w:rPr>
          <w:rFonts w:hint="eastAsia"/>
          <w:color w:val="auto"/>
        </w:rPr>
        <w:t>改进措施：及时调整发放金额，据实发放。指标</w:t>
      </w:r>
      <w:r>
        <w:rPr>
          <w:rFonts w:hint="eastAsia"/>
          <w:color w:val="auto"/>
          <w:lang w:val="en-US" w:eastAsia="zh-CN"/>
        </w:rPr>
        <w:t>3</w:t>
      </w:r>
      <w:r>
        <w:rPr>
          <w:rFonts w:hint="eastAsia"/>
          <w:color w:val="auto"/>
        </w:rPr>
        <w:t>：发放优抚对象补助资金次数，指标值：=12次</w:t>
      </w:r>
      <w:r>
        <w:rPr>
          <w:color w:val="auto"/>
        </w:rPr>
        <w:t xml:space="preserve"> </w:t>
      </w:r>
      <w:r>
        <w:rPr>
          <w:rFonts w:hint="eastAsia"/>
          <w:color w:val="auto"/>
        </w:rPr>
        <w:t>，实际完成值</w:t>
      </w:r>
      <w:r>
        <w:rPr>
          <w:rFonts w:hint="eastAsia"/>
          <w:color w:val="auto"/>
          <w:lang w:val="en-US" w:eastAsia="zh-CN"/>
        </w:rPr>
        <w:t>12次</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p>
    <w:p>
      <w:pPr>
        <w:spacing w:line="360" w:lineRule="auto"/>
        <w:ind w:firstLine="600" w:firstLineChars="200"/>
        <w:rPr>
          <w:color w:val="auto"/>
        </w:rPr>
      </w:pPr>
    </w:p>
    <w:p>
      <w:pPr>
        <w:numPr>
          <w:ilvl w:val="0"/>
          <w:numId w:val="1"/>
        </w:numPr>
        <w:spacing w:line="360" w:lineRule="auto"/>
        <w:ind w:left="0" w:leftChars="0" w:firstLine="600" w:firstLineChars="200"/>
        <w:rPr>
          <w:rFonts w:hint="eastAsia"/>
          <w:color w:val="auto"/>
          <w:lang w:eastAsia="zh-CN"/>
        </w:rPr>
      </w:pPr>
      <w:r>
        <w:rPr>
          <w:rFonts w:hint="eastAsia"/>
          <w:color w:val="auto"/>
        </w:rPr>
        <w:t>质量指标：指标1：优抚补助资金发放及时率，指标值：</w:t>
      </w:r>
      <w:r>
        <w:rPr>
          <w:rFonts w:hint="eastAsia"/>
          <w:color w:val="auto"/>
          <w:lang w:val="en-US" w:eastAsia="zh-CN"/>
        </w:rPr>
        <w:t>=100%</w:t>
      </w:r>
      <w:r>
        <w:rPr>
          <w:rFonts w:hint="eastAsia"/>
          <w:color w:val="auto"/>
        </w:rPr>
        <w:t>，实际完成值</w:t>
      </w:r>
      <w:r>
        <w:rPr>
          <w:rFonts w:hint="eastAsia"/>
          <w:color w:val="auto"/>
          <w:lang w:val="en-US" w:eastAsia="zh-CN"/>
        </w:rPr>
        <w:t>100%</w:t>
      </w:r>
      <w:r>
        <w:rPr>
          <w:color w:val="auto"/>
        </w:rPr>
        <w:t xml:space="preserve"> </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rPr>
        <w:t>3、时效指标：指标</w:t>
      </w:r>
      <w:r>
        <w:rPr>
          <w:rFonts w:hint="eastAsia"/>
          <w:color w:val="auto"/>
          <w:lang w:val="en-US" w:eastAsia="zh-CN"/>
        </w:rPr>
        <w:t>1</w:t>
      </w:r>
      <w:r>
        <w:rPr>
          <w:rFonts w:hint="eastAsia"/>
          <w:color w:val="auto"/>
        </w:rPr>
        <w:t>：优抚对象补助资金发放及时性，指标值：=100%</w:t>
      </w:r>
      <w:r>
        <w:rPr>
          <w:color w:val="auto"/>
        </w:rPr>
        <w:t xml:space="preserve"> </w:t>
      </w:r>
      <w:r>
        <w:rPr>
          <w:rFonts w:hint="eastAsia"/>
          <w:color w:val="auto"/>
        </w:rPr>
        <w:t>，实际完成值100%，指标完成率100</w:t>
      </w:r>
      <w:r>
        <w:rPr>
          <w:color w:val="auto"/>
        </w:rPr>
        <w:t xml:space="preserve"> </w:t>
      </w:r>
      <w:r>
        <w:rPr>
          <w:rFonts w:hint="eastAsia"/>
          <w:color w:val="auto"/>
        </w:rPr>
        <w:t>%。</w:t>
      </w:r>
    </w:p>
    <w:p>
      <w:pPr>
        <w:spacing w:line="360" w:lineRule="auto"/>
        <w:ind w:firstLine="600" w:firstLineChars="200"/>
        <w:rPr>
          <w:color w:val="auto"/>
        </w:rPr>
      </w:pPr>
      <w:r>
        <w:rPr>
          <w:rFonts w:hint="eastAsia"/>
          <w:color w:val="auto"/>
        </w:rPr>
        <w:t>4、成本指标</w:t>
      </w:r>
      <w:r>
        <w:rPr>
          <w:rFonts w:hint="eastAsia"/>
          <w:color w:val="auto"/>
          <w:lang w:eastAsia="zh-CN"/>
        </w:rPr>
        <w:t>：</w:t>
      </w:r>
      <w:r>
        <w:rPr>
          <w:rFonts w:hint="eastAsia"/>
          <w:color w:val="auto"/>
        </w:rPr>
        <w:t>指标</w:t>
      </w:r>
      <w:r>
        <w:rPr>
          <w:rFonts w:hint="eastAsia"/>
          <w:color w:val="auto"/>
          <w:lang w:val="en-US" w:eastAsia="zh-CN"/>
        </w:rPr>
        <w:t>1</w:t>
      </w:r>
      <w:r>
        <w:rPr>
          <w:rFonts w:hint="eastAsia"/>
          <w:color w:val="auto"/>
        </w:rPr>
        <w:t>：在乡老复员军人补助发放平均标准</w:t>
      </w:r>
      <w:r>
        <w:rPr>
          <w:color w:val="auto"/>
        </w:rPr>
        <w:t xml:space="preserve"> </w:t>
      </w:r>
      <w:r>
        <w:rPr>
          <w:rFonts w:hint="eastAsia"/>
          <w:color w:val="auto"/>
        </w:rPr>
        <w:t>，指标值：=19020元/年，实际完成值19020元/年，指标完成率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指标2：带病回乡退伍军人补助发放平均标准</w:t>
      </w:r>
      <w:r>
        <w:rPr>
          <w:color w:val="auto"/>
        </w:rPr>
        <w:t xml:space="preserve"> </w:t>
      </w:r>
      <w:r>
        <w:rPr>
          <w:rFonts w:hint="eastAsia"/>
          <w:color w:val="auto"/>
        </w:rPr>
        <w:t>，指标值：=9000元/年</w:t>
      </w:r>
      <w:r>
        <w:rPr>
          <w:color w:val="auto"/>
        </w:rPr>
        <w:t xml:space="preserve"> </w:t>
      </w:r>
      <w:r>
        <w:rPr>
          <w:rFonts w:hint="eastAsia"/>
          <w:color w:val="auto"/>
        </w:rPr>
        <w:t>，实际完成值9000元/年</w:t>
      </w:r>
      <w:r>
        <w:rPr>
          <w:color w:val="auto"/>
        </w:rPr>
        <w:t xml:space="preserve"> </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r>
        <w:rPr>
          <w:rFonts w:hint="eastAsia"/>
          <w:color w:val="auto"/>
        </w:rPr>
        <w:t>指标</w:t>
      </w:r>
      <w:r>
        <w:rPr>
          <w:rFonts w:hint="eastAsia"/>
          <w:color w:val="auto"/>
          <w:lang w:val="en-US" w:eastAsia="zh-CN"/>
        </w:rPr>
        <w:t>3</w:t>
      </w:r>
      <w:r>
        <w:rPr>
          <w:rFonts w:hint="eastAsia"/>
          <w:color w:val="auto"/>
        </w:rPr>
        <w:t>：因公牺牲军人遗属补助发放平均标准</w:t>
      </w:r>
      <w:r>
        <w:rPr>
          <w:color w:val="auto"/>
        </w:rPr>
        <w:t xml:space="preserve"> </w:t>
      </w:r>
      <w:r>
        <w:rPr>
          <w:rFonts w:hint="eastAsia"/>
          <w:color w:val="auto"/>
        </w:rPr>
        <w:t>，指标值：=26440元/年</w:t>
      </w:r>
      <w:r>
        <w:rPr>
          <w:color w:val="auto"/>
        </w:rPr>
        <w:t xml:space="preserve"> </w:t>
      </w:r>
      <w:r>
        <w:rPr>
          <w:rFonts w:hint="eastAsia"/>
          <w:color w:val="auto"/>
        </w:rPr>
        <w:t>，实际完成值26440元/年，指标完成率</w:t>
      </w:r>
      <w:r>
        <w:rPr>
          <w:rFonts w:hint="eastAsia"/>
          <w:color w:val="auto"/>
          <w:lang w:val="en-US" w:eastAsia="zh-CN"/>
        </w:rPr>
        <w:t>100</w:t>
      </w:r>
      <w:r>
        <w:rPr>
          <w:color w:val="auto"/>
        </w:rPr>
        <w:t xml:space="preserve"> </w:t>
      </w:r>
      <w:r>
        <w:rPr>
          <w:rFonts w:hint="eastAsia"/>
          <w:color w:val="auto"/>
        </w:rPr>
        <w:t>%</w:t>
      </w:r>
      <w:r>
        <w:rPr>
          <w:rFonts w:hint="eastAsia"/>
          <w:color w:val="auto"/>
          <w:lang w:val="en-US" w:eastAsia="zh-CN"/>
        </w:rPr>
        <w:t>；</w:t>
      </w:r>
      <w:r>
        <w:rPr>
          <w:rFonts w:hint="eastAsia"/>
          <w:color w:val="auto"/>
        </w:rPr>
        <w:t>指标</w:t>
      </w:r>
      <w:r>
        <w:rPr>
          <w:rFonts w:hint="eastAsia"/>
          <w:color w:val="auto"/>
          <w:lang w:val="en-US" w:eastAsia="zh-CN"/>
        </w:rPr>
        <w:t>4</w:t>
      </w:r>
      <w:r>
        <w:rPr>
          <w:rFonts w:hint="eastAsia"/>
          <w:color w:val="auto"/>
        </w:rPr>
        <w:t>：农村籍退役士兵补助发放平均标准，指标值：</w:t>
      </w:r>
      <w:r>
        <w:rPr>
          <w:rFonts w:hint="eastAsia"/>
          <w:color w:val="auto"/>
          <w:lang w:val="en-US" w:eastAsia="zh-CN"/>
        </w:rPr>
        <w:t>≥</w:t>
      </w:r>
      <w:r>
        <w:rPr>
          <w:rFonts w:hint="eastAsia"/>
          <w:color w:val="auto"/>
        </w:rPr>
        <w:t>540*服役年数+12420元/年，实际完成值540*服役年数+12420元/年 ，指标完成率</w:t>
      </w:r>
      <w:r>
        <w:rPr>
          <w:rFonts w:hint="eastAsia"/>
          <w:color w:val="auto"/>
          <w:lang w:val="en-US" w:eastAsia="zh-CN"/>
        </w:rPr>
        <w:t>100</w:t>
      </w:r>
      <w:r>
        <w:rPr>
          <w:color w:val="auto"/>
        </w:rPr>
        <w:t xml:space="preserve"> </w:t>
      </w:r>
      <w:r>
        <w:rPr>
          <w:rFonts w:hint="eastAsia"/>
          <w:color w:val="auto"/>
        </w:rPr>
        <w:t>%。</w:t>
      </w:r>
    </w:p>
    <w:p>
      <w:pPr>
        <w:pStyle w:val="3"/>
        <w:spacing w:line="360" w:lineRule="auto"/>
        <w:rPr>
          <w:rFonts w:ascii="仿宋_GB2312" w:eastAsia="仿宋_GB2312"/>
          <w:b w:val="0"/>
          <w:bCs w:val="0"/>
          <w:color w:val="auto"/>
        </w:rPr>
      </w:pPr>
      <w:bookmarkStart w:id="15" w:name="_Toc68703841"/>
      <w:r>
        <w:rPr>
          <w:rFonts w:hint="eastAsia" w:ascii="仿宋_GB2312" w:eastAsia="仿宋_GB2312"/>
          <w:b w:val="0"/>
          <w:bCs w:val="0"/>
          <w:color w:val="auto"/>
        </w:rPr>
        <w:t>（四）项目效益情况。</w:t>
      </w:r>
      <w:bookmarkEnd w:id="15"/>
    </w:p>
    <w:p>
      <w:pPr>
        <w:spacing w:line="360" w:lineRule="auto"/>
        <w:ind w:firstLine="600" w:firstLineChars="200"/>
        <w:rPr>
          <w:rFonts w:hint="eastAsia" w:eastAsia="仿宋_GB2312"/>
          <w:color w:val="auto"/>
          <w:lang w:eastAsia="zh-CN"/>
        </w:rPr>
      </w:pPr>
      <w:r>
        <w:rPr>
          <w:rFonts w:hint="eastAsia"/>
          <w:color w:val="auto"/>
          <w:lang w:val="en-US" w:eastAsia="zh-CN"/>
        </w:rPr>
        <w:t>1</w:t>
      </w:r>
      <w:r>
        <w:rPr>
          <w:rFonts w:hint="eastAsia"/>
          <w:color w:val="auto"/>
        </w:rPr>
        <w:t>、社会效益指标：指标</w:t>
      </w:r>
      <w:r>
        <w:rPr>
          <w:rFonts w:hint="eastAsia"/>
          <w:color w:val="auto"/>
          <w:lang w:val="en-US" w:eastAsia="zh-CN"/>
        </w:rPr>
        <w:t>1</w:t>
      </w:r>
      <w:r>
        <w:rPr>
          <w:rFonts w:hint="eastAsia"/>
          <w:color w:val="auto"/>
        </w:rPr>
        <w:t>：优抚对象生活质量，指标值：</w:t>
      </w:r>
      <w:r>
        <w:rPr>
          <w:rFonts w:hint="eastAsia"/>
          <w:color w:val="auto"/>
          <w:lang w:val="en-US" w:eastAsia="zh-CN"/>
        </w:rPr>
        <w:t>有所提升</w:t>
      </w:r>
      <w:r>
        <w:rPr>
          <w:rFonts w:hint="eastAsia"/>
          <w:color w:val="auto"/>
        </w:rPr>
        <w:t>，实际完成值有所提升，指标完成率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lang w:val="en-US" w:eastAsia="zh-CN"/>
        </w:rPr>
        <w:t>2</w:t>
      </w:r>
      <w:r>
        <w:rPr>
          <w:rFonts w:hint="eastAsia"/>
          <w:color w:val="auto"/>
        </w:rPr>
        <w:t>、可持续影响指标：指标</w:t>
      </w:r>
      <w:r>
        <w:rPr>
          <w:rFonts w:hint="eastAsia"/>
          <w:color w:val="auto"/>
          <w:lang w:val="en-US" w:eastAsia="zh-CN"/>
        </w:rPr>
        <w:t>1</w:t>
      </w:r>
      <w:r>
        <w:rPr>
          <w:rFonts w:hint="eastAsia"/>
          <w:color w:val="auto"/>
        </w:rPr>
        <w:t>：提升优抚对象生活水平，促进社会和谐稳定，指标值：</w:t>
      </w:r>
      <w:r>
        <w:rPr>
          <w:rFonts w:hint="eastAsia"/>
          <w:color w:val="auto"/>
          <w:lang w:val="en-US" w:eastAsia="zh-CN"/>
        </w:rPr>
        <w:t>效果显著</w:t>
      </w:r>
      <w:r>
        <w:rPr>
          <w:rFonts w:hint="eastAsia"/>
          <w:color w:val="auto"/>
        </w:rPr>
        <w:t>，实际完成值效果显著，指标完成率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eastAsia="zh-CN"/>
        </w:rPr>
      </w:pPr>
      <w:r>
        <w:rPr>
          <w:rFonts w:hint="eastAsia"/>
          <w:color w:val="auto"/>
          <w:lang w:val="en-US" w:eastAsia="zh-CN"/>
        </w:rPr>
        <w:t>3</w:t>
      </w:r>
      <w:r>
        <w:rPr>
          <w:rFonts w:hint="eastAsia"/>
          <w:color w:val="auto"/>
        </w:rPr>
        <w:t>、满意度指标：指标</w:t>
      </w:r>
      <w:r>
        <w:rPr>
          <w:rFonts w:hint="eastAsia"/>
          <w:color w:val="auto"/>
          <w:lang w:val="en-US" w:eastAsia="zh-CN"/>
        </w:rPr>
        <w:t>1</w:t>
      </w:r>
      <w:r>
        <w:rPr>
          <w:rFonts w:hint="eastAsia"/>
          <w:color w:val="auto"/>
        </w:rPr>
        <w:t>：享受优抚补助人员满意度，指标值：</w:t>
      </w:r>
      <w:r>
        <w:rPr>
          <w:rFonts w:hint="eastAsia"/>
          <w:color w:val="auto"/>
          <w:lang w:val="en-US" w:eastAsia="zh-CN"/>
        </w:rPr>
        <w:t>≥90%</w:t>
      </w:r>
      <w:r>
        <w:rPr>
          <w:rFonts w:hint="eastAsia"/>
          <w:color w:val="auto"/>
        </w:rPr>
        <w:t>，实际完成值90%，指标完成率</w:t>
      </w:r>
      <w:r>
        <w:rPr>
          <w:rFonts w:hint="eastAsia"/>
          <w:color w:val="auto"/>
          <w:lang w:val="en-US" w:eastAsia="zh-CN"/>
        </w:rPr>
        <w:t>100</w:t>
      </w:r>
      <w:r>
        <w:rPr>
          <w:color w:val="auto"/>
        </w:rPr>
        <w:t xml:space="preserve"> </w:t>
      </w:r>
      <w:r>
        <w:rPr>
          <w:rFonts w:hint="eastAsia"/>
          <w:color w:val="auto"/>
        </w:rPr>
        <w:t>%</w:t>
      </w:r>
      <w:r>
        <w:rPr>
          <w:rFonts w:hint="eastAsia"/>
          <w:color w:val="auto"/>
          <w:lang w:eastAsia="zh-CN"/>
        </w:rPr>
        <w:t>。</w:t>
      </w:r>
    </w:p>
    <w:p>
      <w:pPr>
        <w:spacing w:line="360" w:lineRule="auto"/>
        <w:rPr>
          <w:rFonts w:hint="eastAsia"/>
          <w:color w:val="auto"/>
        </w:rPr>
      </w:pPr>
    </w:p>
    <w:p>
      <w:pPr>
        <w:pStyle w:val="2"/>
        <w:spacing w:line="360" w:lineRule="auto"/>
        <w:rPr>
          <w:rFonts w:ascii="宋体" w:hAnsi="宋体" w:eastAsia="宋体"/>
          <w:color w:val="auto"/>
          <w:sz w:val="32"/>
          <w:szCs w:val="32"/>
        </w:rPr>
      </w:pPr>
      <w:bookmarkStart w:id="16" w:name="_Toc68703842"/>
      <w:r>
        <w:rPr>
          <w:rFonts w:hint="eastAsia" w:ascii="宋体" w:hAnsi="宋体" w:eastAsia="宋体"/>
          <w:color w:val="auto"/>
          <w:sz w:val="32"/>
          <w:szCs w:val="32"/>
        </w:rPr>
        <w:t>五、主要经验及做法、存在的问题及原因分析</w:t>
      </w:r>
      <w:bookmarkEnd w:id="16"/>
    </w:p>
    <w:p>
      <w:pPr>
        <w:pStyle w:val="3"/>
        <w:spacing w:line="360" w:lineRule="auto"/>
        <w:rPr>
          <w:rFonts w:ascii="仿宋_GB2312" w:eastAsia="仿宋_GB2312"/>
          <w:b w:val="0"/>
          <w:bCs w:val="0"/>
          <w:color w:val="auto"/>
        </w:rPr>
      </w:pPr>
      <w:bookmarkStart w:id="17" w:name="_Toc68703843"/>
      <w:r>
        <w:rPr>
          <w:rFonts w:hint="eastAsia" w:ascii="仿宋_GB2312" w:eastAsia="仿宋_GB2312"/>
          <w:b w:val="0"/>
          <w:bCs w:val="0"/>
          <w:color w:val="auto"/>
        </w:rPr>
        <w:t>（一）主要经验及做法</w:t>
      </w:r>
      <w:bookmarkEnd w:id="1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84" w:firstLineChars="200"/>
        <w:textAlignment w:val="auto"/>
        <w:outlineLvl w:val="0"/>
        <w:rPr>
          <w:rStyle w:val="8"/>
          <w:rFonts w:hint="default" w:ascii="仿宋_GB2312" w:hAnsi="楷体"/>
          <w:b w:val="0"/>
          <w:color w:val="auto"/>
          <w:spacing w:val="-4"/>
          <w:sz w:val="30"/>
          <w:szCs w:val="30"/>
          <w:lang w:val="en-US" w:eastAsia="zh-CN"/>
        </w:rPr>
      </w:pPr>
      <w:bookmarkStart w:id="18" w:name="_Toc68703844"/>
      <w:r>
        <w:rPr>
          <w:rStyle w:val="8"/>
          <w:rFonts w:hint="eastAsia" w:ascii="仿宋_GB2312" w:hAnsi="楷体"/>
          <w:b w:val="0"/>
          <w:color w:val="auto"/>
          <w:spacing w:val="-4"/>
          <w:sz w:val="30"/>
          <w:szCs w:val="30"/>
          <w:lang w:val="en-US" w:eastAsia="zh-CN"/>
        </w:rPr>
        <w:t>1、高度重视、统一思想，加强领导；2、加强单位职工的服务意识，坚决杜绝“门难进、脸难看、事难办”的问题。</w:t>
      </w:r>
    </w:p>
    <w:p>
      <w:pPr>
        <w:pStyle w:val="3"/>
        <w:spacing w:line="360" w:lineRule="auto"/>
        <w:rPr>
          <w:rFonts w:ascii="仿宋_GB2312" w:eastAsia="仿宋_GB2312"/>
          <w:b w:val="0"/>
          <w:bCs w:val="0"/>
          <w:color w:val="auto"/>
        </w:rPr>
      </w:pPr>
      <w:r>
        <w:rPr>
          <w:rFonts w:hint="eastAsia" w:ascii="仿宋_GB2312" w:eastAsia="仿宋_GB2312"/>
          <w:b w:val="0"/>
          <w:bCs w:val="0"/>
          <w:color w:val="auto"/>
        </w:rPr>
        <w:t>（二）存在的问题及原因分析</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84" w:firstLineChars="200"/>
        <w:textAlignment w:val="auto"/>
        <w:outlineLvl w:val="0"/>
        <w:rPr>
          <w:rStyle w:val="8"/>
          <w:rFonts w:hint="eastAsia" w:ascii="仿宋_GB2312" w:hAnsi="楷体"/>
          <w:b w:val="0"/>
          <w:color w:val="auto"/>
          <w:spacing w:val="-4"/>
          <w:sz w:val="30"/>
          <w:szCs w:val="30"/>
          <w:lang w:val="en-US" w:eastAsia="zh-CN"/>
        </w:rPr>
      </w:pPr>
      <w:bookmarkStart w:id="19" w:name="_Toc68703845"/>
      <w:r>
        <w:rPr>
          <w:rStyle w:val="8"/>
          <w:rFonts w:hint="eastAsia" w:ascii="仿宋_GB2312" w:hAnsi="楷体"/>
          <w:b w:val="0"/>
          <w:color w:val="auto"/>
          <w:spacing w:val="-4"/>
          <w:sz w:val="30"/>
          <w:szCs w:val="30"/>
          <w:lang w:val="en-US" w:eastAsia="zh-CN"/>
        </w:rPr>
        <w:t>1、项目在制定和编制预算绩效管理指标时对项目内容和程序把握不准，指标体系建设不够具体细致化，原因是单位对预算管理的认识不充分，预算编制工作不够细致化；2、三级指标设置不科学，原因是单位对绩效目标表认识不充分，对每项指标的用意不明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84" w:firstLineChars="200"/>
        <w:textAlignment w:val="auto"/>
        <w:outlineLvl w:val="0"/>
        <w:rPr>
          <w:rStyle w:val="8"/>
          <w:rFonts w:hint="default" w:ascii="仿宋_GB2312" w:hAnsi="楷体"/>
          <w:b w:val="0"/>
          <w:color w:val="auto"/>
          <w:spacing w:val="-4"/>
          <w:sz w:val="30"/>
          <w:szCs w:val="30"/>
          <w:lang w:val="en-US" w:eastAsia="zh-CN"/>
        </w:rPr>
      </w:pPr>
      <w:r>
        <w:rPr>
          <w:rStyle w:val="8"/>
          <w:rFonts w:hint="eastAsia" w:ascii="仿宋_GB2312" w:hAnsi="楷体"/>
          <w:b w:val="0"/>
          <w:color w:val="auto"/>
          <w:spacing w:val="-4"/>
          <w:sz w:val="30"/>
          <w:szCs w:val="30"/>
          <w:lang w:val="en-US" w:eastAsia="zh-CN"/>
        </w:rPr>
        <w:t>改进措施：1、提高对预算管理的充分认识，细化预算编制工作，认真做好预算的编制，严格按照预算编制的相关制度和要求进行预算编制；2、提高对绩效目标表的充分理解和认识，明确项指标的用意，设置指标科学化。</w:t>
      </w:r>
    </w:p>
    <w:p>
      <w:pPr>
        <w:pStyle w:val="2"/>
        <w:numPr>
          <w:ilvl w:val="0"/>
          <w:numId w:val="2"/>
        </w:numPr>
        <w:spacing w:line="360" w:lineRule="auto"/>
        <w:rPr>
          <w:rFonts w:hint="eastAsia" w:ascii="宋体" w:hAnsi="宋体" w:eastAsia="宋体"/>
          <w:color w:val="auto"/>
          <w:sz w:val="32"/>
          <w:szCs w:val="32"/>
          <w:lang w:val="en-US" w:eastAsia="zh-CN"/>
        </w:rPr>
      </w:pPr>
      <w:r>
        <w:rPr>
          <w:rFonts w:hint="eastAsia" w:ascii="宋体" w:hAnsi="宋体" w:eastAsia="宋体"/>
          <w:color w:val="auto"/>
          <w:sz w:val="32"/>
          <w:szCs w:val="32"/>
        </w:rPr>
        <w:t>有关建议</w:t>
      </w:r>
      <w:bookmarkEnd w:id="19"/>
      <w:r>
        <w:rPr>
          <w:rFonts w:hint="eastAsia" w:ascii="宋体" w:hAnsi="宋体" w:eastAsia="宋体"/>
          <w:color w:val="auto"/>
          <w:sz w:val="32"/>
          <w:szCs w:val="32"/>
          <w:lang w:val="en-US" w:eastAsia="zh-CN"/>
        </w:rPr>
        <w:t xml:space="preserve">   </w:t>
      </w:r>
    </w:p>
    <w:p>
      <w:pPr>
        <w:spacing w:line="360" w:lineRule="auto"/>
        <w:ind w:firstLine="640" w:firstLineChars="200"/>
        <w:rPr>
          <w:rFonts w:hint="default" w:ascii="仿宋" w:hAnsi="仿宋" w:eastAsia="仿宋" w:cs="仿宋"/>
          <w:b w:val="0"/>
          <w:bCs w:val="0"/>
          <w:color w:val="auto"/>
          <w:kern w:val="0"/>
          <w:sz w:val="32"/>
          <w:szCs w:val="32"/>
          <w:lang w:val="en-US" w:eastAsia="zh-CN" w:bidi="ar-SA"/>
        </w:rPr>
      </w:pPr>
      <w:bookmarkStart w:id="20" w:name="_Toc68703846"/>
      <w:r>
        <w:rPr>
          <w:rFonts w:hint="eastAsia" w:ascii="仿宋" w:hAnsi="仿宋" w:eastAsia="仿宋" w:cs="仿宋"/>
          <w:b w:val="0"/>
          <w:bCs w:val="0"/>
          <w:color w:val="auto"/>
          <w:kern w:val="0"/>
          <w:sz w:val="32"/>
          <w:szCs w:val="32"/>
          <w:lang w:val="en-US" w:eastAsia="zh-CN" w:bidi="ar-SA"/>
        </w:rPr>
        <w:t>在今后的项目绩效评价工作中加强对项目各项指标制定方法的学习，科学有效的制定相关指标，使项目绩效各个环节工作得到有效开展，确保项目绩效评价工作圆满完成。</w:t>
      </w:r>
    </w:p>
    <w:p>
      <w:pPr>
        <w:pStyle w:val="2"/>
        <w:spacing w:line="360" w:lineRule="auto"/>
        <w:rPr>
          <w:rFonts w:ascii="宋体" w:hAnsi="宋体" w:eastAsia="宋体"/>
          <w:color w:val="auto"/>
          <w:sz w:val="32"/>
          <w:szCs w:val="32"/>
        </w:rPr>
      </w:pPr>
      <w:r>
        <w:rPr>
          <w:rFonts w:hint="eastAsia" w:ascii="宋体" w:hAnsi="宋体" w:eastAsia="宋体"/>
          <w:color w:val="auto"/>
          <w:sz w:val="32"/>
          <w:szCs w:val="32"/>
        </w:rPr>
        <w:t>七、其他需要说明的问题</w:t>
      </w:r>
      <w:bookmarkEnd w:id="20"/>
      <w:bookmarkStart w:id="21" w:name="_GoBack"/>
      <w:bookmarkEnd w:id="21"/>
    </w:p>
    <w:p>
      <w:pPr>
        <w:rPr>
          <w:color w:val="auto"/>
        </w:rPr>
      </w:pPr>
      <w:r>
        <w:rPr>
          <w:rFonts w:hint="eastAsia"/>
          <w:color w:val="auto"/>
        </w:rPr>
        <w:t>无</w:t>
      </w:r>
    </w:p>
    <w:p>
      <w:pPr>
        <w:spacing w:line="360" w:lineRule="auto"/>
        <w:rPr>
          <w:color w:val="auto"/>
        </w:rPr>
      </w:pPr>
    </w:p>
    <w:p>
      <w:pPr>
        <w:rPr>
          <w:color w:val="auto"/>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03F5E8"/>
    <w:multiLevelType w:val="singleLevel"/>
    <w:tmpl w:val="1303F5E8"/>
    <w:lvl w:ilvl="0" w:tentative="0">
      <w:start w:val="6"/>
      <w:numFmt w:val="chineseCounting"/>
      <w:suff w:val="nothing"/>
      <w:lvlText w:val="%1、"/>
      <w:lvlJc w:val="left"/>
      <w:rPr>
        <w:rFonts w:hint="eastAsia"/>
      </w:rPr>
    </w:lvl>
  </w:abstractNum>
  <w:abstractNum w:abstractNumId="1">
    <w:nsid w:val="70DF52FA"/>
    <w:multiLevelType w:val="singleLevel"/>
    <w:tmpl w:val="70DF52F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9C5"/>
    <w:rsid w:val="005B64E8"/>
    <w:rsid w:val="00614288"/>
    <w:rsid w:val="00792CFE"/>
    <w:rsid w:val="007D49C5"/>
    <w:rsid w:val="008C631D"/>
    <w:rsid w:val="00B24331"/>
    <w:rsid w:val="09BF5C4E"/>
    <w:rsid w:val="0DBB5A89"/>
    <w:rsid w:val="0ED817BB"/>
    <w:rsid w:val="139A40BB"/>
    <w:rsid w:val="15CE7CB7"/>
    <w:rsid w:val="178478F8"/>
    <w:rsid w:val="2029712F"/>
    <w:rsid w:val="26D12261"/>
    <w:rsid w:val="300A2571"/>
    <w:rsid w:val="31F23450"/>
    <w:rsid w:val="34613FF8"/>
    <w:rsid w:val="35756405"/>
    <w:rsid w:val="400555CB"/>
    <w:rsid w:val="427444DC"/>
    <w:rsid w:val="50B14776"/>
    <w:rsid w:val="58723A47"/>
    <w:rsid w:val="588E7713"/>
    <w:rsid w:val="5B9D13DA"/>
    <w:rsid w:val="5F007F7D"/>
    <w:rsid w:val="61627019"/>
    <w:rsid w:val="6D500DF8"/>
    <w:rsid w:val="6E7420FF"/>
    <w:rsid w:val="724A4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8">
    <w:name w:val="Strong"/>
    <w:basedOn w:val="7"/>
    <w:qFormat/>
    <w:uiPriority w:val="0"/>
    <w:rPr>
      <w:b/>
      <w:bCs/>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标题 1 字符"/>
    <w:basedOn w:val="7"/>
    <w:link w:val="2"/>
    <w:qFormat/>
    <w:uiPriority w:val="9"/>
    <w:rPr>
      <w:rFonts w:ascii="Times New Roman" w:hAnsi="Times New Roman" w:eastAsia="仿宋_GB2312" w:cs="Times New Roman"/>
      <w:b/>
      <w:bCs/>
      <w:kern w:val="44"/>
      <w:sz w:val="44"/>
      <w:szCs w:val="44"/>
    </w:rPr>
  </w:style>
  <w:style w:type="character" w:customStyle="1" w:styleId="11">
    <w:name w:val="标题 2 字符"/>
    <w:basedOn w:val="7"/>
    <w:link w:val="3"/>
    <w:qFormat/>
    <w:uiPriority w:val="9"/>
    <w:rPr>
      <w:rFonts w:asciiTheme="majorHAnsi" w:hAnsiTheme="majorHAnsi" w:eastAsiaTheme="majorEastAsia" w:cstheme="majorBidi"/>
      <w:b/>
      <w:bCs/>
      <w:sz w:val="32"/>
      <w:szCs w:val="32"/>
    </w:rPr>
  </w:style>
  <w:style w:type="paragraph" w:customStyle="1" w:styleId="12">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4999</Words>
  <Characters>5238</Characters>
  <Lines>38</Lines>
  <Paragraphs>10</Paragraphs>
  <TotalTime>0</TotalTime>
  <ScaleCrop>false</ScaleCrop>
  <LinksUpToDate>false</LinksUpToDate>
  <CharactersWithSpaces>5275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2022-04-20T09:02:54Z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4CEBAA97C8CB4DB791CA4B9AC45B9DFA</vt:lpwstr>
  </property>
</Properties>
</file>