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ascii="宋体" w:hAnsi="宋体" w:eastAsia="宋体" w:cs="宋体"/>
          <w:kern w:val="0"/>
          <w:sz w:val="32"/>
          <w:szCs w:val="32"/>
        </w:rPr>
        <w:t xml:space="preserve"> </w:t>
      </w:r>
      <w:bookmarkStart w:id="0" w:name="_Hlk101100511"/>
      <w:r>
        <w:rPr>
          <w:rFonts w:hint="eastAsia" w:ascii="宋体" w:hAnsi="宋体" w:eastAsia="宋体" w:cs="宋体"/>
          <w:kern w:val="0"/>
          <w:sz w:val="32"/>
          <w:szCs w:val="32"/>
        </w:rPr>
        <w:t>普通高中学生资助资金（助学金、免学杂费）</w:t>
      </w:r>
      <w:bookmarkEnd w:id="0"/>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kern w:val="0"/>
          <w:sz w:val="32"/>
          <w:szCs w:val="32"/>
        </w:rPr>
        <w:t>特克斯县高级中学</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kern w:val="0"/>
          <w:sz w:val="32"/>
          <w:szCs w:val="32"/>
        </w:rPr>
        <w:t>特克斯县教育局</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rPr>
        <w:t>刘敏之</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ascii="宋体" w:hAnsi="宋体" w:eastAsia="宋体" w:cs="仿宋_GB2312"/>
          <w:color w:val="000000"/>
          <w:kern w:val="0"/>
          <w:sz w:val="32"/>
          <w:szCs w:val="32"/>
        </w:rPr>
        <w:t>4</w:t>
      </w:r>
      <w:r>
        <w:rPr>
          <w:rFonts w:hint="eastAsia" w:ascii="宋体" w:hAnsi="宋体" w:eastAsia="宋体" w:cs="仿宋_GB2312"/>
          <w:color w:val="000000"/>
          <w:kern w:val="0"/>
          <w:sz w:val="32"/>
          <w:szCs w:val="32"/>
        </w:rPr>
        <w:t>月</w:t>
      </w:r>
      <w:r>
        <w:rPr>
          <w:rFonts w:ascii="宋体" w:hAnsi="宋体" w:eastAsia="宋体" w:cs="仿宋_GB2312"/>
          <w:color w:val="000000"/>
          <w:kern w:val="0"/>
          <w:sz w:val="32"/>
          <w:szCs w:val="32"/>
        </w:rPr>
        <w:t>17</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2"/>
        <w:spacing w:line="360" w:lineRule="auto"/>
        <w:rPr>
          <w:rFonts w:ascii="宋体" w:hAnsi="宋体" w:eastAsia="宋体"/>
          <w:sz w:val="32"/>
          <w:szCs w:val="32"/>
        </w:rPr>
      </w:pPr>
      <w:bookmarkStart w:id="1" w:name="_Toc68703827"/>
      <w:r>
        <w:rPr>
          <w:rFonts w:hint="eastAsia" w:ascii="宋体" w:hAnsi="宋体" w:eastAsia="宋体"/>
          <w:sz w:val="32"/>
          <w:szCs w:val="32"/>
        </w:rPr>
        <w:t>一、基本情况</w:t>
      </w:r>
      <w:bookmarkEnd w:id="1"/>
    </w:p>
    <w:p>
      <w:pPr>
        <w:pStyle w:val="3"/>
        <w:spacing w:line="360" w:lineRule="auto"/>
        <w:rPr>
          <w:rFonts w:ascii="仿宋_GB2312" w:eastAsia="仿宋_GB2312"/>
          <w:b w:val="0"/>
          <w:bCs w:val="0"/>
        </w:rPr>
      </w:pPr>
      <w:bookmarkStart w:id="2" w:name="_Toc68703828"/>
      <w:r>
        <w:rPr>
          <w:rFonts w:hint="eastAsia" w:ascii="仿宋_GB2312" w:eastAsia="仿宋_GB2312"/>
          <w:b w:val="0"/>
          <w:bCs w:val="0"/>
        </w:rPr>
        <w:t>（一）项目概况。</w:t>
      </w:r>
      <w:bookmarkEnd w:id="2"/>
    </w:p>
    <w:p>
      <w:pPr>
        <w:spacing w:line="360" w:lineRule="auto"/>
        <w:ind w:firstLine="600" w:firstLineChars="200"/>
        <w:rPr>
          <w:rFonts w:ascii="仿宋_GB2312"/>
        </w:rPr>
      </w:pPr>
      <w:r>
        <w:rPr>
          <w:rFonts w:hint="eastAsia" w:ascii="仿宋_GB2312"/>
        </w:rPr>
        <w:t>1、项目背景</w:t>
      </w:r>
    </w:p>
    <w:p>
      <w:pPr>
        <w:spacing w:line="360" w:lineRule="auto"/>
        <w:ind w:firstLine="600" w:firstLineChars="200"/>
        <w:rPr>
          <w:rFonts w:ascii="仿宋_GB2312"/>
        </w:rPr>
      </w:pPr>
      <w:r>
        <w:rPr>
          <w:rFonts w:hint="eastAsia" w:ascii="仿宋_GB2312"/>
        </w:rPr>
        <w:t>根据《关于印发《新疆维吾尔自治区学生资助资金管理办法》新财规[2021]13号通知》和《关于提前下达2</w:t>
      </w:r>
      <w:r>
        <w:rPr>
          <w:rFonts w:ascii="仿宋_GB2312"/>
        </w:rPr>
        <w:t>021</w:t>
      </w:r>
      <w:r>
        <w:rPr>
          <w:rFonts w:hint="eastAsia" w:ascii="仿宋_GB2312"/>
        </w:rPr>
        <w:t>年学生资助补助直达资金的通知》伊州财教【2</w:t>
      </w:r>
      <w:r>
        <w:rPr>
          <w:rFonts w:ascii="仿宋_GB2312"/>
        </w:rPr>
        <w:t>020</w:t>
      </w:r>
      <w:r>
        <w:rPr>
          <w:rFonts w:hint="eastAsia" w:ascii="仿宋_GB2312"/>
        </w:rPr>
        <w:t>】5</w:t>
      </w:r>
      <w:r>
        <w:rPr>
          <w:rFonts w:ascii="仿宋_GB2312"/>
        </w:rPr>
        <w:t>3</w:t>
      </w:r>
      <w:r>
        <w:rPr>
          <w:rFonts w:hint="eastAsia" w:ascii="仿宋_GB2312"/>
        </w:rPr>
        <w:t>号及《关于提前下达2</w:t>
      </w:r>
      <w:r>
        <w:rPr>
          <w:rFonts w:ascii="仿宋_GB2312"/>
        </w:rPr>
        <w:t>021</w:t>
      </w:r>
      <w:r>
        <w:rPr>
          <w:rFonts w:hint="eastAsia" w:ascii="仿宋_GB2312"/>
        </w:rPr>
        <w:t>年自治区学生资助补助直达资金的通知》伊州财教【</w:t>
      </w:r>
      <w:r>
        <w:rPr>
          <w:rFonts w:ascii="仿宋_GB2312"/>
        </w:rPr>
        <w:t>2020</w:t>
      </w:r>
      <w:r>
        <w:rPr>
          <w:rFonts w:hint="eastAsia" w:ascii="仿宋_GB2312"/>
        </w:rPr>
        <w:t>】6</w:t>
      </w:r>
      <w:r>
        <w:rPr>
          <w:rFonts w:ascii="仿宋_GB2312"/>
        </w:rPr>
        <w:t>0</w:t>
      </w:r>
      <w:r>
        <w:rPr>
          <w:rFonts w:hint="eastAsia" w:ascii="仿宋_GB2312"/>
        </w:rPr>
        <w:t>号文件精神，实施普通高中学生资助资金（助学金、免学杂费）项目。</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ascii="仿宋_GB2312"/>
          <w:color w:val="FF0000"/>
        </w:rPr>
      </w:pPr>
      <w:r>
        <w:rPr>
          <w:rFonts w:hint="eastAsia" w:ascii="仿宋_GB2312"/>
        </w:rPr>
        <w:t>主要内容：普通高中国家助学金资助对象为在校生的3</w:t>
      </w:r>
      <w:r>
        <w:rPr>
          <w:rFonts w:ascii="仿宋_GB2312"/>
        </w:rPr>
        <w:t>0%</w:t>
      </w:r>
      <w:r>
        <w:rPr>
          <w:rFonts w:hint="eastAsia" w:ascii="仿宋_GB2312"/>
        </w:rPr>
        <w:t>，资助标准为平均2</w:t>
      </w:r>
      <w:r>
        <w:rPr>
          <w:rFonts w:ascii="仿宋_GB2312"/>
        </w:rPr>
        <w:t>000</w:t>
      </w:r>
      <w:r>
        <w:rPr>
          <w:rFonts w:hint="eastAsia" w:ascii="仿宋_GB2312"/>
        </w:rPr>
        <w:t>元/生/年，具体按三档执行，一档</w:t>
      </w:r>
      <w:r>
        <w:rPr>
          <w:rFonts w:ascii="仿宋_GB2312"/>
        </w:rPr>
        <w:t>3000</w:t>
      </w:r>
      <w:r>
        <w:rPr>
          <w:rFonts w:hint="eastAsia" w:ascii="仿宋_GB2312"/>
        </w:rPr>
        <w:t>元/生/年，二档2</w:t>
      </w:r>
      <w:r>
        <w:rPr>
          <w:rFonts w:ascii="仿宋_GB2312"/>
        </w:rPr>
        <w:t>000</w:t>
      </w:r>
      <w:r>
        <w:rPr>
          <w:rFonts w:hint="eastAsia" w:ascii="仿宋_GB2312"/>
        </w:rPr>
        <w:t>元/生/年，三档1</w:t>
      </w:r>
      <w:r>
        <w:rPr>
          <w:rFonts w:ascii="仿宋_GB2312"/>
        </w:rPr>
        <w:t>000</w:t>
      </w:r>
      <w:r>
        <w:rPr>
          <w:rFonts w:hint="eastAsia" w:ascii="仿宋_GB2312"/>
        </w:rPr>
        <w:t>元/生/年；普通高中免学费正常资助对象为：建档立卡学生，农村低保学生，残疾学生和农村特困供养学生，资助标准为1</w:t>
      </w:r>
      <w:r>
        <w:rPr>
          <w:rFonts w:ascii="仿宋_GB2312"/>
        </w:rPr>
        <w:t>430</w:t>
      </w:r>
      <w:r>
        <w:rPr>
          <w:rFonts w:hint="eastAsia" w:ascii="仿宋_GB2312"/>
        </w:rPr>
        <w:t>元/生/年。</w:t>
      </w:r>
    </w:p>
    <w:p>
      <w:pPr>
        <w:spacing w:line="360" w:lineRule="auto"/>
        <w:ind w:firstLine="600" w:firstLineChars="200"/>
        <w:rPr>
          <w:rFonts w:ascii="仿宋_GB2312"/>
        </w:rPr>
      </w:pPr>
      <w:r>
        <w:rPr>
          <w:rFonts w:hint="eastAsia" w:ascii="仿宋_GB2312"/>
        </w:rPr>
        <w:t>实施情况：普通高中国家助学金预算到位资金为中央1</w:t>
      </w:r>
      <w:r>
        <w:rPr>
          <w:rFonts w:ascii="仿宋_GB2312"/>
        </w:rPr>
        <w:t>72.64</w:t>
      </w:r>
      <w:r>
        <w:rPr>
          <w:rFonts w:hint="eastAsia" w:ascii="仿宋_GB2312"/>
        </w:rPr>
        <w:t>万元，自治区3</w:t>
      </w:r>
      <w:r>
        <w:rPr>
          <w:rFonts w:ascii="仿宋_GB2312"/>
        </w:rPr>
        <w:t>1.16</w:t>
      </w:r>
      <w:r>
        <w:rPr>
          <w:rFonts w:hint="eastAsia" w:ascii="仿宋_GB2312"/>
        </w:rPr>
        <w:t>万元，合计到位资金2</w:t>
      </w:r>
      <w:r>
        <w:rPr>
          <w:rFonts w:ascii="仿宋_GB2312"/>
        </w:rPr>
        <w:t>03.8</w:t>
      </w:r>
      <w:r>
        <w:rPr>
          <w:rFonts w:hint="eastAsia" w:ascii="仿宋_GB2312"/>
        </w:rPr>
        <w:t>万元，实际执行春季9</w:t>
      </w:r>
      <w:r>
        <w:rPr>
          <w:rFonts w:ascii="仿宋_GB2312"/>
        </w:rPr>
        <w:t>49</w:t>
      </w:r>
      <w:r>
        <w:rPr>
          <w:rFonts w:hint="eastAsia" w:ascii="仿宋_GB2312"/>
        </w:rPr>
        <w:t>人9</w:t>
      </w:r>
      <w:r>
        <w:rPr>
          <w:rFonts w:ascii="仿宋_GB2312"/>
        </w:rPr>
        <w:t>4.9</w:t>
      </w:r>
      <w:r>
        <w:rPr>
          <w:rFonts w:hint="eastAsia" w:ascii="仿宋_GB2312"/>
        </w:rPr>
        <w:t>万元，秋季执行9</w:t>
      </w:r>
      <w:r>
        <w:rPr>
          <w:rFonts w:ascii="仿宋_GB2312"/>
        </w:rPr>
        <w:t>60</w:t>
      </w:r>
      <w:r>
        <w:rPr>
          <w:rFonts w:hint="eastAsia" w:ascii="仿宋_GB2312"/>
        </w:rPr>
        <w:t>人9</w:t>
      </w:r>
      <w:r>
        <w:rPr>
          <w:rFonts w:ascii="仿宋_GB2312"/>
        </w:rPr>
        <w:t>6</w:t>
      </w:r>
      <w:r>
        <w:rPr>
          <w:rFonts w:hint="eastAsia" w:ascii="仿宋_GB2312"/>
        </w:rPr>
        <w:t>万元，合计执行1</w:t>
      </w:r>
      <w:r>
        <w:rPr>
          <w:rFonts w:ascii="仿宋_GB2312"/>
        </w:rPr>
        <w:t>90.9</w:t>
      </w:r>
      <w:r>
        <w:rPr>
          <w:rFonts w:hint="eastAsia" w:ascii="仿宋_GB2312"/>
        </w:rPr>
        <w:t>万元。普通高中建档立卡等免学费预算到位资金为中央</w:t>
      </w:r>
      <w:r>
        <w:rPr>
          <w:rFonts w:ascii="仿宋_GB2312"/>
        </w:rPr>
        <w:t>77.79</w:t>
      </w:r>
      <w:r>
        <w:rPr>
          <w:rFonts w:hint="eastAsia" w:ascii="仿宋_GB2312"/>
        </w:rPr>
        <w:t>万元，自治区3</w:t>
      </w:r>
      <w:r>
        <w:rPr>
          <w:rFonts w:ascii="仿宋_GB2312"/>
        </w:rPr>
        <w:t>6.38</w:t>
      </w:r>
      <w:r>
        <w:rPr>
          <w:rFonts w:hint="eastAsia" w:ascii="仿宋_GB2312"/>
        </w:rPr>
        <w:t>万元，合计到位1</w:t>
      </w:r>
      <w:r>
        <w:rPr>
          <w:rFonts w:ascii="仿宋_GB2312"/>
        </w:rPr>
        <w:t>14.17</w:t>
      </w:r>
      <w:r>
        <w:rPr>
          <w:rFonts w:hint="eastAsia" w:ascii="仿宋_GB2312"/>
        </w:rPr>
        <w:t>万元，执行1</w:t>
      </w:r>
      <w:r>
        <w:rPr>
          <w:rFonts w:ascii="仿宋_GB2312"/>
        </w:rPr>
        <w:t>14.17</w:t>
      </w:r>
      <w:r>
        <w:rPr>
          <w:rFonts w:hint="eastAsia" w:ascii="仿宋_GB2312"/>
        </w:rPr>
        <w:t>万元。</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pPr>
      <w:r>
        <w:rPr>
          <w:rFonts w:hint="eastAsia"/>
        </w:rPr>
        <w:t>资金投入情况：该项目年初预算数</w:t>
      </w:r>
      <w:r>
        <w:t>317.97</w:t>
      </w:r>
      <w:r>
        <w:rPr>
          <w:rFonts w:hint="eastAsia"/>
        </w:rPr>
        <w:t xml:space="preserve">万元，全年预算数 </w:t>
      </w:r>
      <w:r>
        <w:t xml:space="preserve">   317.97</w:t>
      </w:r>
      <w:r>
        <w:rPr>
          <w:rFonts w:hint="eastAsia"/>
        </w:rPr>
        <w:t>万元，实际总投入</w:t>
      </w:r>
      <w:r>
        <w:t>305.07</w:t>
      </w:r>
      <w:r>
        <w:rPr>
          <w:rFonts w:hint="eastAsia"/>
        </w:rPr>
        <w:t>万元，该项目资金已全部落实到位，资金来源为中央2</w:t>
      </w:r>
      <w:r>
        <w:t>50.43</w:t>
      </w:r>
      <w:r>
        <w:rPr>
          <w:rFonts w:hint="eastAsia"/>
        </w:rPr>
        <w:t>万元，自治区6</w:t>
      </w:r>
      <w:r>
        <w:t>7.54</w:t>
      </w:r>
      <w:r>
        <w:rPr>
          <w:rFonts w:hint="eastAsia"/>
        </w:rPr>
        <w:t>万元。</w:t>
      </w:r>
    </w:p>
    <w:p>
      <w:pPr>
        <w:spacing w:line="360" w:lineRule="auto"/>
        <w:ind w:firstLine="600" w:firstLineChars="200"/>
      </w:pPr>
      <w:r>
        <w:rPr>
          <w:rFonts w:hint="eastAsia"/>
        </w:rPr>
        <w:t>资金使用情况：该项目年初预算数</w:t>
      </w:r>
      <w:r>
        <w:t>317.97</w:t>
      </w:r>
      <w:r>
        <w:rPr>
          <w:rFonts w:hint="eastAsia"/>
        </w:rPr>
        <w:t>万元，全年预算数</w:t>
      </w:r>
      <w:r>
        <w:t>317.97</w:t>
      </w:r>
      <w:r>
        <w:rPr>
          <w:rFonts w:hint="eastAsia"/>
        </w:rPr>
        <w:t>万元，全年执行数</w:t>
      </w:r>
      <w:r>
        <w:t>305.07</w:t>
      </w:r>
      <w:r>
        <w:rPr>
          <w:rFonts w:hint="eastAsia"/>
        </w:rPr>
        <w:t>万元，预算执行率为</w:t>
      </w:r>
      <w:r>
        <w:t>96</w:t>
      </w:r>
      <w:r>
        <w:rPr>
          <w:rFonts w:hint="eastAsia"/>
        </w:rPr>
        <w:t>%，用于：普通高中国家助学金1</w:t>
      </w:r>
      <w:r>
        <w:t>90.9</w:t>
      </w:r>
      <w:r>
        <w:rPr>
          <w:rFonts w:hint="eastAsia"/>
        </w:rPr>
        <w:t>万元，普通高中建档立卡等免学费1</w:t>
      </w:r>
      <w:r>
        <w:t>14.17</w:t>
      </w:r>
      <w:r>
        <w:rPr>
          <w:rFonts w:hint="eastAsia"/>
        </w:rPr>
        <w:t>万元。</w:t>
      </w:r>
    </w:p>
    <w:p>
      <w:pPr>
        <w:pStyle w:val="3"/>
        <w:spacing w:line="360" w:lineRule="auto"/>
        <w:ind w:firstLine="640" w:firstLineChars="200"/>
        <w:rPr>
          <w:rFonts w:ascii="仿宋_GB2312" w:eastAsia="仿宋_GB2312"/>
          <w:b w:val="0"/>
          <w:bCs w:val="0"/>
        </w:rPr>
      </w:pPr>
      <w:bookmarkStart w:id="3" w:name="_Toc68703829"/>
      <w:r>
        <w:rPr>
          <w:rFonts w:hint="eastAsia" w:ascii="仿宋_GB2312" w:eastAsia="仿宋_GB2312"/>
          <w:b w:val="0"/>
          <w:bCs w:val="0"/>
        </w:rPr>
        <w:t>（二）项目绩效目标。</w:t>
      </w:r>
      <w:bookmarkEnd w:id="3"/>
    </w:p>
    <w:p>
      <w:pPr>
        <w:spacing w:line="360" w:lineRule="auto"/>
        <w:ind w:firstLine="600" w:firstLineChars="200"/>
      </w:pPr>
      <w:r>
        <w:rPr>
          <w:rFonts w:hint="eastAsia"/>
        </w:rPr>
        <w:t>1、总体目标：目标1：高中阶段教育各项国家资助按规定的到落实；目标2：教育公平显著提升，满足家庭经济困难学生基本学习生活需要；目标3：助力教育脱贫，帮助学生顺利完成学业。</w:t>
      </w:r>
    </w:p>
    <w:p>
      <w:pPr>
        <w:spacing w:line="360" w:lineRule="auto"/>
        <w:ind w:firstLine="600" w:firstLineChars="200"/>
      </w:pPr>
      <w:r>
        <w:t>2</w:t>
      </w:r>
      <w:r>
        <w:rPr>
          <w:rFonts w:hint="eastAsia"/>
        </w:rPr>
        <w:t>、阶段性目标：目标</w:t>
      </w:r>
      <w:r>
        <w:t>1</w:t>
      </w:r>
      <w:r>
        <w:rPr>
          <w:rFonts w:hint="eastAsia"/>
        </w:rPr>
        <w:t>：按学期及时将助学金发放到学生资助卡中，落实普通高中国家助学金政策；目标</w:t>
      </w:r>
      <w:r>
        <w:t>2</w:t>
      </w:r>
      <w:r>
        <w:rPr>
          <w:rFonts w:hint="eastAsia"/>
        </w:rPr>
        <w:t>：按学期及时对贫困学生实施免学费，落实普通高中免学费政策；目标</w:t>
      </w:r>
      <w:r>
        <w:t>3</w:t>
      </w:r>
      <w:r>
        <w:rPr>
          <w:rFonts w:hint="eastAsia"/>
        </w:rPr>
        <w:t>：满足家庭经济困难学生基本学习生活需要，教育公平显著提升； 目标</w:t>
      </w:r>
      <w:r>
        <w:t>4</w:t>
      </w:r>
      <w:r>
        <w:rPr>
          <w:rFonts w:hint="eastAsia"/>
        </w:rPr>
        <w:t>：助力教育脱贫，不让一名学生因贫困而辍学，帮助学生顺利完成学业。</w:t>
      </w:r>
    </w:p>
    <w:p>
      <w:pPr>
        <w:pStyle w:val="2"/>
        <w:spacing w:line="360" w:lineRule="auto"/>
        <w:rPr>
          <w:rFonts w:ascii="宋体" w:hAnsi="宋体" w:eastAsia="宋体"/>
          <w:sz w:val="32"/>
          <w:szCs w:val="32"/>
        </w:rPr>
      </w:pPr>
      <w:bookmarkStart w:id="4" w:name="_Toc68703830"/>
      <w:r>
        <w:rPr>
          <w:rFonts w:hint="eastAsia" w:ascii="宋体" w:hAnsi="宋体" w:eastAsia="宋体"/>
          <w:sz w:val="32"/>
          <w:szCs w:val="32"/>
        </w:rPr>
        <w:t>二、绩效评价工作开展情况</w:t>
      </w:r>
      <w:bookmarkEnd w:id="4"/>
    </w:p>
    <w:p>
      <w:pPr>
        <w:pStyle w:val="3"/>
        <w:spacing w:line="360" w:lineRule="auto"/>
        <w:rPr>
          <w:rFonts w:ascii="仿宋_GB2312" w:eastAsia="仿宋_GB2312"/>
          <w:b w:val="0"/>
          <w:bCs w:val="0"/>
        </w:rPr>
      </w:pPr>
      <w:bookmarkStart w:id="5" w:name="_Toc68703831"/>
      <w:r>
        <w:rPr>
          <w:rFonts w:hint="eastAsia" w:ascii="仿宋_GB2312" w:eastAsia="仿宋_GB2312"/>
          <w:b w:val="0"/>
          <w:bCs w:val="0"/>
        </w:rPr>
        <w:t>（一）绩效评价目的、对象和范围。</w:t>
      </w:r>
      <w:bookmarkEnd w:id="5"/>
    </w:p>
    <w:p>
      <w:pPr>
        <w:spacing w:line="360" w:lineRule="auto"/>
      </w:pPr>
      <w:r>
        <w:rPr>
          <w:rFonts w:hint="eastAsia"/>
        </w:rPr>
        <w:t>1、绩效评价目的：</w:t>
      </w:r>
    </w:p>
    <w:p>
      <w:pPr>
        <w:spacing w:line="360" w:lineRule="auto"/>
        <w:ind w:firstLine="640" w:firstLineChars="200"/>
        <w:jc w:val="left"/>
        <w:rPr>
          <w:rFonts w:ascii="仿宋_GB2312"/>
          <w:bCs/>
          <w:sz w:val="32"/>
          <w:szCs w:val="32"/>
        </w:rPr>
      </w:pPr>
      <w:r>
        <w:rPr>
          <w:rFonts w:hint="eastAsia" w:ascii="仿宋_GB2312"/>
          <w:bCs/>
          <w:sz w:val="32"/>
          <w:szCs w:val="32"/>
        </w:rPr>
        <w:t>通过绩效评价，客观地评判项目的管理绩效，了解和掌握普通高中学生资助资金（助学金、免学杂费）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00" w:firstLineChars="200"/>
      </w:pPr>
      <w:r>
        <w:rPr>
          <w:rFonts w:hint="eastAsia"/>
        </w:rPr>
        <w:t>普通高中学生资助资金（助学金、免学杂费）</w:t>
      </w:r>
    </w:p>
    <w:p>
      <w:pPr>
        <w:spacing w:line="360" w:lineRule="auto"/>
        <w:ind w:firstLine="600" w:firstLineChars="200"/>
      </w:pPr>
      <w:r>
        <w:rPr>
          <w:rFonts w:hint="eastAsia"/>
        </w:rPr>
        <w:t>3、绩效评价范围：</w:t>
      </w:r>
    </w:p>
    <w:p>
      <w:pPr>
        <w:spacing w:line="360" w:lineRule="auto"/>
        <w:ind w:firstLine="600" w:firstLineChars="200"/>
      </w:pPr>
      <w:r>
        <w:rPr>
          <w:rFonts w:hint="eastAsia"/>
        </w:rPr>
        <w:t>本次评价从项目决策（包括绩效目标、决策过程）、项目管理（包括项目资金、项目实施）、项目产出（包括项目产出数量、产出质量、产出时效和产出成本）项目效益四个维度进行普通高中学生资助资金（助学金、免学杂费）评价，评价核心为专项资金的支出完成情况和效果。</w:t>
      </w:r>
    </w:p>
    <w:p>
      <w:pPr>
        <w:pStyle w:val="3"/>
        <w:spacing w:line="360" w:lineRule="auto"/>
        <w:rPr>
          <w:rFonts w:ascii="仿宋_GB2312" w:eastAsia="仿宋_GB2312"/>
          <w:b w:val="0"/>
          <w:bCs w:val="0"/>
        </w:rPr>
      </w:pPr>
      <w:bookmarkStart w:id="6" w:name="_Toc68703832"/>
      <w:r>
        <w:rPr>
          <w:rFonts w:hint="eastAsia" w:ascii="仿宋_GB2312" w:eastAsia="仿宋_GB2312"/>
          <w:b w:val="0"/>
          <w:bCs w:val="0"/>
        </w:rPr>
        <w:t>（二）绩效评价原则、评价指标体系、评价方法、评价标准等。</w:t>
      </w:r>
      <w:bookmarkEnd w:id="6"/>
    </w:p>
    <w:p>
      <w:pPr>
        <w:spacing w:line="360" w:lineRule="auto"/>
      </w:pPr>
      <w:r>
        <w:rPr>
          <w:rFonts w:hint="eastAsia"/>
        </w:rPr>
        <w:t>1、绩效评价原则</w:t>
      </w:r>
    </w:p>
    <w:p>
      <w:pPr>
        <w:spacing w:line="600" w:lineRule="exact"/>
        <w:ind w:firstLine="640"/>
        <w:rPr>
          <w:rFonts w:ascii="仿宋_GB2312"/>
          <w:bCs/>
          <w:sz w:val="32"/>
          <w:szCs w:val="32"/>
        </w:rPr>
      </w:pPr>
      <w:r>
        <w:rPr>
          <w:rFonts w:hint="eastAsia" w:ascii="仿宋_GB2312"/>
          <w:bCs/>
          <w:sz w:val="32"/>
          <w:szCs w:val="32"/>
        </w:rPr>
        <w:t>（一）科学公正。本次项目支出绩效评价运用科学合理的方法，按照规范的程序，对项目绩效进行客观、公正的反映。</w:t>
      </w:r>
    </w:p>
    <w:p>
      <w:pPr>
        <w:spacing w:line="600" w:lineRule="exact"/>
        <w:ind w:firstLine="640"/>
        <w:rPr>
          <w:rFonts w:ascii="仿宋_GB2312"/>
          <w:bCs/>
          <w:sz w:val="32"/>
          <w:szCs w:val="32"/>
        </w:rPr>
      </w:pPr>
      <w:r>
        <w:rPr>
          <w:rFonts w:hint="eastAsia" w:ascii="仿宋_GB2312"/>
          <w:bCs/>
          <w:sz w:val="32"/>
          <w:szCs w:val="32"/>
        </w:rPr>
        <w:t>（二）统筹兼顾。本次项目支出绩效评价由本单位自主实施，即“谁支出、谁自评”。</w:t>
      </w:r>
    </w:p>
    <w:p>
      <w:pPr>
        <w:spacing w:line="600" w:lineRule="exact"/>
        <w:ind w:firstLine="640"/>
        <w:rPr>
          <w:rFonts w:ascii="仿宋_GB2312"/>
          <w:bCs/>
          <w:sz w:val="32"/>
          <w:szCs w:val="32"/>
        </w:rPr>
      </w:pPr>
      <w:r>
        <w:rPr>
          <w:rFonts w:hint="eastAsia" w:ascii="仿宋_GB2312"/>
          <w:bCs/>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sz w:val="32"/>
          <w:szCs w:val="32"/>
        </w:rPr>
      </w:pPr>
      <w:r>
        <w:rPr>
          <w:rFonts w:hint="eastAsia" w:ascii="仿宋_GB2312"/>
          <w:bCs/>
          <w:sz w:val="32"/>
          <w:szCs w:val="32"/>
        </w:rPr>
        <w:t>（四）公开透明。本次项目支出绩效评价结果已依法依规公开在政府网站上，并自觉接受社会监督。</w:t>
      </w:r>
    </w:p>
    <w:p>
      <w:pPr>
        <w:spacing w:line="360" w:lineRule="auto"/>
      </w:pPr>
    </w:p>
    <w:p>
      <w:pPr>
        <w:spacing w:line="360" w:lineRule="auto"/>
      </w:pPr>
      <w:r>
        <w:rPr>
          <w:rFonts w:hint="eastAsia"/>
        </w:rPr>
        <w:t>2、评价指标体系（附表说明）</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普通高中学生资助资金（助学金、免学杂费）项目支出绩效评价指标体系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pPr>
            <w:r>
              <w:rPr>
                <w:rFonts w:hint="eastAsia"/>
              </w:rPr>
              <w:t>4</w:t>
            </w:r>
          </w:p>
        </w:tc>
        <w:tc>
          <w:tcPr>
            <w:tcW w:w="874" w:type="dxa"/>
            <w:tcBorders>
              <w:bottom w:val="single" w:color="auto" w:sz="4" w:space="0"/>
            </w:tcBorders>
            <w:shd w:val="clear" w:color="auto" w:fill="FFFFFF"/>
          </w:tcPr>
          <w:p>
            <w:pPr>
              <w:spacing w:line="600" w:lineRule="auto"/>
              <w:jc w:val="cente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pPr>
            <w:r>
              <w:rPr>
                <w:rFonts w:hint="eastAsia"/>
              </w:rPr>
              <w:t>4</w:t>
            </w:r>
          </w:p>
        </w:tc>
        <w:tc>
          <w:tcPr>
            <w:tcW w:w="874" w:type="dxa"/>
            <w:shd w:val="clear" w:color="auto" w:fill="FFFFFF"/>
          </w:tcPr>
          <w:p>
            <w:pPr>
              <w:spacing w:line="600" w:lineRule="auto"/>
              <w:jc w:val="cente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pPr>
            <w:r>
              <w:rPr>
                <w:rFonts w:hint="eastAsia"/>
              </w:rPr>
              <w:t>4</w:t>
            </w:r>
          </w:p>
        </w:tc>
        <w:tc>
          <w:tcPr>
            <w:tcW w:w="874" w:type="dxa"/>
            <w:shd w:val="clear" w:color="000000" w:fill="FFFFFF"/>
          </w:tcPr>
          <w:p>
            <w:pPr>
              <w:spacing w:line="600" w:lineRule="auto"/>
              <w:jc w:val="cente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pPr>
            <w:r>
              <w:rPr>
                <w:rFonts w:hint="eastAsia"/>
              </w:rPr>
              <w:t>4</w:t>
            </w:r>
          </w:p>
        </w:tc>
        <w:tc>
          <w:tcPr>
            <w:tcW w:w="874" w:type="dxa"/>
            <w:tcBorders>
              <w:bottom w:val="single" w:color="auto" w:sz="4" w:space="0"/>
            </w:tcBorders>
            <w:shd w:val="clear" w:color="000000" w:fill="FFFFFF"/>
          </w:tcPr>
          <w:p>
            <w:pPr>
              <w:spacing w:line="600" w:lineRule="auto"/>
              <w:jc w:val="cente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pPr>
            <w:r>
              <w:rPr>
                <w:rFonts w:hint="eastAsia"/>
              </w:rPr>
              <w:t>4</w:t>
            </w:r>
          </w:p>
        </w:tc>
        <w:tc>
          <w:tcPr>
            <w:tcW w:w="874" w:type="dxa"/>
            <w:tcBorders>
              <w:bottom w:val="single" w:color="auto" w:sz="4" w:space="0"/>
            </w:tcBorders>
            <w:shd w:val="clear" w:color="auto" w:fill="FFFFFF"/>
          </w:tcPr>
          <w:p>
            <w:pPr>
              <w:spacing w:line="600" w:lineRule="auto"/>
              <w:jc w:val="cente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pPr>
            <w:r>
              <w:rPr>
                <w:rFonts w:hint="eastAsia"/>
              </w:rPr>
              <w:t>4</w:t>
            </w:r>
          </w:p>
        </w:tc>
        <w:tc>
          <w:tcPr>
            <w:tcW w:w="874" w:type="dxa"/>
            <w:shd w:val="clear" w:color="auto" w:fill="FFFFFF"/>
          </w:tcPr>
          <w:p>
            <w:pPr>
              <w:spacing w:line="600" w:lineRule="auto"/>
              <w:jc w:val="center"/>
            </w:pPr>
            <w:r>
              <w:rPr>
                <w:rFonts w:hint="eastAsi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4过程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tcBorders>
              <w:bottom w:val="single" w:color="auto" w:sz="4" w:space="0"/>
            </w:tcBorders>
            <w:shd w:val="clear" w:color="auto" w:fill="FFFFFF"/>
          </w:tcPr>
          <w:p>
            <w:pPr>
              <w:spacing w:line="600" w:lineRule="auto"/>
              <w:jc w:val="center"/>
            </w:pPr>
            <w:r>
              <w:t>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pPr>
            <w:r>
              <w:rPr>
                <w:rFonts w:hint="eastAsia"/>
              </w:rPr>
              <w:t>10</w:t>
            </w:r>
          </w:p>
        </w:tc>
        <w:tc>
          <w:tcPr>
            <w:tcW w:w="874" w:type="dxa"/>
            <w:shd w:val="clear" w:color="auto"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pPr>
            <w:r>
              <w:t>5</w:t>
            </w:r>
          </w:p>
        </w:tc>
        <w:tc>
          <w:tcPr>
            <w:tcW w:w="874" w:type="dxa"/>
            <w:shd w:val="clear" w:color="auto" w:fill="FFFFFF"/>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pPr>
            <w:r>
              <w:rPr>
                <w:rFonts w:hint="eastAsia"/>
              </w:rPr>
              <w:t>6</w:t>
            </w:r>
          </w:p>
        </w:tc>
        <w:tc>
          <w:tcPr>
            <w:tcW w:w="874" w:type="dxa"/>
            <w:shd w:val="clear" w:color="000000" w:fill="FFFFFF"/>
          </w:tcPr>
          <w:p>
            <w:pPr>
              <w:spacing w:line="600" w:lineRule="auto"/>
              <w:jc w:val="center"/>
            </w:pPr>
            <w:r>
              <w:rPr>
                <w:rFonts w:hint="eastAsia"/>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1</w:t>
            </w:r>
            <w:r>
              <w:rPr>
                <w:rFonts w:ascii="宋体" w:hAnsi="宋体" w:cs="宋体"/>
                <w:color w:val="000000"/>
                <w:kern w:val="0"/>
                <w:sz w:val="22"/>
              </w:rPr>
              <w:t>00</w:t>
            </w:r>
          </w:p>
        </w:tc>
        <w:tc>
          <w:tcPr>
            <w:tcW w:w="874" w:type="dxa"/>
            <w:shd w:val="clear" w:color="auto" w:fill="FFFFFF"/>
            <w:vAlign w:val="center"/>
          </w:tcPr>
          <w:p>
            <w:pPr>
              <w:widowControl/>
              <w:spacing w:line="0" w:lineRule="atLeast"/>
              <w:jc w:val="center"/>
              <w:rPr>
                <w:rFonts w:ascii="宋体" w:hAnsi="宋体" w:cs="宋体"/>
                <w:color w:val="000000"/>
                <w:kern w:val="0"/>
                <w:sz w:val="22"/>
              </w:rPr>
            </w:pPr>
            <w:r>
              <w:rPr>
                <w:rFonts w:ascii="宋体" w:hAnsi="宋体" w:cs="宋体"/>
                <w:color w:val="000000"/>
                <w:kern w:val="0"/>
                <w:sz w:val="22"/>
              </w:rPr>
              <w:t>99.8</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pPr>
      <w:r>
        <w:rPr>
          <w:rFonts w:hint="eastAsia"/>
          <w:bCs/>
          <w:sz w:val="32"/>
          <w:szCs w:val="32"/>
        </w:rPr>
        <w:t>本次项目支出绩效自评采用因素分析方法，原因是：因素分析法是综合分析影响绩效目标实现、实施效果的内外部因素的</w:t>
      </w:r>
      <w:r>
        <w:rPr>
          <w:bCs/>
          <w:sz w:val="32"/>
          <w:szCs w:val="32"/>
        </w:rPr>
        <w:t>方法</w:t>
      </w:r>
      <w:r>
        <w:rPr>
          <w:rFonts w:hint="eastAsia"/>
          <w:bCs/>
          <w:sz w:val="32"/>
          <w:szCs w:val="32"/>
        </w:rPr>
        <w:t>。</w:t>
      </w:r>
      <w:r>
        <w:rPr>
          <w:rFonts w:hint="eastAsia"/>
        </w:rPr>
        <w:t>普通高中学生资助资金（助学金、免学杂费）项目是由国家层面实施的教育领域惠民政策，旨在保障贫困学生公平接受教育的权力，减轻贫困学生家庭经济负担，使贫困学生顺利完成学业，绩效评价主要是考核本年度项目实施情况及其偏差原因等，所以采用因素分析法。</w:t>
      </w:r>
    </w:p>
    <w:p>
      <w:pPr>
        <w:spacing w:line="360" w:lineRule="auto"/>
      </w:pPr>
      <w:r>
        <w:rPr>
          <w:rFonts w:hint="eastAsia"/>
        </w:rPr>
        <w:t>4、评价标准</w:t>
      </w:r>
    </w:p>
    <w:p>
      <w:pPr>
        <w:spacing w:line="360" w:lineRule="auto"/>
        <w:ind w:firstLine="640" w:firstLineChars="200"/>
        <w:rPr>
          <w:bCs/>
          <w:sz w:val="32"/>
          <w:szCs w:val="32"/>
        </w:rPr>
      </w:pPr>
      <w:r>
        <w:rPr>
          <w:rFonts w:hint="eastAsia"/>
          <w:bCs/>
          <w:sz w:val="32"/>
          <w:szCs w:val="32"/>
        </w:rPr>
        <w:t>本次项目支出绩效自评采用计划标准，原因是：计划标准指以预先制定的目标、计划、预算、定额等作为评价标准。</w:t>
      </w:r>
      <w:bookmarkStart w:id="7" w:name="_Hlk101102362"/>
      <w:r>
        <w:rPr>
          <w:rFonts w:hint="eastAsia"/>
        </w:rPr>
        <w:t>普通高中学生资助资金（助学金、免学杂费）</w:t>
      </w:r>
      <w:bookmarkEnd w:id="7"/>
      <w:r>
        <w:rPr>
          <w:rFonts w:hint="eastAsia"/>
        </w:rPr>
        <w:t>项目就是预先指定</w:t>
      </w:r>
      <w:r>
        <w:rPr>
          <w:rFonts w:hint="eastAsia"/>
          <w:bCs/>
          <w:sz w:val="32"/>
          <w:szCs w:val="32"/>
        </w:rPr>
        <w:t>目标、计划、预算、定额等，所以采用计划标准。</w:t>
      </w:r>
    </w:p>
    <w:p>
      <w:pPr>
        <w:pStyle w:val="3"/>
        <w:spacing w:line="360" w:lineRule="auto"/>
        <w:rPr>
          <w:rFonts w:ascii="仿宋_GB2312" w:eastAsia="仿宋_GB2312"/>
          <w:b w:val="0"/>
          <w:bCs w:val="0"/>
        </w:rPr>
      </w:pPr>
      <w:bookmarkStart w:id="8" w:name="_Toc68703833"/>
      <w:r>
        <w:rPr>
          <w:rFonts w:hint="eastAsia" w:ascii="仿宋_GB2312" w:eastAsia="仿宋_GB2312"/>
          <w:b w:val="0"/>
          <w:bCs w:val="0"/>
        </w:rPr>
        <w:t>（三）绩效评价工作过程。</w:t>
      </w:r>
      <w:bookmarkEnd w:id="8"/>
    </w:p>
    <w:p>
      <w:pPr>
        <w:spacing w:line="360" w:lineRule="auto"/>
      </w:pPr>
      <w:r>
        <w:rPr>
          <w:rFonts w:hint="eastAsia"/>
        </w:rPr>
        <w:t>1、前期准备：</w:t>
      </w:r>
    </w:p>
    <w:p>
      <w:pPr>
        <w:spacing w:line="360" w:lineRule="auto"/>
        <w:ind w:firstLine="600" w:firstLineChars="200"/>
      </w:pPr>
      <w:r>
        <w:rPr>
          <w:rFonts w:hint="eastAsia"/>
        </w:rPr>
        <w:t>2</w:t>
      </w:r>
      <w:r>
        <w:t>022</w:t>
      </w:r>
      <w:r>
        <w:rPr>
          <w:rFonts w:hint="eastAsia"/>
        </w:rPr>
        <w:t>年</w:t>
      </w:r>
      <w:r>
        <w:t>2</w:t>
      </w:r>
      <w:r>
        <w:rPr>
          <w:rFonts w:hint="eastAsia"/>
        </w:rPr>
        <w:t>月</w:t>
      </w:r>
      <w:r>
        <w:t>20</w:t>
      </w:r>
      <w:r>
        <w:rPr>
          <w:rFonts w:hint="eastAsia"/>
        </w:rPr>
        <w:t>日，</w:t>
      </w:r>
      <w:r>
        <w:rPr>
          <w:rFonts w:hint="eastAsia" w:ascii="仿宋_GB2312"/>
          <w:lang w:val="zh-CN"/>
        </w:rPr>
        <w:t>开始前期准备工作，评价组通过前期调研</w:t>
      </w:r>
      <w:r>
        <w:rPr>
          <w:rFonts w:hint="eastAsia"/>
        </w:rPr>
        <w:t>确定绩效评价对象和范围，</w:t>
      </w:r>
      <w:r>
        <w:rPr>
          <w:rFonts w:hint="eastAsia" w:ascii="仿宋_GB2312"/>
          <w:lang w:val="zh-CN"/>
        </w:rPr>
        <w:t>确定了评价的目的、方法以及评价的原则，根据项目的内容和特征制定了评价指标体系及评价标准以及评价实施方案，修正并确定所需资料清单，最终确定</w:t>
      </w:r>
      <w:r>
        <w:rPr>
          <w:rFonts w:hint="eastAsia"/>
        </w:rPr>
        <w:t>绩效评价工作方案；</w:t>
      </w:r>
    </w:p>
    <w:p>
      <w:pPr>
        <w:spacing w:line="360" w:lineRule="auto"/>
      </w:pPr>
      <w:r>
        <w:t>2</w:t>
      </w:r>
      <w:r>
        <w:rPr>
          <w:rFonts w:hint="eastAsia"/>
        </w:rPr>
        <w:t>、组织实施：</w:t>
      </w:r>
    </w:p>
    <w:p>
      <w:pPr>
        <w:spacing w:line="360" w:lineRule="auto"/>
        <w:ind w:firstLine="600" w:firstLineChars="200"/>
      </w:pPr>
      <w:r>
        <w:rPr>
          <w:rFonts w:hint="eastAsia"/>
        </w:rPr>
        <w:t>2</w:t>
      </w:r>
      <w:r>
        <w:t>022</w:t>
      </w:r>
      <w:r>
        <w:rPr>
          <w:rFonts w:hint="eastAsia"/>
        </w:rPr>
        <w:t>年</w:t>
      </w:r>
      <w:r>
        <w:t>2</w:t>
      </w:r>
      <w:r>
        <w:rPr>
          <w:rFonts w:hint="eastAsia"/>
        </w:rPr>
        <w:t>月</w:t>
      </w:r>
      <w:r>
        <w:t>20</w:t>
      </w:r>
      <w:r>
        <w:rPr>
          <w:rFonts w:hint="eastAsia"/>
        </w:rPr>
        <w:t>日-</w:t>
      </w:r>
      <w:r>
        <w:t>3</w:t>
      </w:r>
      <w:r>
        <w:rPr>
          <w:rFonts w:hint="eastAsia"/>
        </w:rPr>
        <w:t>月</w:t>
      </w:r>
      <w:r>
        <w:t>20</w:t>
      </w:r>
      <w:r>
        <w:rPr>
          <w:rFonts w:hint="eastAsia"/>
        </w:rPr>
        <w:t>日，</w:t>
      </w:r>
      <w:r>
        <w:rPr>
          <w:rFonts w:hint="eastAsia" w:ascii="仿宋_GB2312"/>
        </w:rPr>
        <w:t>评价工作进入实施阶段，评价组</w:t>
      </w:r>
      <w:r>
        <w:rPr>
          <w:rFonts w:hint="eastAsia"/>
        </w:rPr>
        <w:t>收集绩效评价相关数据资料，进行现场调研、座谈；并</w:t>
      </w:r>
      <w:r>
        <w:rPr>
          <w:rFonts w:hint="eastAsia" w:ascii="仿宋_GB2312"/>
        </w:rPr>
        <w:t>与项目实施负责人沟通，了解资金的内容、操作流程、管理机制、资金使用方向等情况</w:t>
      </w:r>
      <w:r>
        <w:rPr>
          <w:rFonts w:hint="eastAsia"/>
        </w:rPr>
        <w:t>，</w:t>
      </w:r>
      <w:r>
        <w:t>分析</w:t>
      </w:r>
      <w:r>
        <w:rPr>
          <w:rFonts w:hint="eastAsia"/>
        </w:rPr>
        <w:t>形成初步结论。</w:t>
      </w:r>
      <w:r>
        <w:t xml:space="preserve"> </w:t>
      </w:r>
    </w:p>
    <w:p>
      <w:pPr>
        <w:spacing w:line="360" w:lineRule="auto"/>
      </w:pPr>
      <w:r>
        <w:rPr>
          <w:rFonts w:hint="eastAsia"/>
        </w:rPr>
        <w:t>3、分析评价：</w:t>
      </w:r>
    </w:p>
    <w:p>
      <w:pPr>
        <w:spacing w:line="360" w:lineRule="auto"/>
        <w:ind w:firstLine="600" w:firstLineChars="200"/>
        <w:rPr>
          <w:rFonts w:ascii="仿宋_GB2312"/>
        </w:rPr>
      </w:pPr>
      <w:r>
        <w:rPr>
          <w:rFonts w:hint="eastAsia"/>
        </w:rPr>
        <w:t>202</w:t>
      </w:r>
      <w:r>
        <w:t>2</w:t>
      </w:r>
      <w:r>
        <w:rPr>
          <w:rFonts w:hint="eastAsia"/>
        </w:rPr>
        <w:t>年</w:t>
      </w:r>
      <w:r>
        <w:t>3</w:t>
      </w:r>
      <w:r>
        <w:rPr>
          <w:rFonts w:hint="eastAsia"/>
        </w:rPr>
        <w:t>月</w:t>
      </w:r>
      <w:r>
        <w:t>20</w:t>
      </w:r>
      <w:r>
        <w:rPr>
          <w:rFonts w:hint="eastAsia"/>
        </w:rPr>
        <w:t>日-</w:t>
      </w:r>
      <w:r>
        <w:t>4</w:t>
      </w:r>
      <w:r>
        <w:rPr>
          <w:rFonts w:hint="eastAsia"/>
        </w:rPr>
        <w:t>月</w:t>
      </w:r>
      <w:r>
        <w:t>10</w:t>
      </w:r>
      <w:r>
        <w:rPr>
          <w:rFonts w:hint="eastAsia"/>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9" w:name="_Toc68703834"/>
      <w:r>
        <w:rPr>
          <w:rFonts w:hint="eastAsia" w:ascii="宋体" w:hAnsi="宋体" w:eastAsia="宋体"/>
          <w:sz w:val="32"/>
          <w:szCs w:val="32"/>
        </w:rPr>
        <w:t>三、综合评价情况及评价结论</w:t>
      </w:r>
      <w:bookmarkEnd w:id="9"/>
    </w:p>
    <w:p>
      <w:pPr>
        <w:pStyle w:val="3"/>
        <w:spacing w:line="360" w:lineRule="auto"/>
        <w:rPr>
          <w:rFonts w:ascii="仿宋_GB2312" w:eastAsia="仿宋_GB2312"/>
          <w:b w:val="0"/>
          <w:bCs w:val="0"/>
        </w:rPr>
      </w:pPr>
      <w:bookmarkStart w:id="10" w:name="_Toc68703835"/>
      <w:r>
        <w:rPr>
          <w:rFonts w:hint="eastAsia" w:ascii="仿宋_GB2312" w:eastAsia="仿宋_GB2312"/>
          <w:b w:val="0"/>
          <w:bCs w:val="0"/>
        </w:rPr>
        <w:t>（一）综合评价情况</w:t>
      </w:r>
      <w:bookmarkEnd w:id="10"/>
    </w:p>
    <w:p>
      <w:pPr>
        <w:spacing w:line="360" w:lineRule="auto"/>
        <w:ind w:firstLine="600" w:firstLineChars="200"/>
      </w:pPr>
      <w:r>
        <w:rPr>
          <w:rFonts w:hint="eastAsia"/>
        </w:rPr>
        <w:t>本项目严格按照</w:t>
      </w:r>
      <w:r>
        <w:rPr>
          <w:rFonts w:hint="eastAsia" w:ascii="仿宋_GB2312"/>
          <w:bCs/>
          <w:kern w:val="0"/>
          <w:sz w:val="32"/>
          <w:szCs w:val="32"/>
        </w:rPr>
        <w:t>科学公正、统筹兼顾、激励约束、公开透明的</w:t>
      </w:r>
      <w:r>
        <w:rPr>
          <w:rFonts w:hint="eastAsia"/>
        </w:rPr>
        <w:t>绩效评价原则，采用因素分析法，坚持计划标准对本项目的立项、项绩效目标、资金投入、资金管理、组织实施、产出数量、产出质量、产出时效、产出成本、项目效益进行了综合评价。</w:t>
      </w:r>
    </w:p>
    <w:p>
      <w:pPr>
        <w:spacing w:line="360" w:lineRule="auto"/>
        <w:ind w:firstLine="600" w:firstLineChars="200"/>
        <w:jc w:val="center"/>
      </w:pPr>
      <w:r>
        <w:rPr>
          <w:rFonts w:hint="eastAsia"/>
        </w:rPr>
        <w:t>普通高中学生资助资金（助学金、免学杂费）项目评价得分情况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24</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w:t>
            </w:r>
            <w:r>
              <w:rPr>
                <w:color w:val="000000"/>
                <w:sz w:val="22"/>
              </w:rPr>
              <w:t>5</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color w:val="000000"/>
                <w:sz w:val="22"/>
              </w:rPr>
              <w:t>24.8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color w:val="000000"/>
                <w:sz w:val="22"/>
              </w:rPr>
              <w:t>1</w:t>
            </w:r>
            <w:r>
              <w:rPr>
                <w:rFonts w:hint="eastAsia"/>
                <w:color w:val="000000"/>
                <w:sz w:val="22"/>
              </w:rPr>
              <w:t>1</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11</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w:t>
            </w:r>
            <w:r>
              <w:rPr>
                <w:b/>
                <w:bCs/>
                <w:color w:val="000000"/>
                <w:sz w:val="22"/>
              </w:rPr>
              <w:t>00</w:t>
            </w:r>
          </w:p>
        </w:tc>
        <w:tc>
          <w:tcPr>
            <w:tcW w:w="227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b/>
                <w:bCs/>
                <w:color w:val="000000"/>
                <w:sz w:val="22"/>
              </w:rPr>
              <w:t>99.8</w:t>
            </w:r>
          </w:p>
        </w:tc>
      </w:tr>
    </w:tbl>
    <w:p>
      <w:pPr>
        <w:pStyle w:val="3"/>
        <w:spacing w:line="360" w:lineRule="auto"/>
        <w:rPr>
          <w:rFonts w:ascii="仿宋_GB2312" w:eastAsia="仿宋_GB2312"/>
          <w:b w:val="0"/>
          <w:bCs w:val="0"/>
        </w:rPr>
      </w:pPr>
      <w:bookmarkStart w:id="11" w:name="_Toc68703836"/>
      <w:r>
        <w:rPr>
          <w:rFonts w:hint="eastAsia" w:ascii="仿宋_GB2312" w:eastAsia="仿宋_GB2312"/>
          <w:b w:val="0"/>
          <w:bCs w:val="0"/>
        </w:rPr>
        <w:t>（二）评价结论</w:t>
      </w:r>
      <w:bookmarkEnd w:id="11"/>
    </w:p>
    <w:p>
      <w:pPr>
        <w:spacing w:line="360" w:lineRule="auto"/>
        <w:ind w:firstLine="600" w:firstLineChars="200"/>
      </w:pPr>
      <w:r>
        <w:rPr>
          <w:rFonts w:hint="eastAsia"/>
        </w:rPr>
        <w:t>本项目的项目决策、项目过程、项目产出、项目效益大部分达到了预期要求，得分为</w:t>
      </w:r>
      <w:r>
        <w:t>99.8</w:t>
      </w:r>
      <w:r>
        <w:rPr>
          <w:rFonts w:hint="eastAsia"/>
        </w:rPr>
        <w:t>分，项目大部分达成年度指标，过程指标未达成年度指标的原因是预算超出实际执行部分，执行率只达到9</w:t>
      </w:r>
      <w:r>
        <w:t>6%</w:t>
      </w:r>
      <w:r>
        <w:rPr>
          <w:rFonts w:hint="eastAsia"/>
        </w:rPr>
        <w:t>。</w:t>
      </w:r>
    </w:p>
    <w:p>
      <w:pPr>
        <w:spacing w:line="360" w:lineRule="auto"/>
        <w:ind w:firstLine="600" w:firstLineChars="200"/>
        <w:rPr>
          <w:color w:val="FF0000"/>
        </w:rPr>
      </w:pPr>
    </w:p>
    <w:p>
      <w:pPr>
        <w:pStyle w:val="2"/>
        <w:spacing w:line="360" w:lineRule="auto"/>
        <w:rPr>
          <w:rFonts w:ascii="宋体" w:hAnsi="宋体" w:eastAsia="宋体"/>
          <w:sz w:val="32"/>
          <w:szCs w:val="32"/>
        </w:rPr>
      </w:pPr>
      <w:bookmarkStart w:id="12" w:name="_Toc68703837"/>
      <w:r>
        <w:rPr>
          <w:rFonts w:hint="eastAsia" w:ascii="宋体" w:hAnsi="宋体" w:eastAsia="宋体"/>
          <w:sz w:val="32"/>
          <w:szCs w:val="32"/>
        </w:rPr>
        <w:t>四、绩效评价指标分析</w:t>
      </w:r>
      <w:bookmarkEnd w:id="12"/>
    </w:p>
    <w:p>
      <w:pPr>
        <w:pStyle w:val="3"/>
        <w:spacing w:line="360" w:lineRule="auto"/>
        <w:rPr>
          <w:rFonts w:ascii="仿宋_GB2312" w:eastAsia="仿宋_GB2312"/>
          <w:b w:val="0"/>
          <w:bCs w:val="0"/>
        </w:rPr>
      </w:pPr>
      <w:bookmarkStart w:id="13" w:name="_Toc68703838"/>
      <w:r>
        <w:rPr>
          <w:rFonts w:hint="eastAsia" w:ascii="仿宋_GB2312" w:eastAsia="仿宋_GB2312"/>
          <w:b w:val="0"/>
          <w:bCs w:val="0"/>
        </w:rPr>
        <w:t>（一）项目决策情况。</w:t>
      </w:r>
      <w:bookmarkEnd w:id="13"/>
    </w:p>
    <w:p>
      <w:pPr>
        <w:spacing w:line="360" w:lineRule="auto"/>
      </w:pPr>
      <w:r>
        <w:rPr>
          <w:rFonts w:hint="eastAsia"/>
        </w:rPr>
        <w:t>1、立项依据充分性</w:t>
      </w:r>
    </w:p>
    <w:p>
      <w:pPr>
        <w:spacing w:line="360" w:lineRule="auto"/>
        <w:ind w:firstLine="600" w:firstLineChars="200"/>
      </w:pPr>
      <w:r>
        <w:rPr>
          <w:rFonts w:hint="eastAsia"/>
        </w:rPr>
        <w:t>项目立项依据</w:t>
      </w:r>
      <w:r>
        <w:rPr>
          <w:rFonts w:hint="eastAsia" w:ascii="仿宋_GB2312"/>
        </w:rPr>
        <w:t>根据《关于印发《新疆维吾尔自治区学生资助资金管理办法》新财规[2021]13号通知》和《关于提前下达2</w:t>
      </w:r>
      <w:r>
        <w:rPr>
          <w:rFonts w:ascii="仿宋_GB2312"/>
        </w:rPr>
        <w:t>021</w:t>
      </w:r>
      <w:r>
        <w:rPr>
          <w:rFonts w:hint="eastAsia" w:ascii="仿宋_GB2312"/>
        </w:rPr>
        <w:t>年学生资助补助直达资金的通知》伊州财教【2</w:t>
      </w:r>
      <w:r>
        <w:rPr>
          <w:rFonts w:ascii="仿宋_GB2312"/>
        </w:rPr>
        <w:t>020</w:t>
      </w:r>
      <w:r>
        <w:rPr>
          <w:rFonts w:hint="eastAsia" w:ascii="仿宋_GB2312"/>
        </w:rPr>
        <w:t>】5</w:t>
      </w:r>
      <w:r>
        <w:rPr>
          <w:rFonts w:ascii="仿宋_GB2312"/>
        </w:rPr>
        <w:t>3</w:t>
      </w:r>
      <w:r>
        <w:rPr>
          <w:rFonts w:hint="eastAsia" w:ascii="仿宋_GB2312"/>
        </w:rPr>
        <w:t>号及《关于提前下达2</w:t>
      </w:r>
      <w:r>
        <w:rPr>
          <w:rFonts w:ascii="仿宋_GB2312"/>
        </w:rPr>
        <w:t>021</w:t>
      </w:r>
      <w:r>
        <w:rPr>
          <w:rFonts w:hint="eastAsia" w:ascii="仿宋_GB2312"/>
        </w:rPr>
        <w:t>年自治区学生资助补助直达资金的通知》伊州财教【</w:t>
      </w:r>
      <w:r>
        <w:rPr>
          <w:rFonts w:ascii="仿宋_GB2312"/>
        </w:rPr>
        <w:t>2020</w:t>
      </w:r>
      <w:r>
        <w:rPr>
          <w:rFonts w:hint="eastAsia" w:ascii="仿宋_GB2312"/>
        </w:rPr>
        <w:t>】6</w:t>
      </w:r>
      <w:r>
        <w:rPr>
          <w:rFonts w:ascii="仿宋_GB2312"/>
        </w:rPr>
        <w:t>0</w:t>
      </w:r>
      <w:r>
        <w:rPr>
          <w:rFonts w:hint="eastAsia" w:ascii="仿宋_GB2312"/>
        </w:rPr>
        <w:t>号文件制定实施，</w:t>
      </w:r>
      <w:r>
        <w:rPr>
          <w:rFonts w:hint="eastAsia"/>
        </w:rPr>
        <w:t>项目立项符合国家法律法规、国民经济发展规划和相关政策；与部门职责范围相符，属于部门履职所需；属于公共财政支持范围，符合中央、地方事权支出责任划分原则；项目没有与相关部门同类项目或部门内部相关项目重复。</w:t>
      </w:r>
    </w:p>
    <w:p>
      <w:pPr>
        <w:spacing w:line="360" w:lineRule="auto"/>
        <w:ind w:firstLine="600" w:firstLineChars="200"/>
        <w:rPr>
          <w:color w:val="FF0000"/>
        </w:rPr>
      </w:pPr>
    </w:p>
    <w:p>
      <w:pPr>
        <w:spacing w:line="360" w:lineRule="auto"/>
      </w:pPr>
      <w:r>
        <w:rPr>
          <w:rFonts w:hint="eastAsia"/>
        </w:rPr>
        <w:t>2、立项程序规范性</w:t>
      </w:r>
    </w:p>
    <w:p>
      <w:pPr>
        <w:spacing w:line="360" w:lineRule="auto"/>
        <w:ind w:firstLine="600" w:firstLineChars="200"/>
        <w:rPr>
          <w:color w:val="FF0000"/>
        </w:rPr>
      </w:pPr>
      <w:r>
        <w:rPr>
          <w:rFonts w:hint="eastAsia"/>
        </w:rPr>
        <w:t>项目立项按照规定的程序申请设立；审批文件、材料符合相关要求；事前已经过必要的可行性研究、专家论证、风险评估、绩效评估、集体决策。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rPr>
          <w:color w:val="FF0000"/>
        </w:rPr>
      </w:pPr>
      <w:r>
        <w:rPr>
          <w:rFonts w:hint="eastAsia"/>
        </w:rPr>
        <w:t>普通高中学生资助资金（助学金、免学杂费）项目设立了项目绩效目标，与国家教育系统惠民政策具有相关性，项目的预期产出效益和效果也均能符合正常的业绩水平，并且与预算确定的项目投资额或资金量相匹配。</w:t>
      </w:r>
    </w:p>
    <w:p>
      <w:pPr>
        <w:spacing w:line="360" w:lineRule="auto"/>
      </w:pPr>
      <w:r>
        <w:rPr>
          <w:rFonts w:hint="eastAsia"/>
        </w:rPr>
        <w:t>4、绩效指标明确性</w:t>
      </w:r>
    </w:p>
    <w:p>
      <w:pPr>
        <w:spacing w:line="360" w:lineRule="auto"/>
        <w:ind w:firstLine="600" w:firstLineChars="200"/>
        <w:rPr>
          <w:color w:val="FF0000"/>
        </w:rPr>
      </w:pPr>
      <w:bookmarkStart w:id="14" w:name="_Hlk68699917"/>
      <w:r>
        <w:rPr>
          <w:rFonts w:hint="eastAsia"/>
        </w:rPr>
        <w:t>普通高中学生资助资金（助学金、免学杂费）项目将项目绩效目标细化分解为具体的绩效指标，一级指标共3条，二级指标共</w:t>
      </w:r>
      <w:r>
        <w:t>6</w:t>
      </w:r>
      <w:r>
        <w:rPr>
          <w:rFonts w:hint="eastAsia"/>
        </w:rPr>
        <w:t>条，三级指标共</w:t>
      </w:r>
      <w:r>
        <w:t>11</w:t>
      </w:r>
      <w:r>
        <w:rPr>
          <w:rFonts w:hint="eastAsia"/>
        </w:rPr>
        <w:t>条，其中量化指标条数共6条，所有绩效指标均通过清晰、可衡量的指标值予以体现，并且做到了与项目目标任务数或计划数相对应。</w:t>
      </w:r>
      <w:bookmarkEnd w:id="14"/>
    </w:p>
    <w:p>
      <w:pPr>
        <w:spacing w:line="360" w:lineRule="auto"/>
      </w:pPr>
      <w:r>
        <w:rPr>
          <w:rFonts w:hint="eastAsia"/>
        </w:rPr>
        <w:t>5、预算编制科学性</w:t>
      </w:r>
    </w:p>
    <w:p>
      <w:pPr>
        <w:spacing w:line="360" w:lineRule="auto"/>
        <w:ind w:firstLine="600" w:firstLineChars="200"/>
      </w:pPr>
      <w:r>
        <w:rPr>
          <w:rFonts w:hint="eastAsia"/>
        </w:rPr>
        <w:t>预算编制经过科学论证；预算内容与项目内容匹配；预算额度测算依据充分，按照标准编制；预算确定的项目投资额或资金量与工作任务相匹配。</w:t>
      </w:r>
    </w:p>
    <w:p>
      <w:pPr>
        <w:spacing w:line="360" w:lineRule="auto"/>
      </w:pPr>
      <w:r>
        <w:rPr>
          <w:rFonts w:hint="eastAsia"/>
        </w:rPr>
        <w:t>6、资金分配合理性</w:t>
      </w:r>
    </w:p>
    <w:p>
      <w:pPr>
        <w:spacing w:line="360" w:lineRule="auto"/>
        <w:ind w:firstLine="600" w:firstLineChars="200"/>
      </w:pPr>
      <w:r>
        <w:rPr>
          <w:rFonts w:hint="eastAsia"/>
        </w:rPr>
        <w:t>预算资金分配依据充分；资金分配额度合理，与项目单位或地方实际相适应。</w:t>
      </w:r>
    </w:p>
    <w:p>
      <w:pPr>
        <w:pStyle w:val="3"/>
        <w:spacing w:line="360" w:lineRule="auto"/>
        <w:rPr>
          <w:rFonts w:ascii="仿宋_GB2312" w:eastAsia="仿宋_GB2312"/>
          <w:b w:val="0"/>
          <w:bCs w:val="0"/>
        </w:rPr>
      </w:pPr>
      <w:bookmarkStart w:id="15" w:name="_Toc68703839"/>
      <w:r>
        <w:rPr>
          <w:rFonts w:hint="eastAsia" w:ascii="仿宋_GB2312" w:eastAsia="仿宋_GB2312"/>
          <w:b w:val="0"/>
          <w:bCs w:val="0"/>
        </w:rPr>
        <w:t>（二）项目过程情况。</w:t>
      </w:r>
      <w:bookmarkEnd w:id="15"/>
    </w:p>
    <w:p>
      <w:pPr>
        <w:spacing w:line="360" w:lineRule="auto"/>
      </w:pPr>
      <w:r>
        <w:rPr>
          <w:rFonts w:hint="eastAsia"/>
        </w:rPr>
        <w:t>1、资金到位率：</w:t>
      </w:r>
    </w:p>
    <w:p>
      <w:pPr>
        <w:spacing w:line="360" w:lineRule="auto"/>
        <w:ind w:firstLine="600" w:firstLineChars="200"/>
      </w:pPr>
      <w:r>
        <w:rPr>
          <w:rFonts w:hint="eastAsia"/>
        </w:rPr>
        <w:t>预算资金</w:t>
      </w:r>
      <w:r>
        <w:t>317.97</w:t>
      </w:r>
      <w:r>
        <w:rPr>
          <w:rFonts w:hint="eastAsia"/>
        </w:rPr>
        <w:t>万元，实际到位资金</w:t>
      </w:r>
      <w:r>
        <w:t>317.97</w:t>
      </w:r>
      <w:r>
        <w:rPr>
          <w:rFonts w:hint="eastAsia"/>
        </w:rPr>
        <w:t>万元，资金到位率</w:t>
      </w:r>
      <w:r>
        <w:t>100.00</w:t>
      </w:r>
      <w:r>
        <w:rPr>
          <w:rFonts w:hint="eastAsia"/>
        </w:rPr>
        <w:t>%。</w:t>
      </w:r>
    </w:p>
    <w:p>
      <w:pPr>
        <w:spacing w:line="360" w:lineRule="auto"/>
      </w:pPr>
      <w:r>
        <w:rPr>
          <w:rFonts w:hint="eastAsia"/>
        </w:rPr>
        <w:t>2、预算执行率</w:t>
      </w:r>
    </w:p>
    <w:p>
      <w:pPr>
        <w:spacing w:line="360" w:lineRule="auto"/>
        <w:ind w:firstLine="600" w:firstLineChars="200"/>
      </w:pPr>
      <w:r>
        <w:rPr>
          <w:rFonts w:hint="eastAsia"/>
        </w:rPr>
        <w:t>年初预算数</w:t>
      </w:r>
      <w:r>
        <w:t>317.97</w:t>
      </w:r>
      <w:r>
        <w:rPr>
          <w:rFonts w:hint="eastAsia"/>
        </w:rPr>
        <w:t>万元，全年预算数</w:t>
      </w:r>
      <w:r>
        <w:t>317.97</w:t>
      </w:r>
      <w:r>
        <w:rPr>
          <w:rFonts w:hint="eastAsia"/>
        </w:rPr>
        <w:t>万元，全年执行数</w:t>
      </w:r>
      <w:r>
        <w:t>305.07</w:t>
      </w:r>
      <w:r>
        <w:rPr>
          <w:rFonts w:hint="eastAsia"/>
        </w:rPr>
        <w:t>万元，预算执行率为</w:t>
      </w:r>
      <w:r>
        <w:t>96.00</w:t>
      </w:r>
      <w:r>
        <w:rPr>
          <w:rFonts w:hint="eastAsia"/>
        </w:rPr>
        <w:t>%</w:t>
      </w:r>
    </w:p>
    <w:p>
      <w:pPr>
        <w:spacing w:line="360" w:lineRule="auto"/>
      </w:pPr>
      <w:r>
        <w:rPr>
          <w:rFonts w:hint="eastAsia"/>
        </w:rPr>
        <w:t>3、资金使用合规性</w:t>
      </w:r>
    </w:p>
    <w:p>
      <w:pPr>
        <w:spacing w:line="360" w:lineRule="auto"/>
        <w:ind w:firstLine="600" w:firstLineChars="200"/>
        <w:rPr>
          <w:color w:val="FF0000"/>
        </w:rPr>
      </w:pPr>
      <w:r>
        <w:rPr>
          <w:rFonts w:hint="eastAsia"/>
        </w:rPr>
        <w:t>资金使用符合国家财经法规和财务管理制度以及有关专项资金管理办法的规定；资金的拨付有完整的审批程序和手续；符合项目预算批复或合同规定的用途；不存在存在截留、挤占、挪用、虚列支出等情况。</w:t>
      </w:r>
    </w:p>
    <w:p>
      <w:pPr>
        <w:spacing w:line="360" w:lineRule="auto"/>
      </w:pPr>
      <w:r>
        <w:rPr>
          <w:rFonts w:hint="eastAsia"/>
        </w:rPr>
        <w:t>4、管理制度健全性</w:t>
      </w:r>
    </w:p>
    <w:p>
      <w:pPr>
        <w:spacing w:line="360" w:lineRule="auto"/>
        <w:ind w:firstLine="600" w:firstLineChars="200"/>
      </w:pPr>
      <w:r>
        <w:rPr>
          <w:rFonts w:hint="eastAsia"/>
        </w:rPr>
        <w:t>本项目已制定或具有相应的财务和业务管理制度；财务和业务管理制度合法、合规、完整。</w:t>
      </w:r>
    </w:p>
    <w:p>
      <w:pPr>
        <w:spacing w:line="360" w:lineRule="auto"/>
      </w:pPr>
      <w:r>
        <w:rPr>
          <w:rFonts w:hint="eastAsia"/>
        </w:rPr>
        <w:t>5、制度执行有效性</w:t>
      </w:r>
    </w:p>
    <w:p>
      <w:pPr>
        <w:spacing w:line="360" w:lineRule="auto"/>
        <w:ind w:firstLine="600" w:firstLineChars="200"/>
      </w:pPr>
      <w:r>
        <w:rPr>
          <w:rFonts w:hint="eastAsia"/>
        </w:rPr>
        <w:t>项目执行遵守相关法律法规和相关管理规定；项目调整及支出调整手续完备；项目资料齐全并及时归档；项目实施的人员条件、场地设备、信息支撑等落实到位。</w:t>
      </w:r>
    </w:p>
    <w:p>
      <w:pPr>
        <w:pStyle w:val="3"/>
        <w:spacing w:line="360" w:lineRule="auto"/>
        <w:rPr>
          <w:rFonts w:ascii="仿宋_GB2312" w:eastAsia="仿宋_GB2312"/>
          <w:b w:val="0"/>
          <w:bCs w:val="0"/>
        </w:rPr>
      </w:pPr>
      <w:bookmarkStart w:id="16" w:name="_Toc68703840"/>
      <w:r>
        <w:rPr>
          <w:rFonts w:hint="eastAsia" w:ascii="仿宋_GB2312" w:eastAsia="仿宋_GB2312"/>
          <w:b w:val="0"/>
          <w:bCs w:val="0"/>
        </w:rPr>
        <w:t>（三）项目产出情况。</w:t>
      </w:r>
      <w:bookmarkEnd w:id="16"/>
    </w:p>
    <w:p>
      <w:pPr>
        <w:spacing w:line="360" w:lineRule="auto"/>
        <w:ind w:firstLine="600" w:firstLineChars="200"/>
      </w:pPr>
      <w:r>
        <w:rPr>
          <w:rFonts w:hint="eastAsia"/>
        </w:rPr>
        <w:t>1、数量指标：指标1：受助学生人数，指标值：≥1465人，实际完成值</w:t>
      </w:r>
      <w:r>
        <w:t>1909</w:t>
      </w:r>
      <w:r>
        <w:rPr>
          <w:rFonts w:hint="eastAsia"/>
        </w:rPr>
        <w:t>人，指标完成率</w:t>
      </w:r>
      <w:r>
        <w:t>100%</w:t>
      </w:r>
      <w:r>
        <w:rPr>
          <w:rFonts w:hint="eastAsia"/>
        </w:rPr>
        <w:t>；指标</w:t>
      </w:r>
      <w:r>
        <w:t>2</w:t>
      </w:r>
      <w:r>
        <w:rPr>
          <w:rFonts w:hint="eastAsia"/>
        </w:rPr>
        <w:t>：补助发放次数，指标值：2次，实际完成值</w:t>
      </w:r>
      <w:r>
        <w:t>2</w:t>
      </w:r>
      <w:r>
        <w:rPr>
          <w:rFonts w:hint="eastAsia"/>
        </w:rPr>
        <w:t>次，指标完成率</w:t>
      </w:r>
      <w:r>
        <w:t>100%</w:t>
      </w:r>
    </w:p>
    <w:p>
      <w:pPr>
        <w:spacing w:line="360" w:lineRule="auto"/>
        <w:ind w:firstLine="600" w:firstLineChars="200"/>
      </w:pPr>
      <w:r>
        <w:t>2</w:t>
      </w:r>
      <w:r>
        <w:rPr>
          <w:rFonts w:hint="eastAsia"/>
        </w:rPr>
        <w:t>、质量指标：指标1：学校覆盖率，指标值：</w:t>
      </w:r>
      <w:r>
        <w:t>100</w:t>
      </w:r>
      <w:r>
        <w:rPr>
          <w:rFonts w:hint="eastAsia"/>
        </w:rPr>
        <w:t>%，实际完成值</w:t>
      </w:r>
      <w:r>
        <w:t>100</w:t>
      </w:r>
      <w:r>
        <w:rPr>
          <w:rFonts w:hint="eastAsia"/>
        </w:rPr>
        <w:t>%，指标完成率1</w:t>
      </w:r>
      <w:r>
        <w:t>00</w:t>
      </w:r>
      <w:r>
        <w:rPr>
          <w:rFonts w:hint="eastAsia"/>
        </w:rPr>
        <w:t>%；指标</w:t>
      </w:r>
      <w:r>
        <w:t>2</w:t>
      </w:r>
      <w:r>
        <w:rPr>
          <w:rFonts w:hint="eastAsia"/>
        </w:rPr>
        <w:t>：建档立卡困难家庭学生覆盖率，指标值：</w:t>
      </w:r>
      <w:r>
        <w:t>100</w:t>
      </w:r>
      <w:r>
        <w:rPr>
          <w:rFonts w:hint="eastAsia"/>
        </w:rPr>
        <w:t>%，实际完成值</w:t>
      </w:r>
      <w:r>
        <w:t>100</w:t>
      </w:r>
      <w:r>
        <w:rPr>
          <w:rFonts w:hint="eastAsia"/>
        </w:rPr>
        <w:t>%，指标完成率1</w:t>
      </w:r>
      <w:r>
        <w:t>00</w:t>
      </w:r>
      <w:r>
        <w:rPr>
          <w:rFonts w:hint="eastAsia"/>
        </w:rPr>
        <w:t>%。</w:t>
      </w:r>
    </w:p>
    <w:p>
      <w:pPr>
        <w:spacing w:line="360" w:lineRule="auto"/>
        <w:ind w:firstLine="600" w:firstLineChars="200"/>
      </w:pPr>
      <w:r>
        <w:rPr>
          <w:rFonts w:hint="eastAsia"/>
        </w:rPr>
        <w:t>3、时效指标：指标1：资金年度到位率，指标值：</w:t>
      </w:r>
      <w:r>
        <w:t>100</w:t>
      </w:r>
      <w:r>
        <w:rPr>
          <w:rFonts w:hint="eastAsia"/>
        </w:rPr>
        <w:t>%，实际完成值</w:t>
      </w:r>
      <w:r>
        <w:t>100</w:t>
      </w:r>
      <w:r>
        <w:rPr>
          <w:rFonts w:hint="eastAsia"/>
        </w:rPr>
        <w:t>%，指标完成率1</w:t>
      </w:r>
      <w:r>
        <w:t>00</w:t>
      </w:r>
      <w:r>
        <w:rPr>
          <w:rFonts w:hint="eastAsia"/>
        </w:rPr>
        <w:t>%；指标1：资金发放及时性，指标值：</w:t>
      </w:r>
      <w:r>
        <w:t>100</w:t>
      </w:r>
      <w:r>
        <w:rPr>
          <w:rFonts w:hint="eastAsia"/>
        </w:rPr>
        <w:t>%，实际完成值</w:t>
      </w:r>
      <w:r>
        <w:t>100</w:t>
      </w:r>
      <w:r>
        <w:rPr>
          <w:rFonts w:hint="eastAsia"/>
        </w:rPr>
        <w:t>%，指标完成率1</w:t>
      </w:r>
      <w:r>
        <w:t>00</w:t>
      </w:r>
      <w:r>
        <w:rPr>
          <w:rFonts w:hint="eastAsia"/>
        </w:rPr>
        <w:t>%。</w:t>
      </w:r>
    </w:p>
    <w:p>
      <w:pPr>
        <w:spacing w:line="360" w:lineRule="auto"/>
        <w:ind w:firstLine="600" w:firstLineChars="200"/>
      </w:pPr>
      <w:r>
        <w:rPr>
          <w:rFonts w:hint="eastAsia"/>
        </w:rPr>
        <w:t>4、成本指标：</w:t>
      </w:r>
      <w:bookmarkStart w:id="17" w:name="_Toc68703841"/>
      <w:r>
        <w:rPr>
          <w:rFonts w:hint="eastAsia"/>
        </w:rPr>
        <w:t>指标1：每次发放资金数，指标值：'≦158.98万元，实际完成值152.53万元，指标完成率1</w:t>
      </w:r>
      <w:r>
        <w:t>00</w:t>
      </w:r>
      <w:r>
        <w:rPr>
          <w:rFonts w:hint="eastAsia"/>
        </w:rPr>
        <w:t>%；指标</w:t>
      </w:r>
      <w:r>
        <w:t>2</w:t>
      </w:r>
      <w:r>
        <w:rPr>
          <w:rFonts w:hint="eastAsia"/>
        </w:rPr>
        <w:t>：平均补助标准，指标值2000元/生/年，实际完成值2000元/生/年，指标完成率1</w:t>
      </w:r>
      <w:r>
        <w:t>00</w:t>
      </w:r>
      <w:r>
        <w:rPr>
          <w:rFonts w:hint="eastAsia"/>
        </w:rPr>
        <w:t>%。</w:t>
      </w:r>
    </w:p>
    <w:p>
      <w:pPr>
        <w:spacing w:line="360" w:lineRule="auto"/>
        <w:ind w:firstLine="600" w:firstLineChars="200"/>
        <w:rPr>
          <w:rFonts w:ascii="仿宋_GB2312"/>
          <w:b/>
          <w:bCs/>
        </w:rPr>
      </w:pPr>
      <w:r>
        <w:rPr>
          <w:rFonts w:hint="eastAsia" w:ascii="仿宋_GB2312"/>
        </w:rPr>
        <w:t>（四）项目效益情况。</w:t>
      </w:r>
      <w:bookmarkEnd w:id="17"/>
    </w:p>
    <w:p>
      <w:pPr>
        <w:spacing w:line="360" w:lineRule="auto"/>
        <w:ind w:firstLine="600" w:firstLineChars="200"/>
      </w:pPr>
      <w:r>
        <w:rPr>
          <w:rFonts w:hint="eastAsia"/>
        </w:rPr>
        <w:t>1、社会效益指标：指标1：家庭经济困难学生的生活负担，指标值：有效减轻，实际完成值有效减轻，指标完成率1</w:t>
      </w:r>
      <w:r>
        <w:t>00</w:t>
      </w:r>
      <w:r>
        <w:rPr>
          <w:rFonts w:hint="eastAsia"/>
        </w:rPr>
        <w:t>%。</w:t>
      </w:r>
    </w:p>
    <w:p>
      <w:pPr>
        <w:spacing w:line="360" w:lineRule="auto"/>
        <w:ind w:firstLine="600" w:firstLineChars="200"/>
      </w:pPr>
      <w:r>
        <w:rPr>
          <w:rFonts w:hint="eastAsia"/>
        </w:rPr>
        <w:t>2、满意度指标：指标1：家长满意度，指标值：≥90%，实际完成值90%，指标完成率1</w:t>
      </w:r>
      <w:r>
        <w:t>00</w:t>
      </w:r>
      <w:r>
        <w:rPr>
          <w:rFonts w:hint="eastAsia"/>
        </w:rPr>
        <w:t>%；指标</w:t>
      </w:r>
      <w:r>
        <w:t>2</w:t>
      </w:r>
      <w:r>
        <w:rPr>
          <w:rFonts w:hint="eastAsia"/>
        </w:rPr>
        <w:t>：学生满意度，指标值：≥90%，实际完成值90%，指标完成率1</w:t>
      </w:r>
      <w:r>
        <w:t>00</w:t>
      </w:r>
      <w:r>
        <w:rPr>
          <w:rFonts w:hint="eastAsia"/>
        </w:rPr>
        <w:t>%。</w:t>
      </w:r>
    </w:p>
    <w:p>
      <w:pPr>
        <w:spacing w:line="360" w:lineRule="auto"/>
        <w:ind w:firstLine="600" w:firstLineChars="200"/>
        <w:rPr>
          <w:color w:val="FF0000"/>
        </w:rPr>
      </w:pPr>
    </w:p>
    <w:p>
      <w:pPr>
        <w:pStyle w:val="2"/>
        <w:spacing w:line="360" w:lineRule="auto"/>
        <w:rPr>
          <w:rFonts w:ascii="宋体" w:hAnsi="宋体" w:eastAsia="宋体"/>
          <w:sz w:val="32"/>
          <w:szCs w:val="32"/>
        </w:rPr>
      </w:pPr>
      <w:bookmarkStart w:id="18" w:name="_Toc68703842"/>
      <w:r>
        <w:rPr>
          <w:rFonts w:hint="eastAsia" w:ascii="宋体" w:hAnsi="宋体" w:eastAsia="宋体"/>
          <w:sz w:val="32"/>
          <w:szCs w:val="32"/>
        </w:rPr>
        <w:t>五、主要经验及做法、存在的问题及原因分析</w:t>
      </w:r>
      <w:bookmarkEnd w:id="18"/>
    </w:p>
    <w:p>
      <w:pPr>
        <w:pStyle w:val="3"/>
        <w:spacing w:line="360" w:lineRule="auto"/>
        <w:rPr>
          <w:rFonts w:ascii="仿宋_GB2312" w:eastAsia="仿宋_GB2312"/>
          <w:b w:val="0"/>
          <w:bCs w:val="0"/>
        </w:rPr>
      </w:pPr>
      <w:bookmarkStart w:id="19" w:name="_Toc68703843"/>
      <w:r>
        <w:rPr>
          <w:rFonts w:hint="eastAsia" w:ascii="仿宋_GB2312" w:eastAsia="仿宋_GB2312"/>
          <w:b w:val="0"/>
          <w:bCs w:val="0"/>
        </w:rPr>
        <w:t>（一）主要经验及做法</w:t>
      </w:r>
      <w:bookmarkEnd w:id="19"/>
    </w:p>
    <w:p>
      <w:pPr>
        <w:spacing w:line="360" w:lineRule="auto"/>
        <w:ind w:firstLine="600" w:firstLineChars="200"/>
        <w:rPr>
          <w:color w:val="FF0000"/>
        </w:rPr>
      </w:pPr>
      <w:r>
        <w:rPr>
          <w:rFonts w:hint="eastAsia"/>
        </w:rPr>
        <w:t>从立项到执行均按照上级政策执行，完全符合国家对普通高中国家助学金和免学费政策的要求，使惠民政策惠及到全部贫困学生及家庭，让全体人民共同富裕起来。</w:t>
      </w:r>
    </w:p>
    <w:p>
      <w:pPr>
        <w:pStyle w:val="3"/>
        <w:spacing w:line="360" w:lineRule="auto"/>
        <w:rPr>
          <w:rFonts w:ascii="仿宋_GB2312" w:eastAsia="仿宋_GB2312"/>
          <w:b w:val="0"/>
          <w:bCs w:val="0"/>
        </w:rPr>
      </w:pPr>
      <w:bookmarkStart w:id="20" w:name="_Toc68703844"/>
      <w:r>
        <w:rPr>
          <w:rFonts w:hint="eastAsia" w:ascii="仿宋_GB2312" w:eastAsia="仿宋_GB2312"/>
          <w:b w:val="0"/>
          <w:bCs w:val="0"/>
        </w:rPr>
        <w:t>（二）存在的问题及原因分析</w:t>
      </w:r>
      <w:bookmarkEnd w:id="20"/>
    </w:p>
    <w:p>
      <w:pPr>
        <w:spacing w:line="360" w:lineRule="auto"/>
        <w:ind w:firstLine="600" w:firstLineChars="200"/>
        <w:rPr>
          <w:rFonts w:hint="eastAsia"/>
        </w:rPr>
      </w:pPr>
      <w:r>
        <w:rPr>
          <w:rFonts w:hint="eastAsia"/>
        </w:rPr>
        <w:t>普通高中一年内春季和秋季在校学生有所变化，导致春季和秋季资助人数有所变动，往往会出现预算和执行不符的情况。</w:t>
      </w:r>
    </w:p>
    <w:p>
      <w:pPr>
        <w:pStyle w:val="2"/>
        <w:spacing w:line="360" w:lineRule="auto"/>
        <w:rPr>
          <w:rFonts w:ascii="宋体" w:hAnsi="宋体" w:eastAsia="宋体"/>
          <w:sz w:val="32"/>
          <w:szCs w:val="32"/>
        </w:rPr>
      </w:pPr>
      <w:bookmarkStart w:id="21" w:name="_Toc68703845"/>
      <w:r>
        <w:rPr>
          <w:rFonts w:hint="eastAsia" w:ascii="宋体" w:hAnsi="宋体" w:eastAsia="宋体"/>
          <w:sz w:val="32"/>
          <w:szCs w:val="32"/>
        </w:rPr>
        <w:t>六、有关建议</w:t>
      </w:r>
      <w:bookmarkEnd w:id="21"/>
    </w:p>
    <w:p>
      <w:pPr>
        <w:spacing w:line="360" w:lineRule="auto"/>
        <w:ind w:firstLine="600" w:firstLineChars="200"/>
        <w:rPr>
          <w:rFonts w:hint="eastAsia"/>
        </w:rPr>
      </w:pPr>
      <w:bookmarkStart w:id="23" w:name="_GoBack"/>
      <w:r>
        <w:rPr>
          <w:rFonts w:hint="eastAsia"/>
        </w:rPr>
        <w:t>建议普通高中国家助学金和免学费项目按学年进行考核，这样两学期的贫困学生人数大致不变，更方便进行预算和绩效考核。</w:t>
      </w:r>
    </w:p>
    <w:bookmarkEnd w:id="23"/>
    <w:p>
      <w:pPr>
        <w:spacing w:line="360" w:lineRule="auto"/>
        <w:rPr>
          <w:rFonts w:ascii="宋体" w:hAnsi="宋体" w:eastAsia="宋体"/>
          <w:b/>
          <w:bCs/>
          <w:kern w:val="44"/>
          <w:sz w:val="32"/>
          <w:szCs w:val="32"/>
        </w:rPr>
      </w:pPr>
      <w:bookmarkStart w:id="22" w:name="_Toc68703846"/>
      <w:r>
        <w:rPr>
          <w:rFonts w:hint="eastAsia" w:ascii="宋体" w:hAnsi="宋体" w:eastAsia="宋体"/>
          <w:b/>
          <w:bCs/>
          <w:kern w:val="44"/>
          <w:sz w:val="32"/>
          <w:szCs w:val="32"/>
        </w:rPr>
        <w:t>七、其他需要说明的问题</w:t>
      </w:r>
      <w:bookmarkEnd w:id="22"/>
    </w:p>
    <w:p>
      <w:pPr>
        <w:ind w:firstLine="600" w:firstLineChars="200"/>
      </w:pPr>
      <w:r>
        <w:rPr>
          <w:rFonts w:hint="eastAsia"/>
        </w:rPr>
        <w:t>无</w:t>
      </w:r>
    </w:p>
    <w:p>
      <w:pPr>
        <w:spacing w:line="360" w:lineRule="auto"/>
      </w:pP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43" w:usb2="00000009" w:usb3="00000000" w:csb0="400001FF" w:csb1="FFFF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7D49C5"/>
    <w:rsid w:val="00032E09"/>
    <w:rsid w:val="00097FB4"/>
    <w:rsid w:val="001A786B"/>
    <w:rsid w:val="002945A6"/>
    <w:rsid w:val="002E4112"/>
    <w:rsid w:val="00467584"/>
    <w:rsid w:val="00471102"/>
    <w:rsid w:val="00555FF2"/>
    <w:rsid w:val="005B64E8"/>
    <w:rsid w:val="005F1649"/>
    <w:rsid w:val="00614288"/>
    <w:rsid w:val="00641EE8"/>
    <w:rsid w:val="0066392F"/>
    <w:rsid w:val="00792CFE"/>
    <w:rsid w:val="00793D31"/>
    <w:rsid w:val="007D49C5"/>
    <w:rsid w:val="00816246"/>
    <w:rsid w:val="00861EE4"/>
    <w:rsid w:val="008C631D"/>
    <w:rsid w:val="008D3521"/>
    <w:rsid w:val="009A2348"/>
    <w:rsid w:val="00A55807"/>
    <w:rsid w:val="00A62B08"/>
    <w:rsid w:val="00B24331"/>
    <w:rsid w:val="00B67F98"/>
    <w:rsid w:val="00BA1295"/>
    <w:rsid w:val="00C2474A"/>
    <w:rsid w:val="00C5131E"/>
    <w:rsid w:val="00D33A60"/>
    <w:rsid w:val="00FD6EA1"/>
    <w:rsid w:val="00FF4031"/>
    <w:rsid w:val="16B71B56"/>
    <w:rsid w:val="4A0416B8"/>
    <w:rsid w:val="4F41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5094</Words>
  <Characters>5428</Characters>
  <Lines>40</Lines>
  <Paragraphs>11</Paragraphs>
  <TotalTime>24</TotalTime>
  <ScaleCrop>false</ScaleCrop>
  <LinksUpToDate>false</LinksUpToDate>
  <CharactersWithSpaces>5447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2022-04-26T03:45:48Z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6208293C8EC94D8BAF4DC768D53F60BF</vt:lpwstr>
  </property>
</Properties>
</file>