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52"/>
          <w:szCs w:val="52"/>
        </w:rPr>
      </w:pPr>
      <w:r>
        <w:rPr>
          <w:rFonts w:hint="eastAsia" w:ascii="宋体" w:hAnsi="宋体" w:eastAsia="宋体" w:cs="Arial"/>
          <w:b/>
          <w:bCs/>
          <w:sz w:val="52"/>
          <w:szCs w:val="52"/>
        </w:rPr>
        <w:t>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方正小标宋简体" w:hAnsi="方正小标宋简体" w:eastAsia="方正小标宋简体" w:cs="方正小标宋简体"/>
          <w:color w:val="000000"/>
          <w:kern w:val="0"/>
          <w:sz w:val="36"/>
          <w:szCs w:val="36"/>
        </w:rPr>
        <w:t>（2</w:t>
      </w:r>
      <w:r>
        <w:rPr>
          <w:rFonts w:ascii="方正小标宋简体" w:hAnsi="方正小标宋简体" w:eastAsia="方正小标宋简体" w:cs="方正小标宋简体"/>
          <w:color w:val="000000"/>
          <w:kern w:val="0"/>
          <w:sz w:val="36"/>
          <w:szCs w:val="36"/>
        </w:rPr>
        <w:t>021</w:t>
      </w:r>
      <w:r>
        <w:rPr>
          <w:rFonts w:hint="eastAsia" w:ascii="方正小标宋简体" w:hAnsi="方正小标宋简体" w:eastAsia="方正小标宋简体" w:cs="方正小标宋简体"/>
          <w:color w:val="000000"/>
          <w:kern w:val="0"/>
          <w:sz w:val="36"/>
          <w:szCs w:val="36"/>
        </w:rPr>
        <w:t>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项目名称：2021年自治区广播电视节目无线覆盖运行维护</w:t>
      </w:r>
      <w:r>
        <w:rPr>
          <w:rFonts w:hint="eastAsia" w:ascii="宋体" w:hAnsi="宋体" w:eastAsia="宋体" w:cs="仿宋_GB2312"/>
          <w:b/>
          <w:bCs/>
          <w:color w:val="000000"/>
          <w:kern w:val="0"/>
          <w:sz w:val="32"/>
          <w:szCs w:val="32"/>
          <w:lang w:val="en-US" w:eastAsia="zh-CN"/>
        </w:rPr>
        <w:t>费</w:t>
      </w:r>
      <w:r>
        <w:rPr>
          <w:rFonts w:ascii="宋体" w:hAnsi="宋体" w:eastAsia="宋体" w:cs="宋体"/>
          <w:kern w:val="0"/>
          <w:sz w:val="32"/>
          <w:szCs w:val="32"/>
        </w:rPr>
        <w:t xml:space="preserve"> </w:t>
      </w:r>
    </w:p>
    <w:p>
      <w:pPr>
        <w:spacing w:line="560" w:lineRule="exact"/>
        <w:ind w:firstLine="321" w:firstLineChars="100"/>
        <w:rPr>
          <w:rFonts w:hint="default" w:ascii="宋体" w:hAnsi="宋体" w:eastAsia="宋体" w:cs="宋体"/>
          <w:b/>
          <w:bCs/>
          <w:kern w:val="0"/>
          <w:sz w:val="32"/>
          <w:szCs w:val="32"/>
          <w:lang w:val="en-US" w:eastAsia="zh-CN"/>
        </w:rPr>
      </w:pPr>
      <w:r>
        <w:rPr>
          <w:rFonts w:hint="eastAsia" w:ascii="宋体" w:hAnsi="宋体" w:eastAsia="宋体" w:cs="仿宋_GB2312"/>
          <w:b/>
          <w:bCs/>
          <w:color w:val="000000"/>
          <w:kern w:val="0"/>
          <w:sz w:val="32"/>
          <w:szCs w:val="32"/>
        </w:rPr>
        <w:t>实施单位（公章）：</w:t>
      </w:r>
      <w:r>
        <w:rPr>
          <w:rFonts w:ascii="宋体" w:hAnsi="宋体" w:eastAsia="宋体" w:cs="宋体"/>
          <w:kern w:val="0"/>
          <w:sz w:val="32"/>
          <w:szCs w:val="32"/>
        </w:rPr>
        <w:t xml:space="preserve"> </w:t>
      </w:r>
      <w:r>
        <w:rPr>
          <w:rFonts w:hint="eastAsia" w:ascii="宋体" w:hAnsi="宋体" w:eastAsia="宋体" w:cs="宋体"/>
          <w:b/>
          <w:bCs/>
          <w:kern w:val="0"/>
          <w:sz w:val="32"/>
          <w:szCs w:val="32"/>
          <w:lang w:val="en-US" w:eastAsia="zh-CN"/>
        </w:rPr>
        <w:t>特克斯县融媒体中心</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主管部门（公章）：</w:t>
      </w:r>
      <w:r>
        <w:rPr>
          <w:rFonts w:ascii="宋体" w:hAnsi="宋体" w:eastAsia="宋体" w:cs="宋体"/>
          <w:kern w:val="0"/>
          <w:sz w:val="32"/>
          <w:szCs w:val="32"/>
        </w:rPr>
        <w:t xml:space="preserve"> </w:t>
      </w:r>
      <w:r>
        <w:rPr>
          <w:rFonts w:hint="eastAsia" w:ascii="宋体" w:hAnsi="宋体" w:eastAsia="宋体" w:cs="宋体"/>
          <w:b/>
          <w:bCs/>
          <w:kern w:val="0"/>
          <w:sz w:val="32"/>
          <w:szCs w:val="32"/>
          <w:lang w:val="en-US" w:eastAsia="zh-CN"/>
        </w:rPr>
        <w:t>特克斯县融媒体中心</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项目负责人（签章）：</w:t>
      </w:r>
      <w:r>
        <w:rPr>
          <w:rFonts w:hint="eastAsia" w:ascii="宋体" w:hAnsi="宋体" w:eastAsia="宋体" w:cs="仿宋_GB2312"/>
          <w:b/>
          <w:bCs/>
          <w:color w:val="000000"/>
          <w:kern w:val="0"/>
          <w:sz w:val="32"/>
          <w:szCs w:val="32"/>
          <w:lang w:val="en-US" w:eastAsia="zh-CN"/>
        </w:rPr>
        <w:t>李克俭</w:t>
      </w:r>
      <w:r>
        <w:rPr>
          <w:rFonts w:ascii="宋体" w:hAnsi="宋体" w:eastAsia="宋体" w:cs="宋体"/>
          <w:kern w:val="0"/>
          <w:sz w:val="32"/>
          <w:szCs w:val="32"/>
        </w:rPr>
        <w:t xml:space="preserve"> </w:t>
      </w:r>
    </w:p>
    <w:p>
      <w:pPr>
        <w:spacing w:line="560" w:lineRule="exact"/>
        <w:ind w:firstLine="321" w:firstLineChars="100"/>
        <w:rPr>
          <w:rFonts w:hint="eastAsia" w:ascii="宋体" w:hAnsi="宋体" w:eastAsia="宋体" w:cs="仿宋_GB2312"/>
          <w:b/>
          <w:bCs/>
          <w:color w:val="000000"/>
          <w:kern w:val="0"/>
          <w:sz w:val="32"/>
          <w:szCs w:val="32"/>
        </w:rPr>
      </w:pPr>
      <w:r>
        <w:rPr>
          <w:rFonts w:hint="eastAsia" w:ascii="宋体" w:hAnsi="宋体" w:eastAsia="宋体" w:cs="仿宋_GB2312"/>
          <w:b/>
          <w:bCs/>
          <w:color w:val="000000"/>
          <w:kern w:val="0"/>
          <w:sz w:val="32"/>
          <w:szCs w:val="32"/>
        </w:rPr>
        <w:t>填报时间：202</w:t>
      </w:r>
      <w:r>
        <w:rPr>
          <w:rFonts w:ascii="宋体" w:hAnsi="宋体" w:eastAsia="宋体" w:cs="仿宋_GB2312"/>
          <w:b/>
          <w:bCs/>
          <w:color w:val="000000"/>
          <w:kern w:val="0"/>
          <w:sz w:val="32"/>
          <w:szCs w:val="32"/>
        </w:rPr>
        <w:t>2</w:t>
      </w:r>
      <w:r>
        <w:rPr>
          <w:rFonts w:hint="eastAsia" w:ascii="宋体" w:hAnsi="宋体" w:eastAsia="宋体" w:cs="仿宋_GB2312"/>
          <w:b/>
          <w:bCs/>
          <w:color w:val="000000"/>
          <w:kern w:val="0"/>
          <w:sz w:val="32"/>
          <w:szCs w:val="32"/>
        </w:rPr>
        <w:t>年</w:t>
      </w:r>
      <w:r>
        <w:rPr>
          <w:rFonts w:hint="eastAsia" w:ascii="宋体" w:hAnsi="宋体" w:eastAsia="宋体" w:cs="仿宋_GB2312"/>
          <w:b/>
          <w:bCs/>
          <w:color w:val="000000"/>
          <w:kern w:val="0"/>
          <w:sz w:val="32"/>
          <w:szCs w:val="32"/>
          <w:lang w:val="en-US" w:eastAsia="zh-CN"/>
        </w:rPr>
        <w:t>4</w:t>
      </w:r>
      <w:r>
        <w:rPr>
          <w:rFonts w:hint="eastAsia" w:ascii="宋体" w:hAnsi="宋体" w:eastAsia="宋体" w:cs="仿宋_GB2312"/>
          <w:b/>
          <w:bCs/>
          <w:color w:val="000000"/>
          <w:kern w:val="0"/>
          <w:sz w:val="32"/>
          <w:szCs w:val="32"/>
        </w:rPr>
        <w:t>月</w:t>
      </w:r>
      <w:r>
        <w:rPr>
          <w:rFonts w:hint="eastAsia" w:ascii="宋体" w:hAnsi="宋体" w:eastAsia="宋体" w:cs="仿宋_GB2312"/>
          <w:b/>
          <w:bCs/>
          <w:color w:val="000000"/>
          <w:kern w:val="0"/>
          <w:sz w:val="32"/>
          <w:szCs w:val="32"/>
          <w:lang w:val="en-US" w:eastAsia="zh-CN"/>
        </w:rPr>
        <w:t>13</w:t>
      </w:r>
      <w:r>
        <w:rPr>
          <w:rFonts w:hint="eastAsia" w:ascii="宋体" w:hAnsi="宋体" w:eastAsia="宋体" w:cs="仿宋_GB2312"/>
          <w:b/>
          <w:bCs/>
          <w:color w:val="000000"/>
          <w:kern w:val="0"/>
          <w:sz w:val="32"/>
          <w:szCs w:val="32"/>
        </w:rPr>
        <w:t>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jc w:val="center"/>
        <w:rPr>
          <w:rFonts w:ascii="Arial" w:hAnsi="Arial" w:eastAsia="宋体" w:cs="Arial"/>
          <w:b/>
          <w:bCs/>
          <w:sz w:val="36"/>
          <w:szCs w:val="36"/>
        </w:rPr>
      </w:pPr>
      <w:r>
        <w:rPr>
          <w:rFonts w:hint="eastAsia" w:ascii="宋体" w:hAnsi="宋体" w:eastAsia="宋体" w:cs="Arial"/>
          <w:b/>
          <w:bCs/>
          <w:sz w:val="36"/>
          <w:szCs w:val="36"/>
        </w:rPr>
        <w:t>项目支出</w:t>
      </w:r>
      <w:r>
        <w:rPr>
          <w:rFonts w:ascii="宋体" w:hAnsi="宋体" w:eastAsia="宋体" w:cs="Arial"/>
          <w:b/>
          <w:bCs/>
          <w:sz w:val="36"/>
          <w:szCs w:val="36"/>
        </w:rPr>
        <w:t>绩效</w:t>
      </w:r>
      <w:r>
        <w:rPr>
          <w:rFonts w:hint="eastAsia" w:ascii="宋体" w:hAnsi="宋体" w:eastAsia="宋体" w:cs="Arial"/>
          <w:b/>
          <w:bCs/>
          <w:sz w:val="36"/>
          <w:szCs w:val="36"/>
        </w:rPr>
        <w:t>评价报告</w:t>
      </w:r>
    </w:p>
    <w:p>
      <w:pPr>
        <w:jc w:val="center"/>
        <w:rPr>
          <w:rFonts w:ascii="仿宋_GB2312"/>
          <w:szCs w:val="30"/>
        </w:rPr>
      </w:pPr>
    </w:p>
    <w:p>
      <w:pPr>
        <w:pStyle w:val="2"/>
        <w:numPr>
          <w:ilvl w:val="0"/>
          <w:numId w:val="1"/>
        </w:numPr>
        <w:spacing w:line="360" w:lineRule="auto"/>
        <w:rPr>
          <w:rFonts w:hint="eastAsia" w:ascii="宋体" w:hAnsi="宋体" w:eastAsia="宋体"/>
          <w:sz w:val="32"/>
          <w:szCs w:val="32"/>
        </w:rPr>
      </w:pPr>
      <w:bookmarkStart w:id="0" w:name="_Toc68703827"/>
      <w:r>
        <w:rPr>
          <w:rFonts w:hint="eastAsia" w:ascii="宋体" w:hAnsi="宋体" w:eastAsia="宋体"/>
          <w:sz w:val="32"/>
          <w:szCs w:val="32"/>
        </w:rPr>
        <w:t>基本情况</w:t>
      </w:r>
      <w:bookmarkEnd w:id="0"/>
    </w:p>
    <w:p>
      <w:pPr>
        <w:numPr>
          <w:ilvl w:val="0"/>
          <w:numId w:val="0"/>
        </w:numPr>
        <w:spacing w:line="360" w:lineRule="auto"/>
        <w:ind w:firstLine="600" w:firstLineChars="200"/>
        <w:rPr>
          <w:rFonts w:hint="eastAsia" w:ascii="仿宋_GB2312" w:hAnsi="Times New Roman" w:cs="Times New Roman"/>
          <w:lang w:val="en-US" w:eastAsia="zh-CN"/>
        </w:rPr>
      </w:pPr>
    </w:p>
    <w:p>
      <w:pPr>
        <w:pStyle w:val="3"/>
        <w:numPr>
          <w:ilvl w:val="0"/>
          <w:numId w:val="2"/>
        </w:numPr>
        <w:spacing w:line="360" w:lineRule="auto"/>
        <w:rPr>
          <w:rFonts w:hint="eastAsia" w:ascii="仿宋_GB2312" w:eastAsia="仿宋_GB2312"/>
          <w:b w:val="0"/>
          <w:bCs w:val="0"/>
        </w:rPr>
      </w:pPr>
      <w:bookmarkStart w:id="1" w:name="_Toc68703828"/>
      <w:r>
        <w:rPr>
          <w:rFonts w:hint="eastAsia" w:ascii="仿宋_GB2312" w:eastAsia="仿宋_GB2312"/>
          <w:b w:val="0"/>
          <w:bCs w:val="0"/>
        </w:rPr>
        <w:t>项目概况。</w:t>
      </w:r>
      <w:bookmarkEnd w:id="1"/>
    </w:p>
    <w:p>
      <w:pPr>
        <w:numPr>
          <w:ilvl w:val="0"/>
          <w:numId w:val="0"/>
        </w:numPr>
        <w:spacing w:line="360" w:lineRule="auto"/>
        <w:ind w:firstLine="600" w:firstLineChars="200"/>
        <w:rPr>
          <w:rFonts w:hint="eastAsia" w:ascii="仿宋_GB2312" w:hAnsi="Times New Roman" w:cs="Times New Roman"/>
          <w:lang w:val="en-US" w:eastAsia="zh-CN"/>
        </w:rPr>
      </w:pPr>
      <w:r>
        <w:rPr>
          <w:rFonts w:hint="eastAsia" w:ascii="仿宋_GB2312" w:hAnsi="Times New Roman" w:cs="Times New Roman"/>
          <w:lang w:val="en-US" w:eastAsia="zh-CN"/>
        </w:rPr>
        <w:t>为深入贯彻落实项目支出绩效，按照全方位、全过程、全覆盖预算绩效管理要求，将项目支出预算纳入全过程绩效管理，进一步强化绩效理念，提高财政资金使用效益，我单位高度重视绩效评价工作。</w:t>
      </w:r>
    </w:p>
    <w:p>
      <w:pPr>
        <w:numPr>
          <w:ilvl w:val="0"/>
          <w:numId w:val="3"/>
        </w:numPr>
        <w:spacing w:line="360" w:lineRule="auto"/>
        <w:ind w:firstLine="600" w:firstLineChars="200"/>
        <w:rPr>
          <w:rFonts w:hint="eastAsia" w:ascii="仿宋_GB2312"/>
        </w:rPr>
      </w:pPr>
      <w:r>
        <w:rPr>
          <w:rFonts w:hint="eastAsia" w:ascii="仿宋_GB2312"/>
        </w:rPr>
        <w:t>项目背景</w:t>
      </w:r>
    </w:p>
    <w:p>
      <w:pPr>
        <w:numPr>
          <w:ilvl w:val="0"/>
          <w:numId w:val="0"/>
        </w:numPr>
        <w:spacing w:line="360" w:lineRule="auto"/>
        <w:ind w:firstLine="600" w:firstLineChars="200"/>
        <w:rPr>
          <w:rFonts w:hint="eastAsia" w:ascii="仿宋_GB2312"/>
        </w:rPr>
      </w:pPr>
      <w:r>
        <w:rPr>
          <w:rFonts w:hint="eastAsia" w:ascii="仿宋_GB2312"/>
        </w:rPr>
        <w:t>广播电视是党和政府的喉舌，是人民群众获取信息服务的主要渠道。随着互联网、移动互联网的普及，视听新媒体技术及行业的迅猛发展，传统广电和视听新媒体相互融合，互联网视听节目、移动互联网视听节目</w:t>
      </w:r>
      <w:r>
        <w:rPr>
          <w:rFonts w:hint="eastAsia" w:ascii="仿宋_GB2312"/>
          <w:lang w:eastAsia="zh-CN"/>
        </w:rPr>
        <w:t>、</w:t>
      </w:r>
      <w:r>
        <w:rPr>
          <w:rFonts w:hint="eastAsia" w:ascii="仿宋_GB2312"/>
        </w:rPr>
        <w:t>互联网电视等视听新媒体已经成为新闻舆论的新阵地。为适应新形势，党和国家对广播电视提出了新的更高要求。加快媒体融合发展，推进现代传播体系和监管体系建设，不断提高广播电视安全播出和应急保障能力，切实维护广播电视播出和网络安全。广播电视与视听新媒体监测监管作为推动广播电视与视听新媒体加快发展、确保广播电视与视听新媒体播出安全和内容安全的重要保障。</w:t>
      </w:r>
    </w:p>
    <w:p>
      <w:pPr>
        <w:spacing w:line="360" w:lineRule="auto"/>
        <w:ind w:firstLine="600" w:firstLineChars="200"/>
        <w:rPr>
          <w:rFonts w:ascii="仿宋_GB2312"/>
        </w:rPr>
      </w:pPr>
      <w:r>
        <w:rPr>
          <w:rFonts w:hint="eastAsia" w:ascii="仿宋_GB2312"/>
        </w:rPr>
        <w:t>2、主要内容</w:t>
      </w:r>
      <w:r>
        <w:rPr>
          <w:rFonts w:hint="eastAsia"/>
        </w:rPr>
        <w:t>及</w:t>
      </w:r>
      <w:r>
        <w:rPr>
          <w:rFonts w:hint="eastAsia" w:ascii="仿宋_GB2312"/>
        </w:rPr>
        <w:t>实施情况</w:t>
      </w:r>
    </w:p>
    <w:p>
      <w:pPr>
        <w:spacing w:line="360" w:lineRule="auto"/>
        <w:ind w:firstLine="600" w:firstLineChars="200"/>
        <w:rPr>
          <w:rFonts w:hint="eastAsia" w:ascii="仿宋_GB2312" w:eastAsia="仿宋_GB2312"/>
          <w:lang w:eastAsia="zh-CN"/>
        </w:rPr>
      </w:pPr>
      <w:r>
        <w:rPr>
          <w:rFonts w:hint="eastAsia" w:ascii="仿宋_GB2312"/>
        </w:rPr>
        <w:t>主要内容：保障</w:t>
      </w:r>
      <w:r>
        <w:rPr>
          <w:rFonts w:hint="eastAsia" w:ascii="仿宋_GB2312"/>
          <w:lang w:val="en-US" w:eastAsia="zh-CN"/>
        </w:rPr>
        <w:t>特克斯县</w:t>
      </w:r>
      <w:r>
        <w:rPr>
          <w:rFonts w:hint="eastAsia" w:ascii="仿宋_GB2312"/>
        </w:rPr>
        <w:t>转播中央广播</w:t>
      </w:r>
      <w:r>
        <w:rPr>
          <w:rFonts w:hint="eastAsia" w:ascii="仿宋_GB2312"/>
          <w:lang w:val="en-US" w:eastAsia="zh-CN"/>
        </w:rPr>
        <w:t>电视</w:t>
      </w:r>
      <w:r>
        <w:rPr>
          <w:rFonts w:hint="eastAsia" w:ascii="仿宋_GB2312"/>
        </w:rPr>
        <w:t>节目的调频发射机</w:t>
      </w:r>
      <w:r>
        <w:rPr>
          <w:rFonts w:hint="eastAsia" w:ascii="仿宋_GB2312"/>
          <w:lang w:val="en-US" w:eastAsia="zh-CN"/>
        </w:rPr>
        <w:t>2台</w:t>
      </w:r>
      <w:r>
        <w:rPr>
          <w:rFonts w:hint="eastAsia" w:ascii="仿宋_GB2312"/>
        </w:rPr>
        <w:t>正常运行，确保设备安全播出；保障</w:t>
      </w:r>
      <w:r>
        <w:rPr>
          <w:rFonts w:hint="eastAsia" w:ascii="仿宋_GB2312"/>
          <w:lang w:val="en-US" w:eastAsia="zh-CN"/>
        </w:rPr>
        <w:t>高山发射</w:t>
      </w:r>
      <w:r>
        <w:rPr>
          <w:rFonts w:hint="eastAsia" w:ascii="仿宋_GB2312"/>
        </w:rPr>
        <w:t>台地面数字电视提供不少于</w:t>
      </w:r>
      <w:r>
        <w:rPr>
          <w:rFonts w:hint="eastAsia" w:ascii="仿宋_GB2312"/>
          <w:lang w:val="en-US" w:eastAsia="zh-CN"/>
        </w:rPr>
        <w:t>12</w:t>
      </w:r>
      <w:r>
        <w:rPr>
          <w:rFonts w:hint="eastAsia" w:ascii="仿宋_GB2312"/>
        </w:rPr>
        <w:t>套电视节目，</w:t>
      </w:r>
      <w:r>
        <w:rPr>
          <w:rFonts w:hint="eastAsia" w:ascii="仿宋_GB2312"/>
          <w:lang w:val="en-US" w:eastAsia="zh-CN"/>
        </w:rPr>
        <w:t>调频广播</w:t>
      </w:r>
      <w:r>
        <w:rPr>
          <w:rFonts w:hint="eastAsia" w:ascii="仿宋_GB2312"/>
        </w:rPr>
        <w:t>提供不少于</w:t>
      </w:r>
      <w:r>
        <w:rPr>
          <w:rFonts w:hint="eastAsia" w:ascii="仿宋_GB2312"/>
          <w:lang w:val="en-US" w:eastAsia="zh-CN"/>
        </w:rPr>
        <w:t>3</w:t>
      </w:r>
      <w:r>
        <w:rPr>
          <w:rFonts w:hint="eastAsia" w:ascii="仿宋_GB2312"/>
        </w:rPr>
        <w:t>套广播节目；保障</w:t>
      </w:r>
      <w:r>
        <w:rPr>
          <w:rFonts w:hint="eastAsia" w:ascii="仿宋_GB2312"/>
          <w:lang w:val="en-US" w:eastAsia="zh-CN"/>
        </w:rPr>
        <w:t>高山发射台</w:t>
      </w:r>
      <w:r>
        <w:rPr>
          <w:rFonts w:hint="eastAsia" w:ascii="仿宋_GB2312"/>
        </w:rPr>
        <w:t>的设备正常运行，确保安全播出正常运行</w:t>
      </w:r>
      <w:r>
        <w:rPr>
          <w:rFonts w:hint="eastAsia" w:ascii="仿宋_GB2312"/>
          <w:lang w:eastAsia="zh-CN"/>
        </w:rPr>
        <w:t>。</w:t>
      </w:r>
    </w:p>
    <w:p>
      <w:pPr>
        <w:spacing w:line="360" w:lineRule="auto"/>
        <w:ind w:firstLine="600" w:firstLineChars="200"/>
        <w:rPr>
          <w:rFonts w:ascii="仿宋_GB2312"/>
          <w:color w:val="FF0000"/>
        </w:rPr>
      </w:pPr>
      <w:r>
        <w:rPr>
          <w:rFonts w:hint="eastAsia" w:ascii="仿宋_GB2312"/>
        </w:rPr>
        <w:t>实施情况：</w:t>
      </w:r>
      <w:r>
        <w:rPr>
          <w:rFonts w:hint="eastAsia" w:ascii="仿宋_GB2312" w:hAnsi="Times New Roman" w:cs="Times New Roman"/>
          <w:lang w:val="en-US" w:eastAsia="zh-CN"/>
        </w:rPr>
        <w:t>2021年特克斯县融媒体中心广播电视综合频率共开办2档自办节目、12档转播节目，全天播音18个小时。分别采用调频中心发射和电视发射，信号覆盖17万人，有效覆盖率达98%。通过调频广播及电视运行维护，确保我县高山发射台运行稳定，保证特克斯县广播电视台在全县范围的无线覆盖，覆盖范围不断扩大，技术指标达到要求，收听效果良好，及时将县委政府的声音传递到千家万户，满足广大人民群众收听广播的需要。</w:t>
      </w:r>
    </w:p>
    <w:p>
      <w:pPr>
        <w:spacing w:line="360" w:lineRule="auto"/>
        <w:ind w:firstLine="600" w:firstLineChars="200"/>
        <w:rPr>
          <w:rFonts w:ascii="仿宋_GB2312"/>
        </w:rPr>
      </w:pPr>
      <w:r>
        <w:rPr>
          <w:rFonts w:ascii="仿宋_GB2312"/>
        </w:rPr>
        <w:t>3</w:t>
      </w:r>
      <w:r>
        <w:rPr>
          <w:rFonts w:hint="eastAsia" w:ascii="仿宋_GB2312"/>
        </w:rPr>
        <w:t>、资金投入和使用情况</w:t>
      </w:r>
    </w:p>
    <w:p>
      <w:pPr>
        <w:spacing w:line="360" w:lineRule="auto"/>
        <w:ind w:firstLine="600" w:firstLineChars="200"/>
        <w:rPr>
          <w:color w:val="auto"/>
        </w:rPr>
      </w:pPr>
      <w:r>
        <w:rPr>
          <w:rFonts w:hint="eastAsia"/>
        </w:rPr>
        <w:t>资金投入情况：</w:t>
      </w:r>
      <w:r>
        <w:rPr>
          <w:rFonts w:hint="eastAsia"/>
          <w:color w:val="auto"/>
        </w:rPr>
        <w:t>该项目年初预算数</w:t>
      </w:r>
      <w:r>
        <w:rPr>
          <w:rFonts w:hint="eastAsia"/>
          <w:color w:val="auto"/>
          <w:lang w:val="en-US" w:eastAsia="zh-CN"/>
        </w:rPr>
        <w:t>36</w:t>
      </w:r>
      <w:r>
        <w:rPr>
          <w:rFonts w:hint="eastAsia"/>
          <w:color w:val="auto"/>
        </w:rPr>
        <w:t>万元，全年预算数</w:t>
      </w:r>
      <w:r>
        <w:rPr>
          <w:rFonts w:hint="eastAsia"/>
          <w:color w:val="auto"/>
          <w:lang w:val="en-US" w:eastAsia="zh-CN"/>
        </w:rPr>
        <w:t>36</w:t>
      </w:r>
      <w:r>
        <w:rPr>
          <w:rFonts w:hint="eastAsia"/>
          <w:color w:val="auto"/>
        </w:rPr>
        <w:t>万元，实际总投入</w:t>
      </w:r>
      <w:r>
        <w:rPr>
          <w:rFonts w:hint="eastAsia"/>
          <w:color w:val="auto"/>
          <w:lang w:val="en-US" w:eastAsia="zh-CN"/>
        </w:rPr>
        <w:t>36</w:t>
      </w:r>
      <w:r>
        <w:rPr>
          <w:rFonts w:hint="eastAsia"/>
          <w:color w:val="auto"/>
        </w:rPr>
        <w:t>万元，该项目资金已全部落实到位</w:t>
      </w:r>
      <w:r>
        <w:rPr>
          <w:rFonts w:hint="eastAsia"/>
          <w:color w:val="auto"/>
          <w:lang w:val="en-US" w:eastAsia="zh-CN"/>
        </w:rPr>
        <w:t>36</w:t>
      </w:r>
      <w:r>
        <w:rPr>
          <w:rFonts w:hint="eastAsia"/>
          <w:color w:val="auto"/>
        </w:rPr>
        <w:t>万元，资金来源为</w:t>
      </w:r>
      <w:r>
        <w:rPr>
          <w:rFonts w:hint="eastAsia"/>
          <w:color w:val="auto"/>
          <w:lang w:val="en-US" w:eastAsia="zh-CN"/>
        </w:rPr>
        <w:t>上级专项资金</w:t>
      </w:r>
      <w:r>
        <w:rPr>
          <w:rFonts w:hint="eastAsia"/>
          <w:color w:val="auto"/>
        </w:rPr>
        <w:t>。</w:t>
      </w:r>
    </w:p>
    <w:p>
      <w:pPr>
        <w:spacing w:line="360" w:lineRule="auto"/>
        <w:ind w:firstLine="600" w:firstLineChars="200"/>
        <w:rPr>
          <w:color w:val="auto"/>
        </w:rPr>
      </w:pPr>
      <w:r>
        <w:rPr>
          <w:rFonts w:hint="eastAsia"/>
          <w:color w:val="auto"/>
        </w:rPr>
        <w:t>资金使用情况：该项目年初预算数</w:t>
      </w:r>
      <w:r>
        <w:rPr>
          <w:rFonts w:hint="eastAsia"/>
          <w:color w:val="auto"/>
          <w:lang w:val="en-US" w:eastAsia="zh-CN"/>
        </w:rPr>
        <w:t>36</w:t>
      </w:r>
      <w:r>
        <w:rPr>
          <w:rFonts w:hint="eastAsia"/>
          <w:color w:val="auto"/>
        </w:rPr>
        <w:t>万元，全年预算数</w:t>
      </w:r>
      <w:r>
        <w:rPr>
          <w:rFonts w:hint="eastAsia"/>
          <w:color w:val="auto"/>
          <w:lang w:val="en-US" w:eastAsia="zh-CN"/>
        </w:rPr>
        <w:t>36</w:t>
      </w:r>
      <w:r>
        <w:rPr>
          <w:rFonts w:hint="eastAsia"/>
          <w:color w:val="auto"/>
        </w:rPr>
        <w:t>万元，全年执行数</w:t>
      </w:r>
      <w:r>
        <w:rPr>
          <w:rFonts w:hint="eastAsia"/>
          <w:color w:val="auto"/>
          <w:lang w:val="en-US" w:eastAsia="zh-CN"/>
        </w:rPr>
        <w:t>36</w:t>
      </w:r>
      <w:r>
        <w:rPr>
          <w:rFonts w:hint="eastAsia"/>
          <w:color w:val="auto"/>
        </w:rPr>
        <w:t>万元，预算执行率为</w:t>
      </w:r>
      <w:r>
        <w:rPr>
          <w:rFonts w:hint="eastAsia"/>
          <w:color w:val="auto"/>
          <w:lang w:val="en-US" w:eastAsia="zh-CN"/>
        </w:rPr>
        <w:t>100</w:t>
      </w:r>
      <w:r>
        <w:rPr>
          <w:rFonts w:hint="eastAsia"/>
          <w:color w:val="auto"/>
        </w:rPr>
        <w:t>%，用于：</w:t>
      </w:r>
      <w:r>
        <w:rPr>
          <w:rFonts w:hint="eastAsia"/>
          <w:color w:val="auto"/>
          <w:lang w:val="en-US" w:eastAsia="zh-CN"/>
        </w:rPr>
        <w:t>电费10</w:t>
      </w:r>
      <w:r>
        <w:rPr>
          <w:rFonts w:hint="eastAsia"/>
          <w:color w:val="auto"/>
        </w:rPr>
        <w:t>万元</w:t>
      </w:r>
      <w:r>
        <w:rPr>
          <w:rFonts w:hint="eastAsia"/>
          <w:color w:val="auto"/>
          <w:lang w:eastAsia="zh-CN"/>
        </w:rPr>
        <w:t>，</w:t>
      </w:r>
      <w:r>
        <w:rPr>
          <w:rFonts w:hint="eastAsia"/>
          <w:color w:val="auto"/>
          <w:lang w:val="en-US" w:eastAsia="zh-CN"/>
        </w:rPr>
        <w:t>维修维护费26万元</w:t>
      </w:r>
      <w:r>
        <w:rPr>
          <w:rFonts w:hint="eastAsia"/>
          <w:color w:val="auto"/>
        </w:rPr>
        <w:t>。</w:t>
      </w:r>
    </w:p>
    <w:p>
      <w:pPr>
        <w:pStyle w:val="3"/>
        <w:spacing w:line="360" w:lineRule="auto"/>
        <w:ind w:firstLine="640" w:firstLineChars="200"/>
        <w:rPr>
          <w:rFonts w:ascii="仿宋_GB2312" w:eastAsia="仿宋_GB2312"/>
          <w:b w:val="0"/>
          <w:bCs w:val="0"/>
        </w:rPr>
      </w:pPr>
      <w:bookmarkStart w:id="2" w:name="_Toc68703829"/>
      <w:r>
        <w:rPr>
          <w:rFonts w:hint="eastAsia" w:ascii="仿宋_GB2312" w:eastAsia="仿宋_GB2312"/>
          <w:b w:val="0"/>
          <w:bCs w:val="0"/>
        </w:rPr>
        <w:t>（二）项目绩效目标。</w:t>
      </w:r>
      <w:bookmarkEnd w:id="2"/>
    </w:p>
    <w:p>
      <w:pPr>
        <w:spacing w:line="360" w:lineRule="auto"/>
        <w:ind w:firstLine="600" w:firstLineChars="200"/>
        <w:rPr>
          <w:rFonts w:hint="eastAsia"/>
        </w:rPr>
      </w:pPr>
      <w:r>
        <w:rPr>
          <w:rFonts w:hint="eastAsia"/>
        </w:rPr>
        <w:t>1、总体目标：自治区广播电视无线覆盖工程的实施，实现我区现有20户以上自然村广播电视盲点农牧民群众，能够及时收听看到中央和自治区的广播电视节目需求。通过安排维护经费，确保自治区无线覆盖工程配备的转播自治区节目的电视发射机和调频发射机正常运转，从而巩固自治区广播电视无线覆盖工程实施效果,实现各发射台站按规定完整转播好自治区广播电视节目，做到“满功率、满调幅度、满时间”安全播出。</w:t>
      </w:r>
    </w:p>
    <w:p>
      <w:pPr>
        <w:spacing w:line="360" w:lineRule="auto"/>
        <w:ind w:firstLine="600" w:firstLineChars="200"/>
        <w:rPr>
          <w:rFonts w:hint="eastAsia"/>
        </w:rPr>
      </w:pPr>
      <w:r>
        <w:t>2</w:t>
      </w:r>
      <w:r>
        <w:rPr>
          <w:rFonts w:hint="eastAsia"/>
        </w:rPr>
        <w:t>、阶段性目标：（1）保障</w:t>
      </w:r>
      <w:r>
        <w:rPr>
          <w:rFonts w:hint="eastAsia"/>
          <w:lang w:val="en-US" w:eastAsia="zh-CN"/>
        </w:rPr>
        <w:t>特克斯县</w:t>
      </w:r>
      <w:r>
        <w:rPr>
          <w:rFonts w:hint="eastAsia"/>
        </w:rPr>
        <w:t>转播中央广播</w:t>
      </w:r>
      <w:r>
        <w:rPr>
          <w:rFonts w:hint="eastAsia"/>
          <w:lang w:val="en-US" w:eastAsia="zh-CN"/>
        </w:rPr>
        <w:t>及电视</w:t>
      </w:r>
      <w:r>
        <w:rPr>
          <w:rFonts w:hint="eastAsia"/>
        </w:rPr>
        <w:t>节目的</w:t>
      </w:r>
      <w:r>
        <w:rPr>
          <w:rFonts w:hint="eastAsia"/>
          <w:lang w:val="en-US" w:eastAsia="zh-CN"/>
        </w:rPr>
        <w:t>2套</w:t>
      </w:r>
      <w:r>
        <w:rPr>
          <w:rFonts w:hint="eastAsia"/>
        </w:rPr>
        <w:t>发射机正常运行，确保设备安全播出。保障广播电视公共服务体系长期、优质服务于广大群众。</w:t>
      </w:r>
    </w:p>
    <w:p>
      <w:pPr>
        <w:spacing w:line="360" w:lineRule="auto"/>
        <w:ind w:firstLine="600" w:firstLineChars="200"/>
        <w:rPr>
          <w:rFonts w:hint="eastAsia"/>
        </w:rPr>
      </w:pPr>
      <w:r>
        <w:rPr>
          <w:rFonts w:hint="eastAsia"/>
        </w:rPr>
        <w:t>（2）保障</w:t>
      </w:r>
      <w:r>
        <w:rPr>
          <w:rFonts w:hint="eastAsia"/>
          <w:lang w:val="en-US" w:eastAsia="zh-CN"/>
        </w:rPr>
        <w:t>高山发射台</w:t>
      </w:r>
      <w:r>
        <w:rPr>
          <w:rFonts w:hint="eastAsia"/>
        </w:rPr>
        <w:t>地面数字电视提供不少于</w:t>
      </w:r>
      <w:r>
        <w:rPr>
          <w:rFonts w:hint="eastAsia"/>
          <w:lang w:val="en-US" w:eastAsia="zh-CN"/>
        </w:rPr>
        <w:t>12</w:t>
      </w:r>
      <w:r>
        <w:rPr>
          <w:rFonts w:hint="eastAsia"/>
        </w:rPr>
        <w:t>套电视节目。让</w:t>
      </w:r>
      <w:r>
        <w:rPr>
          <w:rFonts w:hint="eastAsia"/>
          <w:lang w:val="en-US" w:eastAsia="zh-CN"/>
        </w:rPr>
        <w:t>我县</w:t>
      </w:r>
      <w:r>
        <w:rPr>
          <w:rFonts w:hint="eastAsia"/>
        </w:rPr>
        <w:t>群众收听收看好广播电视节目，保障广播电视公共服务体系长期、优质服务于广大群众。</w:t>
      </w:r>
    </w:p>
    <w:p>
      <w:pPr>
        <w:spacing w:line="360" w:lineRule="auto"/>
        <w:ind w:firstLine="600" w:firstLineChars="200"/>
      </w:pPr>
      <w:r>
        <w:rPr>
          <w:rFonts w:hint="eastAsia"/>
        </w:rPr>
        <w:t>（</w:t>
      </w:r>
      <w:r>
        <w:rPr>
          <w:rFonts w:hint="eastAsia"/>
          <w:lang w:val="en-US" w:eastAsia="zh-CN"/>
        </w:rPr>
        <w:t>3</w:t>
      </w:r>
      <w:r>
        <w:rPr>
          <w:rFonts w:hint="eastAsia"/>
        </w:rPr>
        <w:t>）保障广播电视设备正常运行，长期满足</w:t>
      </w:r>
      <w:r>
        <w:rPr>
          <w:rFonts w:hint="eastAsia"/>
          <w:lang w:val="en-US" w:eastAsia="zh-CN"/>
        </w:rPr>
        <w:t>我县</w:t>
      </w:r>
      <w:r>
        <w:rPr>
          <w:rFonts w:hint="eastAsia"/>
        </w:rPr>
        <w:t>广大人民群众收听收看</w:t>
      </w:r>
      <w:r>
        <w:rPr>
          <w:rFonts w:hint="eastAsia"/>
          <w:lang w:val="en-US" w:eastAsia="zh-CN"/>
        </w:rPr>
        <w:t>自治区</w:t>
      </w:r>
      <w:r>
        <w:rPr>
          <w:rFonts w:hint="eastAsia"/>
        </w:rPr>
        <w:t>广播电视节目的需求，确保广播电视公共服务体系优质通、长期通，长期为广大农村群众提供时事新闻、惠农政策、气象预警、农业科技等信息服务，在农村基层宣传阵地中发挥重要作用。</w:t>
      </w:r>
    </w:p>
    <w:p>
      <w:pPr>
        <w:pStyle w:val="2"/>
        <w:spacing w:line="360" w:lineRule="auto"/>
        <w:rPr>
          <w:rFonts w:ascii="宋体" w:hAnsi="宋体" w:eastAsia="宋体"/>
          <w:sz w:val="32"/>
          <w:szCs w:val="32"/>
        </w:rPr>
      </w:pPr>
      <w:bookmarkStart w:id="3" w:name="_Toc68703830"/>
      <w:r>
        <w:rPr>
          <w:rFonts w:hint="eastAsia" w:ascii="宋体" w:hAnsi="宋体" w:eastAsia="宋体"/>
          <w:sz w:val="32"/>
          <w:szCs w:val="32"/>
        </w:rPr>
        <w:t>二、绩效评价工作开展情况</w:t>
      </w:r>
      <w:bookmarkEnd w:id="3"/>
    </w:p>
    <w:p>
      <w:pPr>
        <w:pStyle w:val="3"/>
        <w:spacing w:line="360" w:lineRule="auto"/>
        <w:rPr>
          <w:rFonts w:ascii="仿宋_GB2312" w:eastAsia="仿宋_GB2312"/>
          <w:b w:val="0"/>
          <w:bCs w:val="0"/>
        </w:rPr>
      </w:pPr>
      <w:bookmarkStart w:id="4" w:name="_Toc68703831"/>
      <w:r>
        <w:rPr>
          <w:rFonts w:hint="eastAsia" w:ascii="仿宋_GB2312" w:eastAsia="仿宋_GB2312"/>
          <w:b w:val="0"/>
          <w:bCs w:val="0"/>
        </w:rPr>
        <w:t>（一）绩效评价目的、对象和范围。</w:t>
      </w:r>
      <w:bookmarkEnd w:id="4"/>
    </w:p>
    <w:p>
      <w:pPr>
        <w:spacing w:line="360" w:lineRule="auto"/>
      </w:pPr>
      <w:r>
        <w:rPr>
          <w:rFonts w:hint="eastAsia"/>
        </w:rPr>
        <w:t>1、绩效评价目的：</w:t>
      </w:r>
    </w:p>
    <w:p>
      <w:pPr>
        <w:spacing w:line="360" w:lineRule="auto"/>
        <w:ind w:firstLine="640" w:firstLineChars="200"/>
        <w:jc w:val="left"/>
        <w:rPr>
          <w:rFonts w:ascii="仿宋_GB2312"/>
          <w:bCs/>
          <w:color w:val="auto"/>
          <w:sz w:val="32"/>
          <w:szCs w:val="32"/>
        </w:rPr>
      </w:pPr>
      <w:r>
        <w:rPr>
          <w:rFonts w:hint="eastAsia" w:ascii="仿宋_GB2312"/>
          <w:bCs/>
          <w:color w:val="auto"/>
          <w:sz w:val="32"/>
          <w:szCs w:val="32"/>
        </w:rPr>
        <w:t>通过绩效评价，客观地评判项目的管理绩效，了解和掌握2021年自治区广播电视节目无线覆盖运行维护经费的具体情况，评价该项目资金安排的科学性、合理性、规范性和资金的使用成效，及时总结项目管理经验，完善项目管理办法，提高项目管理水平和资金使用效益。促使我</w:t>
      </w:r>
      <w:r>
        <w:rPr>
          <w:rFonts w:hint="eastAsia" w:ascii="仿宋_GB2312"/>
          <w:bCs/>
          <w:color w:val="auto"/>
          <w:sz w:val="32"/>
          <w:szCs w:val="32"/>
          <w:lang w:val="en-US" w:eastAsia="zh-CN"/>
        </w:rPr>
        <w:t>单位</w:t>
      </w:r>
      <w:r>
        <w:rPr>
          <w:rFonts w:hint="eastAsia" w:ascii="仿宋_GB2312"/>
          <w:bCs/>
          <w:color w:val="auto"/>
          <w:sz w:val="32"/>
          <w:szCs w:val="32"/>
        </w:rPr>
        <w:t>根据绩效评价中发现的问题，认真加以整改，及时调整和完善单位的工作计划和绩效目标并加强项目管理，提高管理水平，同时为项目后续资金投入、分配和管理提供决策依据。</w:t>
      </w:r>
    </w:p>
    <w:p>
      <w:pPr>
        <w:spacing w:line="360" w:lineRule="auto"/>
        <w:ind w:firstLine="600" w:firstLineChars="200"/>
        <w:jc w:val="left"/>
      </w:pPr>
      <w:r>
        <w:rPr>
          <w:rFonts w:hint="eastAsia"/>
        </w:rPr>
        <w:t>2、绩效评价对象：</w:t>
      </w:r>
    </w:p>
    <w:p>
      <w:pPr>
        <w:spacing w:line="360" w:lineRule="auto"/>
        <w:ind w:firstLine="640" w:firstLineChars="200"/>
        <w:rPr>
          <w:rFonts w:hint="eastAsia" w:ascii="仿宋_GB2312"/>
          <w:bCs/>
          <w:color w:val="auto"/>
          <w:sz w:val="32"/>
          <w:szCs w:val="32"/>
        </w:rPr>
      </w:pPr>
      <w:r>
        <w:rPr>
          <w:rFonts w:hint="eastAsia" w:ascii="仿宋_GB2312"/>
          <w:bCs/>
          <w:color w:val="auto"/>
          <w:sz w:val="32"/>
          <w:szCs w:val="32"/>
        </w:rPr>
        <w:t>2021年自治区广播电视节目无线覆盖运行维护经费</w:t>
      </w:r>
    </w:p>
    <w:p>
      <w:pPr>
        <w:spacing w:line="360" w:lineRule="auto"/>
        <w:ind w:firstLine="600" w:firstLineChars="200"/>
      </w:pPr>
      <w:r>
        <w:rPr>
          <w:rFonts w:hint="eastAsia"/>
        </w:rPr>
        <w:t>3、绩效评价范围：</w:t>
      </w:r>
    </w:p>
    <w:p>
      <w:pPr>
        <w:spacing w:line="360" w:lineRule="auto"/>
        <w:ind w:firstLine="600" w:firstLineChars="200"/>
        <w:rPr>
          <w:b w:val="0"/>
          <w:bCs w:val="0"/>
          <w:color w:val="auto"/>
        </w:rPr>
      </w:pPr>
      <w:r>
        <w:rPr>
          <w:rFonts w:hint="eastAsia"/>
          <w:b w:val="0"/>
          <w:bCs w:val="0"/>
          <w:color w:val="auto"/>
        </w:rPr>
        <w:t>本次评价从项目决策（包括绩效目标、决策过程）、项目管理（包括项目资金、项目实施）、项目产出（包括项目产出数量、产出质量、产出时效和产出成本）项目效益四个维度进行</w:t>
      </w:r>
      <w:r>
        <w:rPr>
          <w:rFonts w:hint="eastAsia" w:ascii="仿宋_GB2312"/>
          <w:b w:val="0"/>
          <w:bCs w:val="0"/>
          <w:color w:val="auto"/>
          <w:sz w:val="32"/>
          <w:szCs w:val="32"/>
        </w:rPr>
        <w:t>2021年自治区广播电视节目无线覆盖运行维护经费</w:t>
      </w:r>
      <w:r>
        <w:rPr>
          <w:rFonts w:hint="eastAsia"/>
          <w:b w:val="0"/>
          <w:bCs w:val="0"/>
          <w:color w:val="auto"/>
        </w:rPr>
        <w:t>评价，评价核心为专项资金的支出完成情况和效果。</w:t>
      </w:r>
    </w:p>
    <w:p>
      <w:pPr>
        <w:pStyle w:val="3"/>
        <w:spacing w:line="360" w:lineRule="auto"/>
        <w:rPr>
          <w:rFonts w:ascii="仿宋_GB2312" w:eastAsia="仿宋_GB2312"/>
          <w:b w:val="0"/>
          <w:bCs w:val="0"/>
        </w:rPr>
      </w:pPr>
      <w:bookmarkStart w:id="5" w:name="_Toc68703832"/>
      <w:r>
        <w:rPr>
          <w:rFonts w:hint="eastAsia" w:ascii="仿宋_GB2312" w:eastAsia="仿宋_GB2312"/>
          <w:b w:val="0"/>
          <w:bCs w:val="0"/>
        </w:rPr>
        <w:t>（二）绩效评价原则、评价指标体系、评价方法、评价标准等。</w:t>
      </w:r>
      <w:bookmarkEnd w:id="5"/>
    </w:p>
    <w:p>
      <w:pPr>
        <w:spacing w:line="360" w:lineRule="auto"/>
      </w:pPr>
      <w:r>
        <w:rPr>
          <w:rFonts w:hint="eastAsia"/>
        </w:rPr>
        <w:t>1、绩效评价原则</w:t>
      </w:r>
    </w:p>
    <w:p>
      <w:pPr>
        <w:spacing w:line="600" w:lineRule="exact"/>
        <w:ind w:firstLine="640"/>
        <w:rPr>
          <w:rFonts w:ascii="仿宋_GB2312"/>
          <w:bCs/>
          <w:color w:val="auto"/>
          <w:sz w:val="32"/>
          <w:szCs w:val="32"/>
        </w:rPr>
      </w:pPr>
      <w:r>
        <w:rPr>
          <w:rFonts w:hint="eastAsia" w:ascii="仿宋_GB2312"/>
          <w:bCs/>
          <w:color w:val="auto"/>
          <w:sz w:val="32"/>
          <w:szCs w:val="32"/>
        </w:rPr>
        <w:t>（一）科学公正。本次项目支出绩效评价运用科学合理的方法，按照规范的程序，对项目绩效进行客观、公正的反映。</w:t>
      </w:r>
    </w:p>
    <w:p>
      <w:pPr>
        <w:spacing w:line="600" w:lineRule="exact"/>
        <w:ind w:firstLine="640"/>
        <w:rPr>
          <w:rFonts w:ascii="仿宋_GB2312"/>
          <w:bCs/>
          <w:color w:val="auto"/>
          <w:sz w:val="32"/>
          <w:szCs w:val="32"/>
        </w:rPr>
      </w:pPr>
      <w:r>
        <w:rPr>
          <w:rFonts w:hint="eastAsia" w:ascii="仿宋_GB2312"/>
          <w:bCs/>
          <w:color w:val="auto"/>
          <w:sz w:val="32"/>
          <w:szCs w:val="32"/>
        </w:rPr>
        <w:t>（二）统筹兼顾。本次项目支出绩效评价由本单位自主实施，即“谁支出、谁自评”。</w:t>
      </w:r>
    </w:p>
    <w:p>
      <w:pPr>
        <w:spacing w:line="600" w:lineRule="exact"/>
        <w:ind w:firstLine="640"/>
        <w:rPr>
          <w:rFonts w:ascii="仿宋_GB2312"/>
          <w:bCs/>
          <w:color w:val="auto"/>
          <w:sz w:val="32"/>
          <w:szCs w:val="32"/>
        </w:rPr>
      </w:pPr>
      <w:r>
        <w:rPr>
          <w:rFonts w:hint="eastAsia" w:ascii="仿宋_GB2312"/>
          <w:bCs/>
          <w:color w:val="auto"/>
          <w:sz w:val="32"/>
          <w:szCs w:val="32"/>
        </w:rPr>
        <w:t>（三）激励约束。本次项目支出绩效评价结果与预算安排、政策调整、改进管理实质性挂钩，体现奖优罚劣和激励相容导向，有效要安排、低效要压减、无效要问责。</w:t>
      </w:r>
    </w:p>
    <w:p>
      <w:pPr>
        <w:spacing w:line="600" w:lineRule="exact"/>
        <w:ind w:firstLine="640"/>
        <w:rPr>
          <w:rFonts w:ascii="仿宋_GB2312"/>
          <w:bCs/>
          <w:color w:val="auto"/>
          <w:sz w:val="32"/>
          <w:szCs w:val="32"/>
        </w:rPr>
      </w:pPr>
      <w:r>
        <w:rPr>
          <w:rFonts w:hint="eastAsia" w:ascii="仿宋_GB2312"/>
          <w:bCs/>
          <w:color w:val="auto"/>
          <w:sz w:val="32"/>
          <w:szCs w:val="32"/>
        </w:rPr>
        <w:t>（四）公开透明。本次项目支出绩效评价结果已依法依规公开在</w:t>
      </w:r>
      <w:r>
        <w:rPr>
          <w:rFonts w:hint="eastAsia" w:ascii="仿宋_GB2312"/>
          <w:bCs/>
          <w:color w:val="auto"/>
          <w:sz w:val="32"/>
          <w:szCs w:val="32"/>
          <w:lang w:val="en-US" w:eastAsia="zh-CN"/>
        </w:rPr>
        <w:t>政府网站上</w:t>
      </w:r>
      <w:r>
        <w:rPr>
          <w:rFonts w:hint="eastAsia" w:ascii="仿宋_GB2312"/>
          <w:bCs/>
          <w:color w:val="auto"/>
          <w:sz w:val="32"/>
          <w:szCs w:val="32"/>
        </w:rPr>
        <w:t>，并自觉接受社会监督。</w:t>
      </w:r>
    </w:p>
    <w:p>
      <w:pPr>
        <w:spacing w:line="360" w:lineRule="auto"/>
      </w:pPr>
    </w:p>
    <w:p>
      <w:pPr>
        <w:spacing w:line="360" w:lineRule="auto"/>
        <w:rPr>
          <w:rFonts w:hint="eastAsia" w:ascii="Times New Roman" w:hAnsi="Times New Roman" w:eastAsia="仿宋_GB2312" w:cs="Times New Roman"/>
          <w:b w:val="0"/>
          <w:bCs w:val="0"/>
          <w:sz w:val="30"/>
          <w:szCs w:val="24"/>
        </w:rPr>
      </w:pPr>
      <w:r>
        <w:rPr>
          <w:rFonts w:hint="eastAsia"/>
        </w:rPr>
        <w:t>2、评价指标体系（附表说明）</w:t>
      </w:r>
    </w:p>
    <w:p>
      <w:pPr>
        <w:pStyle w:val="3"/>
        <w:spacing w:before="0" w:after="0" w:line="240" w:lineRule="auto"/>
        <w:jc w:val="center"/>
        <w:rPr>
          <w:rFonts w:ascii="Times New Roman" w:hAnsi="Times New Roman" w:eastAsia="仿宋_GB2312" w:cs="Times New Roman"/>
          <w:b w:val="0"/>
          <w:bCs w:val="0"/>
          <w:sz w:val="30"/>
          <w:szCs w:val="24"/>
        </w:rPr>
      </w:pPr>
      <w:r>
        <w:rPr>
          <w:rFonts w:hint="eastAsia" w:ascii="Times New Roman" w:hAnsi="Times New Roman" w:eastAsia="仿宋_GB2312" w:cs="Times New Roman"/>
          <w:b w:val="0"/>
          <w:bCs w:val="0"/>
          <w:sz w:val="30"/>
          <w:szCs w:val="24"/>
        </w:rPr>
        <w:t>2021年自治区广播电视节目无线覆盖运行维护项目支出绩效评价指标体系</w:t>
      </w:r>
    </w:p>
    <w:tbl>
      <w:tblPr>
        <w:tblStyle w:val="7"/>
        <w:tblW w:w="985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一级指标</w:t>
            </w:r>
          </w:p>
        </w:tc>
        <w:tc>
          <w:tcPr>
            <w:tcW w:w="1478" w:type="dxa"/>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二级指标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eastAsia="宋体" w:cs="宋体"/>
                <w:b/>
                <w:bCs/>
                <w:color w:val="000000"/>
                <w:kern w:val="0"/>
                <w:sz w:val="22"/>
              </w:rPr>
            </w:pPr>
            <w:r>
              <w:rPr>
                <w:rFonts w:hint="eastAsia" w:ascii="宋体" w:hAnsi="宋体" w:eastAsia="宋体" w:cs="宋体"/>
                <w:b/>
                <w:bCs/>
                <w:color w:val="000000"/>
                <w:kern w:val="0"/>
                <w:sz w:val="22"/>
              </w:rPr>
              <w:t>三级指标</w:t>
            </w:r>
          </w:p>
        </w:tc>
        <w:tc>
          <w:tcPr>
            <w:tcW w:w="3885" w:type="dxa"/>
            <w:tcBorders>
              <w:righ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指标解释</w:t>
            </w:r>
          </w:p>
        </w:tc>
        <w:tc>
          <w:tcPr>
            <w:tcW w:w="990" w:type="dxa"/>
            <w:tcBorders>
              <w:left w:val="single" w:color="auto" w:sz="4" w:space="0"/>
            </w:tcBorders>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分值</w:t>
            </w:r>
          </w:p>
        </w:tc>
        <w:tc>
          <w:tcPr>
            <w:tcW w:w="874" w:type="dxa"/>
            <w:shd w:val="clear" w:color="auto" w:fill="FFFFFF"/>
          </w:tcPr>
          <w:p>
            <w:pPr>
              <w:widowControl/>
              <w:spacing w:line="600" w:lineRule="auto"/>
              <w:jc w:val="center"/>
              <w:rPr>
                <w:rFonts w:ascii="宋体" w:hAnsi="宋体" w:eastAsia="宋体" w:cs="宋体"/>
                <w:b/>
                <w:bCs/>
                <w:color w:val="000000"/>
                <w:kern w:val="0"/>
                <w:sz w:val="22"/>
              </w:rPr>
            </w:pPr>
            <w:r>
              <w:rPr>
                <w:rFonts w:hint="eastAsia" w:ascii="宋体" w:hAnsi="宋体" w:eastAsia="宋体" w:cs="宋体"/>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决策</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立项依据</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充分性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项目立项是否符合法律法规、相关政策、发展规划以及部门职责，用以反映和考核项目立项依据情况。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立项程序</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规范性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项目申请、设立过程是否符合相关要求，用以反映和考核项目立项的规范情况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绩效目标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4</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绩效指标</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明确性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4</w:t>
            </w:r>
          </w:p>
        </w:tc>
        <w:tc>
          <w:tcPr>
            <w:tcW w:w="874" w:type="dxa"/>
            <w:tcBorders>
              <w:bottom w:val="single" w:color="auto" w:sz="4" w:space="0"/>
            </w:tcBorders>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资金投入</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预算编制</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科学性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4</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cs="Times New Roman"/>
                <w:kern w:val="2"/>
                <w:sz w:val="30"/>
                <w:szCs w:val="24"/>
                <w:lang w:val="en-US" w:eastAsia="zh-CN" w:bidi="ar-SA"/>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资金分配</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合理性</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5</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过程</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资金到位率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实际到位资金与预算资金的比率，用以反映和考核资金落实情况对项目实施的总体保障程度。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预算执行率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项目预算资金是否按照计划执行，用以反映或考核项目预算执行情况</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5</w:t>
            </w:r>
          </w:p>
        </w:tc>
        <w:tc>
          <w:tcPr>
            <w:tcW w:w="874" w:type="dxa"/>
            <w:tcBorders>
              <w:bottom w:val="single" w:color="auto" w:sz="4" w:space="0"/>
            </w:tcBorders>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资金管理</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资金使用</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合规性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项目资金使用是否符合相关的财务管理制度规定，用以反映和考核项目资金的规范运行情况。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组织实施</w:t>
            </w:r>
          </w:p>
          <w:p>
            <w:pPr>
              <w:spacing w:line="0" w:lineRule="atLeast"/>
              <w:jc w:val="center"/>
              <w:rPr>
                <w:rFonts w:ascii="宋体" w:hAnsi="宋体" w:cs="宋体"/>
                <w:color w:val="000000"/>
                <w:kern w:val="0"/>
                <w:sz w:val="22"/>
              </w:rPr>
            </w:pPr>
            <w:r>
              <w:rPr>
                <w:rFonts w:hint="eastAsia" w:ascii="宋体" w:hAnsi="宋体" w:cs="宋体"/>
                <w:color w:val="000000"/>
                <w:kern w:val="0"/>
                <w:sz w:val="22"/>
              </w:rPr>
              <w:t>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管理制度</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健全性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制度执行</w:t>
            </w:r>
          </w:p>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有效性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项目实施是否符合相关管理规定，用以反映和考核相关管理制度的有效执行情况。</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5</w:t>
            </w:r>
          </w:p>
        </w:tc>
        <w:tc>
          <w:tcPr>
            <w:tcW w:w="874" w:type="dxa"/>
            <w:tcBorders>
              <w:bottom w:val="single" w:color="auto" w:sz="4" w:space="0"/>
            </w:tcBorders>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w:t>
            </w: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产出数量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实际完成率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项目实施的实际产出数与计划产出数的比率，用以反映和考核项目产出数量目标的实现程度。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产出质量</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质量达标率</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项目完成的质量达标产出数与实际产出数的比率，用以反映和考核项目产出质量目标的实现程度。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0" w:lineRule="atLeast"/>
              <w:jc w:val="center"/>
              <w:rPr>
                <w:rFonts w:ascii="宋体" w:hAnsi="宋体" w:cs="宋体"/>
                <w:color w:val="000000"/>
                <w:kern w:val="0"/>
                <w:sz w:val="22"/>
              </w:rPr>
            </w:pPr>
          </w:p>
        </w:tc>
        <w:tc>
          <w:tcPr>
            <w:tcW w:w="1478" w:type="dxa"/>
            <w:shd w:val="clear" w:color="auto" w:fill="FFFFFF"/>
            <w:vAlign w:val="center"/>
          </w:tcPr>
          <w:p>
            <w:pPr>
              <w:spacing w:line="0" w:lineRule="atLeast"/>
              <w:jc w:val="center"/>
              <w:rPr>
                <w:rFonts w:ascii="宋体" w:hAnsi="宋体" w:cs="宋体"/>
                <w:color w:val="000000"/>
                <w:kern w:val="0"/>
                <w:sz w:val="22"/>
              </w:rPr>
            </w:pPr>
            <w:r>
              <w:rPr>
                <w:rFonts w:hint="eastAsia" w:ascii="宋体" w:hAnsi="宋体" w:cs="宋体"/>
                <w:color w:val="000000"/>
                <w:kern w:val="0"/>
                <w:sz w:val="22"/>
              </w:rPr>
              <w:t>产出时效</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完成及时性</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项目实际完成时间与计划完成时间的比较，用以反映和考核项目产出时效目标的实现程度。</w:t>
            </w:r>
          </w:p>
        </w:tc>
        <w:tc>
          <w:tcPr>
            <w:tcW w:w="990" w:type="dxa"/>
            <w:tcBorders>
              <w:left w:val="single" w:color="auto" w:sz="4" w:space="0"/>
            </w:tcBorders>
            <w:shd w:val="clear" w:color="000000" w:fill="FFFFFF"/>
          </w:tcPr>
          <w:p>
            <w:pPr>
              <w:spacing w:line="600" w:lineRule="auto"/>
              <w:jc w:val="center"/>
              <w:rPr>
                <w:rFonts w:hint="eastAsia" w:eastAsia="仿宋_GB2312"/>
                <w:lang w:val="en-US" w:eastAsia="zh-CN"/>
              </w:rPr>
            </w:pPr>
            <w:r>
              <w:rPr>
                <w:rFonts w:hint="eastAsia"/>
                <w:lang w:val="en-US" w:eastAsia="zh-CN"/>
              </w:rPr>
              <w:t>6</w:t>
            </w:r>
          </w:p>
        </w:tc>
        <w:tc>
          <w:tcPr>
            <w:tcW w:w="874" w:type="dxa"/>
            <w:shd w:val="clear" w:color="000000"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产出成本</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成本节约率</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完成项目计划工作目标的实际节约成本与计划成本的比率，用以反映和考核项目的成本节约程度。</w:t>
            </w:r>
          </w:p>
        </w:tc>
        <w:tc>
          <w:tcPr>
            <w:tcW w:w="990" w:type="dxa"/>
            <w:tcBorders>
              <w:left w:val="single" w:color="auto" w:sz="4" w:space="0"/>
            </w:tcBorders>
            <w:shd w:val="clear" w:color="auto" w:fill="FFFFFF"/>
          </w:tcPr>
          <w:p>
            <w:pPr>
              <w:spacing w:line="600" w:lineRule="auto"/>
              <w:jc w:val="center"/>
              <w:rPr>
                <w:rFonts w:hint="eastAsia" w:eastAsia="仿宋_GB2312"/>
                <w:lang w:val="en-US" w:eastAsia="zh-CN"/>
              </w:rPr>
            </w:pPr>
            <w:r>
              <w:rPr>
                <w:rFonts w:hint="eastAsia"/>
                <w:lang w:val="en-US" w:eastAsia="zh-CN"/>
              </w:rPr>
              <w:t>7</w:t>
            </w:r>
          </w:p>
        </w:tc>
        <w:tc>
          <w:tcPr>
            <w:tcW w:w="874" w:type="dxa"/>
            <w:shd w:val="clear" w:color="auto" w:fill="FFFFFF"/>
            <w:vAlign w:val="top"/>
          </w:tcPr>
          <w:p>
            <w:pPr>
              <w:spacing w:line="600" w:lineRule="auto"/>
              <w:jc w:val="center"/>
              <w:rPr>
                <w:rFonts w:hint="eastAsia" w:ascii="Times New Roman" w:hAnsi="Times New Roman" w:eastAsia="仿宋_GB2312" w:cs="Times New Roman"/>
                <w:kern w:val="2"/>
                <w:sz w:val="30"/>
                <w:szCs w:val="24"/>
                <w:lang w:val="en-US" w:eastAsia="zh-CN" w:bidi="ar-SA"/>
              </w:rPr>
            </w:pPr>
            <w:r>
              <w:rPr>
                <w:rFonts w:hint="eastAsia"/>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效益　</w:t>
            </w:r>
          </w:p>
        </w:tc>
        <w:tc>
          <w:tcPr>
            <w:tcW w:w="1478" w:type="dxa"/>
            <w:vMerge w:val="restart"/>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项目效益　</w:t>
            </w: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实施效益</w:t>
            </w:r>
          </w:p>
        </w:tc>
        <w:tc>
          <w:tcPr>
            <w:tcW w:w="388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项目实施所产生的效益。</w:t>
            </w:r>
          </w:p>
        </w:tc>
        <w:tc>
          <w:tcPr>
            <w:tcW w:w="990" w:type="dxa"/>
            <w:tcBorders>
              <w:left w:val="single" w:color="auto" w:sz="4" w:space="0"/>
            </w:tcBorders>
            <w:shd w:val="clear" w:color="auto" w:fill="FFFFFF"/>
          </w:tcPr>
          <w:p>
            <w:pPr>
              <w:spacing w:line="600" w:lineRule="auto"/>
              <w:jc w:val="center"/>
              <w:rPr>
                <w:rFonts w:hint="default" w:eastAsia="仿宋_GB2312"/>
                <w:lang w:val="en-US" w:eastAsia="zh-CN"/>
              </w:rPr>
            </w:pPr>
            <w:r>
              <w:rPr>
                <w:rFonts w:hint="eastAsia"/>
                <w:lang w:val="en-US" w:eastAsia="zh-CN"/>
              </w:rPr>
              <w:t>13</w:t>
            </w:r>
          </w:p>
        </w:tc>
        <w:tc>
          <w:tcPr>
            <w:tcW w:w="874" w:type="dxa"/>
            <w:shd w:val="clear" w:color="auto"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478" w:type="dxa"/>
            <w:vMerge w:val="continue"/>
            <w:shd w:val="clear" w:color="auto" w:fill="FFFFFF"/>
            <w:vAlign w:val="center"/>
          </w:tcPr>
          <w:p>
            <w:pPr>
              <w:widowControl/>
              <w:spacing w:line="0" w:lineRule="atLeast"/>
              <w:jc w:val="center"/>
              <w:rPr>
                <w:rFonts w:ascii="宋体" w:hAnsi="宋体" w:cs="宋体"/>
                <w:color w:val="000000"/>
                <w:kern w:val="0"/>
                <w:sz w:val="22"/>
              </w:rPr>
            </w:pPr>
          </w:p>
        </w:tc>
        <w:tc>
          <w:tcPr>
            <w:tcW w:w="1875" w:type="dxa"/>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满意度</w:t>
            </w:r>
          </w:p>
        </w:tc>
        <w:tc>
          <w:tcPr>
            <w:tcW w:w="3885" w:type="dxa"/>
            <w:tcBorders>
              <w:right w:val="single" w:color="auto" w:sz="4" w:space="0"/>
            </w:tcBorders>
            <w:shd w:val="clear" w:color="000000" w:fill="FFFFFF"/>
            <w:vAlign w:val="center"/>
          </w:tcPr>
          <w:p>
            <w:pPr>
              <w:widowControl/>
              <w:spacing w:line="0" w:lineRule="atLeast"/>
              <w:jc w:val="center"/>
              <w:rPr>
                <w:rFonts w:ascii="宋体" w:hAnsi="宋体" w:cs="宋体"/>
                <w:color w:val="000000"/>
                <w:kern w:val="0"/>
                <w:sz w:val="22"/>
              </w:rPr>
            </w:pPr>
            <w:r>
              <w:rPr>
                <w:rFonts w:hint="eastAsia" w:ascii="宋体" w:hAnsi="宋体" w:cs="宋体"/>
                <w:color w:val="000000"/>
                <w:kern w:val="0"/>
                <w:sz w:val="22"/>
              </w:rPr>
              <w:t>社会公众或服务对象对项目实施效果的满意程度。</w:t>
            </w:r>
          </w:p>
        </w:tc>
        <w:tc>
          <w:tcPr>
            <w:tcW w:w="990" w:type="dxa"/>
            <w:tcBorders>
              <w:left w:val="single" w:color="auto" w:sz="4" w:space="0"/>
            </w:tcBorders>
            <w:shd w:val="clear" w:color="000000" w:fill="FFFFFF"/>
          </w:tcPr>
          <w:p>
            <w:pPr>
              <w:spacing w:line="600" w:lineRule="auto"/>
              <w:jc w:val="center"/>
              <w:rPr>
                <w:rFonts w:hint="default" w:eastAsia="仿宋_GB2312"/>
                <w:lang w:val="en-US" w:eastAsia="zh-CN"/>
              </w:rPr>
            </w:pPr>
            <w:r>
              <w:rPr>
                <w:rFonts w:hint="eastAsia"/>
                <w:lang w:val="en-US" w:eastAsia="zh-CN"/>
              </w:rPr>
              <w:t>12</w:t>
            </w:r>
          </w:p>
        </w:tc>
        <w:tc>
          <w:tcPr>
            <w:tcW w:w="874" w:type="dxa"/>
            <w:shd w:val="clear" w:color="000000" w:fill="FFFFFF"/>
            <w:vAlign w:val="top"/>
          </w:tcPr>
          <w:p>
            <w:pPr>
              <w:spacing w:line="600" w:lineRule="auto"/>
              <w:jc w:val="center"/>
              <w:rPr>
                <w:rFonts w:hint="default" w:ascii="Times New Roman" w:hAnsi="Times New Roman" w:eastAsia="仿宋_GB2312" w:cs="Times New Roman"/>
                <w:kern w:val="2"/>
                <w:sz w:val="30"/>
                <w:szCs w:val="24"/>
                <w:lang w:val="en-US" w:eastAsia="zh-CN" w:bidi="ar-SA"/>
              </w:rPr>
            </w:pPr>
            <w:r>
              <w:rPr>
                <w:rFonts w:hint="eastAsia"/>
                <w:lang w:val="en-US" w:eastAsia="zh-CN"/>
              </w:rPr>
              <w:t>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0" w:lineRule="atLeast"/>
              <w:jc w:val="center"/>
              <w:rPr>
                <w:rFonts w:ascii="宋体" w:hAnsi="宋体" w:cs="宋体"/>
                <w:color w:val="000000"/>
                <w:kern w:val="0"/>
                <w:sz w:val="22"/>
              </w:rPr>
            </w:pPr>
            <w:r>
              <w:rPr>
                <w:rFonts w:hint="eastAsia" w:ascii="宋体" w:hAnsi="宋体" w:cs="宋体"/>
                <w:b/>
                <w:bCs/>
                <w:color w:val="000000"/>
                <w:kern w:val="0"/>
                <w:sz w:val="22"/>
              </w:rPr>
              <w:t>总分</w:t>
            </w:r>
          </w:p>
        </w:tc>
        <w:tc>
          <w:tcPr>
            <w:tcW w:w="3885" w:type="dxa"/>
            <w:tcBorders>
              <w:right w:val="single" w:color="auto" w:sz="4" w:space="0"/>
            </w:tcBorders>
            <w:shd w:val="clear" w:color="auto" w:fill="FFFFFF"/>
          </w:tcPr>
          <w:p>
            <w:pPr>
              <w:widowControl/>
              <w:spacing w:line="0" w:lineRule="atLeast"/>
              <w:jc w:val="center"/>
              <w:rPr>
                <w:rFonts w:ascii="宋体" w:hAnsi="宋体" w:cs="宋体"/>
                <w:color w:val="000000"/>
                <w:kern w:val="0"/>
                <w:sz w:val="22"/>
              </w:rPr>
            </w:pPr>
          </w:p>
        </w:tc>
        <w:tc>
          <w:tcPr>
            <w:tcW w:w="990" w:type="dxa"/>
            <w:tcBorders>
              <w:left w:val="single" w:color="auto" w:sz="4" w:space="0"/>
            </w:tcBorders>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c>
          <w:tcPr>
            <w:tcW w:w="874" w:type="dxa"/>
            <w:shd w:val="clear" w:color="auto" w:fill="FFFFFF"/>
            <w:vAlign w:val="center"/>
          </w:tcPr>
          <w:p>
            <w:pPr>
              <w:widowControl/>
              <w:spacing w:line="0" w:lineRule="atLeast"/>
              <w:jc w:val="center"/>
              <w:rPr>
                <w:rFonts w:hint="default" w:ascii="宋体" w:hAnsi="宋体" w:eastAsia="仿宋_GB2312" w:cs="宋体"/>
                <w:color w:val="000000"/>
                <w:kern w:val="0"/>
                <w:sz w:val="22"/>
                <w:lang w:val="en-US" w:eastAsia="zh-CN"/>
              </w:rPr>
            </w:pPr>
            <w:r>
              <w:rPr>
                <w:rFonts w:hint="eastAsia" w:ascii="宋体" w:hAnsi="宋体" w:cs="宋体"/>
                <w:color w:val="000000"/>
                <w:kern w:val="0"/>
                <w:sz w:val="22"/>
                <w:lang w:val="en-US" w:eastAsia="zh-CN"/>
              </w:rPr>
              <w:t>100</w:t>
            </w:r>
          </w:p>
        </w:tc>
      </w:tr>
    </w:tbl>
    <w:p>
      <w:pPr>
        <w:sectPr>
          <w:pgSz w:w="11906" w:h="16838"/>
          <w:pgMar w:top="1928" w:right="1531" w:bottom="1701" w:left="1531" w:header="737" w:footer="851" w:gutter="0"/>
          <w:cols w:space="720" w:num="1"/>
          <w:docGrid w:type="lines" w:linePitch="408" w:charSpace="0"/>
        </w:sectPr>
      </w:pPr>
    </w:p>
    <w:p>
      <w:pPr>
        <w:spacing w:line="360" w:lineRule="auto"/>
        <w:rPr>
          <w:highlight w:val="none"/>
        </w:rPr>
      </w:pPr>
      <w:r>
        <w:rPr>
          <w:rFonts w:hint="eastAsia"/>
          <w:highlight w:val="none"/>
        </w:rPr>
        <w:t>3、评价方法</w:t>
      </w:r>
    </w:p>
    <w:p>
      <w:pPr>
        <w:spacing w:line="360" w:lineRule="auto"/>
        <w:ind w:firstLine="640" w:firstLineChars="200"/>
        <w:rPr>
          <w:rFonts w:hint="eastAsia" w:eastAsia="仿宋_GB2312"/>
          <w:bCs/>
          <w:color w:val="auto"/>
          <w:sz w:val="32"/>
          <w:szCs w:val="32"/>
          <w:lang w:val="en-US" w:eastAsia="zh-CN"/>
        </w:rPr>
      </w:pPr>
      <w:r>
        <w:rPr>
          <w:rFonts w:hint="eastAsia"/>
          <w:bCs/>
          <w:color w:val="auto"/>
          <w:sz w:val="32"/>
          <w:szCs w:val="32"/>
        </w:rPr>
        <w:t>本次项目支出绩效自评采用因素分析法方法，原因是：绩效评价工作过程</w:t>
      </w:r>
      <w:r>
        <w:rPr>
          <w:rFonts w:hint="eastAsia"/>
          <w:bCs/>
          <w:color w:val="auto"/>
          <w:sz w:val="32"/>
          <w:szCs w:val="32"/>
          <w:lang w:eastAsia="zh-CN"/>
        </w:rPr>
        <w:t>：</w:t>
      </w:r>
      <w:r>
        <w:rPr>
          <w:rFonts w:hint="eastAsia"/>
          <w:bCs/>
          <w:color w:val="auto"/>
          <w:sz w:val="32"/>
          <w:szCs w:val="32"/>
        </w:rPr>
        <w:t>包括前期准备</w:t>
      </w:r>
      <w:r>
        <w:rPr>
          <w:rFonts w:hint="eastAsia"/>
          <w:bCs/>
          <w:color w:val="auto"/>
          <w:sz w:val="32"/>
          <w:szCs w:val="32"/>
          <w:lang w:eastAsia="zh-CN"/>
        </w:rPr>
        <w:t>：</w:t>
      </w:r>
      <w:r>
        <w:rPr>
          <w:rFonts w:hint="eastAsia"/>
          <w:bCs/>
          <w:color w:val="auto"/>
          <w:sz w:val="32"/>
          <w:szCs w:val="32"/>
          <w:lang w:val="en-US" w:eastAsia="zh-CN"/>
        </w:rPr>
        <w:t>拟定领导小组，下设办公室，由财务室和办公室统筹绩效全过程，纪律委员对全过程进行监督</w:t>
      </w:r>
      <w:r>
        <w:rPr>
          <w:rFonts w:hint="eastAsia"/>
          <w:bCs/>
          <w:color w:val="auto"/>
          <w:sz w:val="32"/>
          <w:szCs w:val="32"/>
        </w:rPr>
        <w:t>、组织实施</w:t>
      </w:r>
      <w:r>
        <w:rPr>
          <w:rFonts w:hint="eastAsia"/>
          <w:bCs/>
          <w:color w:val="auto"/>
          <w:sz w:val="32"/>
          <w:szCs w:val="32"/>
          <w:lang w:eastAsia="zh-CN"/>
        </w:rPr>
        <w:t>：</w:t>
      </w:r>
      <w:r>
        <w:rPr>
          <w:rFonts w:hint="eastAsia"/>
          <w:bCs/>
          <w:color w:val="auto"/>
          <w:sz w:val="32"/>
          <w:szCs w:val="32"/>
          <w:lang w:val="en-US" w:eastAsia="zh-CN"/>
        </w:rPr>
        <w:t>按照计划有序进行项目实施，保证项目符合相关管理规定，并实时对相关绩效管理制度及时调整</w:t>
      </w:r>
      <w:r>
        <w:rPr>
          <w:rFonts w:hint="eastAsia"/>
          <w:bCs/>
          <w:color w:val="auto"/>
          <w:sz w:val="32"/>
          <w:szCs w:val="32"/>
        </w:rPr>
        <w:t>、检查、核实等工作情况</w:t>
      </w:r>
      <w:r>
        <w:rPr>
          <w:rFonts w:hint="eastAsia"/>
          <w:bCs/>
          <w:color w:val="auto"/>
          <w:sz w:val="32"/>
          <w:szCs w:val="32"/>
          <w:lang w:eastAsia="zh-CN"/>
        </w:rPr>
        <w:t>。</w:t>
      </w:r>
    </w:p>
    <w:p>
      <w:pPr>
        <w:spacing w:line="360" w:lineRule="auto"/>
        <w:rPr>
          <w:bCs/>
          <w:color w:val="auto"/>
          <w:sz w:val="32"/>
          <w:szCs w:val="32"/>
          <w:highlight w:val="none"/>
        </w:rPr>
      </w:pPr>
      <w:r>
        <w:rPr>
          <w:rFonts w:hint="eastAsia"/>
          <w:highlight w:val="none"/>
        </w:rPr>
        <w:t>4、评价标准</w:t>
      </w:r>
    </w:p>
    <w:p>
      <w:pPr>
        <w:spacing w:line="360" w:lineRule="auto"/>
        <w:ind w:firstLine="640" w:firstLineChars="200"/>
        <w:rPr>
          <w:rFonts w:hint="default" w:eastAsia="仿宋_GB2312"/>
          <w:bCs/>
          <w:color w:val="auto"/>
          <w:sz w:val="32"/>
          <w:szCs w:val="32"/>
          <w:lang w:val="en-US" w:eastAsia="zh-CN"/>
        </w:rPr>
      </w:pPr>
      <w:r>
        <w:rPr>
          <w:rFonts w:hint="eastAsia"/>
          <w:bCs/>
          <w:color w:val="auto"/>
          <w:sz w:val="32"/>
          <w:szCs w:val="32"/>
        </w:rPr>
        <w:t>本次项目支出绩效自评采用计划标准，原因是：</w:t>
      </w:r>
      <w:r>
        <w:rPr>
          <w:rFonts w:hint="eastAsia"/>
          <w:bCs/>
          <w:color w:val="auto"/>
          <w:sz w:val="32"/>
          <w:szCs w:val="32"/>
          <w:lang w:val="en-US" w:eastAsia="zh-CN"/>
        </w:rPr>
        <w:t>按照绩效目标计划实施项目，按照计划有序进行项目实施，保证项目符合相关管理规定，并实时对相关绩效管理制度及时调整</w:t>
      </w:r>
      <w:r>
        <w:rPr>
          <w:rFonts w:hint="eastAsia"/>
          <w:bCs/>
          <w:color w:val="auto"/>
          <w:sz w:val="32"/>
          <w:szCs w:val="32"/>
        </w:rPr>
        <w:t>、检查、核实等工作情况</w:t>
      </w:r>
      <w:r>
        <w:rPr>
          <w:rFonts w:hint="eastAsia"/>
          <w:bCs/>
          <w:color w:val="auto"/>
          <w:sz w:val="32"/>
          <w:szCs w:val="32"/>
          <w:lang w:eastAsia="zh-CN"/>
        </w:rPr>
        <w:t>，</w:t>
      </w:r>
      <w:r>
        <w:rPr>
          <w:rFonts w:hint="eastAsia"/>
          <w:bCs/>
          <w:color w:val="auto"/>
          <w:sz w:val="32"/>
          <w:szCs w:val="32"/>
          <w:lang w:val="en-US" w:eastAsia="zh-CN"/>
        </w:rPr>
        <w:t>根据</w:t>
      </w:r>
      <w:r>
        <w:rPr>
          <w:rFonts w:hint="eastAsia"/>
          <w:bCs/>
          <w:color w:val="auto"/>
          <w:sz w:val="32"/>
          <w:szCs w:val="32"/>
          <w:lang w:eastAsia="zh-CN"/>
        </w:rPr>
        <w:t>项目的预期产出效益和效果</w:t>
      </w:r>
      <w:r>
        <w:rPr>
          <w:rFonts w:hint="eastAsia"/>
          <w:bCs/>
          <w:color w:val="auto"/>
          <w:sz w:val="32"/>
          <w:szCs w:val="32"/>
          <w:lang w:val="en-US" w:eastAsia="zh-CN"/>
        </w:rPr>
        <w:t>必须</w:t>
      </w:r>
      <w:r>
        <w:rPr>
          <w:rFonts w:hint="eastAsia"/>
          <w:bCs/>
          <w:color w:val="auto"/>
          <w:sz w:val="32"/>
          <w:szCs w:val="32"/>
          <w:lang w:eastAsia="zh-CN"/>
        </w:rPr>
        <w:t>均能符合正常的业绩水平，并且与预算确定的项目投资额或资金量相匹配</w:t>
      </w:r>
      <w:r>
        <w:rPr>
          <w:rFonts w:hint="eastAsia"/>
          <w:bCs/>
          <w:color w:val="auto"/>
          <w:sz w:val="32"/>
          <w:szCs w:val="32"/>
          <w:lang w:val="en-US" w:eastAsia="zh-CN"/>
        </w:rPr>
        <w:t>。</w:t>
      </w:r>
    </w:p>
    <w:p>
      <w:pPr>
        <w:pStyle w:val="3"/>
        <w:spacing w:line="360" w:lineRule="auto"/>
        <w:rPr>
          <w:rFonts w:ascii="仿宋_GB2312" w:eastAsia="仿宋_GB2312"/>
          <w:b w:val="0"/>
          <w:bCs w:val="0"/>
        </w:rPr>
      </w:pPr>
      <w:bookmarkStart w:id="6" w:name="_Toc68703833"/>
      <w:r>
        <w:rPr>
          <w:rFonts w:hint="eastAsia" w:ascii="仿宋_GB2312" w:eastAsia="仿宋_GB2312"/>
          <w:b w:val="0"/>
          <w:bCs w:val="0"/>
        </w:rPr>
        <w:t>（三）绩效评价工作过程。</w:t>
      </w:r>
      <w:bookmarkEnd w:id="6"/>
    </w:p>
    <w:p>
      <w:pPr>
        <w:spacing w:line="360" w:lineRule="auto"/>
        <w:rPr>
          <w:sz w:val="32"/>
          <w:szCs w:val="32"/>
        </w:rPr>
      </w:pPr>
      <w:r>
        <w:rPr>
          <w:rFonts w:hint="eastAsia"/>
          <w:sz w:val="32"/>
          <w:szCs w:val="32"/>
        </w:rPr>
        <w:t>1、前期准备：</w:t>
      </w:r>
    </w:p>
    <w:p>
      <w:pPr>
        <w:spacing w:line="360" w:lineRule="auto"/>
        <w:ind w:firstLine="640" w:firstLineChars="200"/>
        <w:rPr>
          <w:color w:val="auto"/>
          <w:sz w:val="32"/>
          <w:szCs w:val="32"/>
        </w:rPr>
      </w:pPr>
      <w:r>
        <w:rPr>
          <w:rFonts w:hint="eastAsia"/>
          <w:color w:val="auto"/>
          <w:sz w:val="32"/>
          <w:szCs w:val="32"/>
        </w:rPr>
        <w:t>2</w:t>
      </w:r>
      <w:r>
        <w:rPr>
          <w:color w:val="auto"/>
          <w:sz w:val="32"/>
          <w:szCs w:val="32"/>
        </w:rPr>
        <w:t>022</w:t>
      </w:r>
      <w:r>
        <w:rPr>
          <w:rFonts w:hint="eastAsia"/>
          <w:color w:val="auto"/>
          <w:sz w:val="32"/>
          <w:szCs w:val="32"/>
        </w:rPr>
        <w:t>年</w:t>
      </w:r>
      <w:r>
        <w:rPr>
          <w:rFonts w:hint="eastAsia"/>
          <w:color w:val="auto"/>
          <w:sz w:val="32"/>
          <w:szCs w:val="32"/>
          <w:lang w:val="en-US" w:eastAsia="zh-CN"/>
        </w:rPr>
        <w:t>1</w:t>
      </w:r>
      <w:r>
        <w:rPr>
          <w:rFonts w:hint="eastAsia"/>
          <w:color w:val="auto"/>
          <w:sz w:val="32"/>
          <w:szCs w:val="32"/>
        </w:rPr>
        <w:t>月</w:t>
      </w:r>
      <w:r>
        <w:rPr>
          <w:rFonts w:hint="eastAsia"/>
          <w:color w:val="auto"/>
          <w:sz w:val="32"/>
          <w:szCs w:val="32"/>
          <w:lang w:val="en-US" w:eastAsia="zh-CN"/>
        </w:rPr>
        <w:t>1</w:t>
      </w:r>
      <w:r>
        <w:rPr>
          <w:rFonts w:hint="eastAsia"/>
          <w:color w:val="auto"/>
          <w:sz w:val="32"/>
          <w:szCs w:val="32"/>
        </w:rPr>
        <w:t>日，</w:t>
      </w:r>
      <w:r>
        <w:rPr>
          <w:rFonts w:hint="eastAsia" w:ascii="仿宋_GB2312"/>
          <w:color w:val="auto"/>
          <w:sz w:val="32"/>
          <w:szCs w:val="32"/>
          <w:lang w:val="zh-CN"/>
        </w:rPr>
        <w:t>开始前期准备工作，评价组通过前期调研</w:t>
      </w:r>
      <w:r>
        <w:rPr>
          <w:rFonts w:hint="eastAsia"/>
          <w:color w:val="auto"/>
          <w:sz w:val="32"/>
          <w:szCs w:val="32"/>
        </w:rPr>
        <w:t>确定绩效评价对象和范围，</w:t>
      </w:r>
      <w:r>
        <w:rPr>
          <w:rFonts w:hint="eastAsia" w:ascii="仿宋_GB2312"/>
          <w:color w:val="auto"/>
          <w:sz w:val="32"/>
          <w:szCs w:val="32"/>
          <w:lang w:val="zh-CN"/>
        </w:rPr>
        <w:t>确定了评价的目的、方法以及评价的原则，根据项目的内容和特征制定了评价指标体系及评价标准以及评价实施方案，修正并确定所需资料清单，最终确定</w:t>
      </w:r>
      <w:r>
        <w:rPr>
          <w:rFonts w:hint="eastAsia"/>
          <w:color w:val="auto"/>
          <w:sz w:val="32"/>
          <w:szCs w:val="32"/>
        </w:rPr>
        <w:t>绩效评价工作方案；</w:t>
      </w:r>
    </w:p>
    <w:p>
      <w:pPr>
        <w:spacing w:line="360" w:lineRule="auto"/>
        <w:rPr>
          <w:color w:val="auto"/>
          <w:sz w:val="32"/>
          <w:szCs w:val="32"/>
        </w:rPr>
      </w:pPr>
      <w:r>
        <w:rPr>
          <w:color w:val="auto"/>
          <w:sz w:val="32"/>
          <w:szCs w:val="32"/>
        </w:rPr>
        <w:t>2</w:t>
      </w:r>
      <w:r>
        <w:rPr>
          <w:rFonts w:hint="eastAsia"/>
          <w:color w:val="auto"/>
          <w:sz w:val="32"/>
          <w:szCs w:val="32"/>
        </w:rPr>
        <w:t>、组织实施：</w:t>
      </w:r>
    </w:p>
    <w:p>
      <w:pPr>
        <w:spacing w:line="360" w:lineRule="auto"/>
        <w:ind w:firstLine="640" w:firstLineChars="200"/>
        <w:rPr>
          <w:color w:val="auto"/>
          <w:sz w:val="32"/>
          <w:szCs w:val="32"/>
        </w:rPr>
      </w:pPr>
      <w:r>
        <w:rPr>
          <w:rFonts w:hint="eastAsia"/>
          <w:color w:val="auto"/>
          <w:sz w:val="32"/>
          <w:szCs w:val="32"/>
        </w:rPr>
        <w:t>2</w:t>
      </w:r>
      <w:r>
        <w:rPr>
          <w:color w:val="auto"/>
          <w:sz w:val="32"/>
          <w:szCs w:val="32"/>
        </w:rPr>
        <w:t>022</w:t>
      </w:r>
      <w:r>
        <w:rPr>
          <w:rFonts w:hint="eastAsia"/>
          <w:color w:val="auto"/>
          <w:sz w:val="32"/>
          <w:szCs w:val="32"/>
        </w:rPr>
        <w:t>年</w:t>
      </w:r>
      <w:r>
        <w:rPr>
          <w:rFonts w:hint="eastAsia"/>
          <w:color w:val="auto"/>
          <w:sz w:val="32"/>
          <w:szCs w:val="32"/>
          <w:lang w:val="en-US" w:eastAsia="zh-CN"/>
        </w:rPr>
        <w:t>2</w:t>
      </w:r>
      <w:r>
        <w:rPr>
          <w:rFonts w:hint="eastAsia"/>
          <w:color w:val="auto"/>
          <w:sz w:val="32"/>
          <w:szCs w:val="32"/>
        </w:rPr>
        <w:t>月</w:t>
      </w:r>
      <w:r>
        <w:rPr>
          <w:rFonts w:hint="eastAsia"/>
          <w:color w:val="auto"/>
          <w:sz w:val="32"/>
          <w:szCs w:val="32"/>
          <w:lang w:val="en-US" w:eastAsia="zh-CN"/>
        </w:rPr>
        <w:t>1</w:t>
      </w:r>
      <w:r>
        <w:rPr>
          <w:rFonts w:hint="eastAsia"/>
          <w:color w:val="auto"/>
          <w:sz w:val="32"/>
          <w:szCs w:val="32"/>
        </w:rPr>
        <w:t>日-</w:t>
      </w:r>
      <w:r>
        <w:rPr>
          <w:color w:val="auto"/>
          <w:sz w:val="32"/>
          <w:szCs w:val="32"/>
        </w:rPr>
        <w:t xml:space="preserve"> </w:t>
      </w:r>
      <w:r>
        <w:rPr>
          <w:rFonts w:hint="eastAsia"/>
          <w:color w:val="auto"/>
          <w:sz w:val="32"/>
          <w:szCs w:val="32"/>
          <w:lang w:val="en-US" w:eastAsia="zh-CN"/>
        </w:rPr>
        <w:t>2</w:t>
      </w:r>
      <w:r>
        <w:rPr>
          <w:rFonts w:hint="eastAsia"/>
          <w:color w:val="auto"/>
          <w:sz w:val="32"/>
          <w:szCs w:val="32"/>
        </w:rPr>
        <w:t>月</w:t>
      </w:r>
      <w:r>
        <w:rPr>
          <w:rFonts w:hint="eastAsia"/>
          <w:color w:val="auto"/>
          <w:sz w:val="32"/>
          <w:szCs w:val="32"/>
          <w:lang w:val="en-US" w:eastAsia="zh-CN"/>
        </w:rPr>
        <w:t>30</w:t>
      </w:r>
      <w:r>
        <w:rPr>
          <w:rFonts w:hint="eastAsia"/>
          <w:color w:val="auto"/>
          <w:sz w:val="32"/>
          <w:szCs w:val="32"/>
        </w:rPr>
        <w:t>日，</w:t>
      </w:r>
      <w:r>
        <w:rPr>
          <w:rFonts w:hint="eastAsia" w:ascii="仿宋_GB2312"/>
          <w:color w:val="auto"/>
          <w:sz w:val="32"/>
          <w:szCs w:val="32"/>
        </w:rPr>
        <w:t>评价工作进入实施阶段，评价组</w:t>
      </w:r>
      <w:r>
        <w:rPr>
          <w:rFonts w:hint="eastAsia"/>
          <w:color w:val="auto"/>
          <w:sz w:val="32"/>
          <w:szCs w:val="32"/>
        </w:rPr>
        <w:t>收集绩效评价相关数据资料，进行现场调研、座谈；并</w:t>
      </w:r>
      <w:r>
        <w:rPr>
          <w:rFonts w:hint="eastAsia" w:ascii="仿宋_GB2312"/>
          <w:color w:val="auto"/>
          <w:sz w:val="32"/>
          <w:szCs w:val="32"/>
        </w:rPr>
        <w:t>与项目实施负责人沟通，了解资金的内容、操作流程、管理机制、资金使用方向等情况</w:t>
      </w:r>
      <w:r>
        <w:rPr>
          <w:rFonts w:hint="eastAsia"/>
          <w:color w:val="auto"/>
          <w:sz w:val="32"/>
          <w:szCs w:val="32"/>
        </w:rPr>
        <w:t>，</w:t>
      </w:r>
      <w:r>
        <w:rPr>
          <w:color w:val="auto"/>
          <w:sz w:val="32"/>
          <w:szCs w:val="32"/>
        </w:rPr>
        <w:t>分析</w:t>
      </w:r>
      <w:r>
        <w:rPr>
          <w:rFonts w:hint="eastAsia"/>
          <w:color w:val="auto"/>
          <w:sz w:val="32"/>
          <w:szCs w:val="32"/>
        </w:rPr>
        <w:t>形成初步结论。</w:t>
      </w:r>
      <w:r>
        <w:rPr>
          <w:color w:val="auto"/>
          <w:sz w:val="32"/>
          <w:szCs w:val="32"/>
        </w:rPr>
        <w:t xml:space="preserve"> </w:t>
      </w:r>
    </w:p>
    <w:p>
      <w:pPr>
        <w:spacing w:line="360" w:lineRule="auto"/>
        <w:rPr>
          <w:color w:val="auto"/>
          <w:sz w:val="32"/>
          <w:szCs w:val="32"/>
        </w:rPr>
      </w:pPr>
      <w:r>
        <w:rPr>
          <w:rFonts w:hint="eastAsia"/>
          <w:color w:val="auto"/>
          <w:sz w:val="32"/>
          <w:szCs w:val="32"/>
        </w:rPr>
        <w:t>3、分析评价：</w:t>
      </w:r>
    </w:p>
    <w:p>
      <w:pPr>
        <w:spacing w:line="360" w:lineRule="auto"/>
        <w:ind w:firstLine="640" w:firstLineChars="200"/>
        <w:rPr>
          <w:rFonts w:ascii="仿宋_GB2312"/>
          <w:color w:val="auto"/>
          <w:sz w:val="32"/>
          <w:szCs w:val="32"/>
        </w:rPr>
      </w:pPr>
      <w:r>
        <w:rPr>
          <w:rFonts w:hint="eastAsia"/>
          <w:color w:val="auto"/>
          <w:sz w:val="32"/>
          <w:szCs w:val="32"/>
        </w:rPr>
        <w:t>202</w:t>
      </w:r>
      <w:r>
        <w:rPr>
          <w:color w:val="auto"/>
          <w:sz w:val="32"/>
          <w:szCs w:val="32"/>
        </w:rPr>
        <w:t>2</w:t>
      </w:r>
      <w:r>
        <w:rPr>
          <w:rFonts w:hint="eastAsia"/>
          <w:color w:val="auto"/>
          <w:sz w:val="32"/>
          <w:szCs w:val="32"/>
        </w:rPr>
        <w:t>年</w:t>
      </w:r>
      <w:r>
        <w:rPr>
          <w:rFonts w:hint="eastAsia"/>
          <w:color w:val="auto"/>
          <w:sz w:val="32"/>
          <w:szCs w:val="32"/>
          <w:lang w:val="en-US" w:eastAsia="zh-CN"/>
        </w:rPr>
        <w:t>3</w:t>
      </w:r>
      <w:r>
        <w:rPr>
          <w:rFonts w:hint="eastAsia"/>
          <w:color w:val="auto"/>
          <w:sz w:val="32"/>
          <w:szCs w:val="32"/>
        </w:rPr>
        <w:t>月</w:t>
      </w:r>
      <w:r>
        <w:rPr>
          <w:rFonts w:hint="eastAsia"/>
          <w:color w:val="auto"/>
          <w:sz w:val="32"/>
          <w:szCs w:val="32"/>
          <w:lang w:val="en-US" w:eastAsia="zh-CN"/>
        </w:rPr>
        <w:t>1</w:t>
      </w:r>
      <w:r>
        <w:rPr>
          <w:rFonts w:hint="eastAsia"/>
          <w:color w:val="auto"/>
          <w:sz w:val="32"/>
          <w:szCs w:val="32"/>
        </w:rPr>
        <w:t>日-</w:t>
      </w:r>
      <w:r>
        <w:rPr>
          <w:rFonts w:hint="eastAsia"/>
          <w:color w:val="auto"/>
          <w:sz w:val="32"/>
          <w:szCs w:val="32"/>
          <w:lang w:val="en-US" w:eastAsia="zh-CN"/>
        </w:rPr>
        <w:t>3</w:t>
      </w:r>
      <w:r>
        <w:rPr>
          <w:rFonts w:hint="eastAsia"/>
          <w:color w:val="auto"/>
          <w:sz w:val="32"/>
          <w:szCs w:val="32"/>
        </w:rPr>
        <w:t>月</w:t>
      </w:r>
      <w:r>
        <w:rPr>
          <w:rFonts w:hint="eastAsia"/>
          <w:color w:val="auto"/>
          <w:sz w:val="32"/>
          <w:szCs w:val="32"/>
          <w:lang w:val="en-US" w:eastAsia="zh-CN"/>
        </w:rPr>
        <w:t>31</w:t>
      </w:r>
      <w:r>
        <w:rPr>
          <w:rFonts w:hint="eastAsia"/>
          <w:color w:val="auto"/>
          <w:sz w:val="32"/>
          <w:szCs w:val="32"/>
        </w:rPr>
        <w:t>日，评价组按照绩效评价的原则和规范，对取得的资料进行审查核实，对采集的数据进行分析，按照绩效评价指标评分表逐项进行打分、分析，汇总各方评价结果，综合分析并形成评价结论。</w:t>
      </w:r>
    </w:p>
    <w:p>
      <w:pPr>
        <w:pStyle w:val="2"/>
        <w:spacing w:line="360" w:lineRule="auto"/>
        <w:rPr>
          <w:rFonts w:ascii="宋体" w:hAnsi="宋体" w:eastAsia="宋体"/>
          <w:color w:val="auto"/>
          <w:sz w:val="32"/>
          <w:szCs w:val="32"/>
        </w:rPr>
      </w:pPr>
      <w:bookmarkStart w:id="7" w:name="_Toc68703834"/>
      <w:r>
        <w:rPr>
          <w:rFonts w:hint="eastAsia" w:ascii="宋体" w:hAnsi="宋体" w:eastAsia="宋体"/>
          <w:color w:val="auto"/>
          <w:sz w:val="32"/>
          <w:szCs w:val="32"/>
        </w:rPr>
        <w:t>三、综合评价情况及评价结论</w:t>
      </w:r>
      <w:bookmarkEnd w:id="7"/>
    </w:p>
    <w:p>
      <w:pPr>
        <w:pStyle w:val="3"/>
        <w:spacing w:line="360" w:lineRule="auto"/>
        <w:rPr>
          <w:rFonts w:ascii="仿宋_GB2312" w:eastAsia="仿宋_GB2312"/>
          <w:b w:val="0"/>
          <w:bCs w:val="0"/>
        </w:rPr>
      </w:pPr>
      <w:bookmarkStart w:id="8" w:name="_Toc68703835"/>
      <w:r>
        <w:rPr>
          <w:rFonts w:hint="eastAsia" w:ascii="仿宋_GB2312" w:eastAsia="仿宋_GB2312"/>
          <w:b w:val="0"/>
          <w:bCs w:val="0"/>
        </w:rPr>
        <w:t>（一）综合评价情况</w:t>
      </w:r>
      <w:bookmarkEnd w:id="8"/>
    </w:p>
    <w:p>
      <w:pPr>
        <w:spacing w:line="360" w:lineRule="auto"/>
        <w:ind w:firstLine="640" w:firstLineChars="200"/>
        <w:rPr>
          <w:color w:val="auto"/>
          <w:sz w:val="32"/>
          <w:szCs w:val="32"/>
        </w:rPr>
      </w:pPr>
      <w:r>
        <w:rPr>
          <w:rFonts w:hint="eastAsia"/>
          <w:color w:val="auto"/>
          <w:sz w:val="32"/>
          <w:szCs w:val="32"/>
        </w:rPr>
        <w:t>本项目严格按照</w:t>
      </w:r>
      <w:r>
        <w:rPr>
          <w:rFonts w:hint="eastAsia" w:ascii="仿宋_GB2312"/>
          <w:bCs/>
          <w:color w:val="auto"/>
          <w:kern w:val="0"/>
          <w:sz w:val="32"/>
          <w:szCs w:val="32"/>
        </w:rPr>
        <w:t>科学公正、统筹兼顾、激励约束、公开透明的</w:t>
      </w:r>
      <w:r>
        <w:rPr>
          <w:rFonts w:hint="eastAsia"/>
          <w:color w:val="auto"/>
          <w:sz w:val="32"/>
          <w:szCs w:val="32"/>
        </w:rPr>
        <w:t>绩效评价原则，采用</w:t>
      </w:r>
      <w:r>
        <w:rPr>
          <w:rFonts w:hint="eastAsia"/>
          <w:bCs/>
          <w:color w:val="auto"/>
          <w:sz w:val="32"/>
          <w:szCs w:val="32"/>
        </w:rPr>
        <w:t>因素分析法</w:t>
      </w:r>
      <w:r>
        <w:rPr>
          <w:rFonts w:hint="eastAsia"/>
          <w:color w:val="auto"/>
          <w:sz w:val="32"/>
          <w:szCs w:val="32"/>
        </w:rPr>
        <w:t>，坚持</w:t>
      </w:r>
      <w:r>
        <w:rPr>
          <w:rFonts w:hint="eastAsia"/>
          <w:bCs/>
          <w:color w:val="auto"/>
          <w:sz w:val="32"/>
          <w:szCs w:val="32"/>
        </w:rPr>
        <w:t>计划标准</w:t>
      </w:r>
      <w:r>
        <w:rPr>
          <w:rFonts w:hint="eastAsia"/>
          <w:bCs/>
          <w:color w:val="auto"/>
          <w:sz w:val="32"/>
          <w:szCs w:val="32"/>
          <w:lang w:eastAsia="zh-CN"/>
        </w:rPr>
        <w:t>，</w:t>
      </w:r>
      <w:r>
        <w:rPr>
          <w:rFonts w:hint="eastAsia"/>
          <w:color w:val="auto"/>
          <w:sz w:val="32"/>
          <w:szCs w:val="32"/>
        </w:rPr>
        <w:t>对本项目的立项、项绩效目标、资金投入、资金管理、组织实施、产出数量、产出质量、产出时效、产出成本、项目效益进行了综合评价。</w:t>
      </w:r>
    </w:p>
    <w:p>
      <w:pPr>
        <w:spacing w:line="360" w:lineRule="auto"/>
        <w:ind w:firstLine="600" w:firstLineChars="200"/>
        <w:jc w:val="center"/>
        <w:rPr>
          <w:color w:val="auto"/>
        </w:rPr>
      </w:pPr>
      <w:r>
        <w:rPr>
          <w:rFonts w:hint="eastAsia"/>
          <w:color w:val="auto"/>
        </w:rPr>
        <w:t>2021年自治区广播电视节目无线覆盖运行维护经费项目评价得分情况</w:t>
      </w:r>
    </w:p>
    <w:tbl>
      <w:tblPr>
        <w:tblStyle w:val="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b/>
                <w:bCs/>
                <w:color w:val="000000"/>
                <w:sz w:val="22"/>
              </w:rPr>
            </w:pPr>
            <w:r>
              <w:rPr>
                <w:rFonts w:hint="eastAsia"/>
                <w:b/>
                <w:bCs/>
                <w:color w:val="000000"/>
                <w:sz w:val="22"/>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color w:val="000000"/>
                <w:sz w:val="22"/>
                <w:lang w:val="en-US" w:eastAsia="zh-CN"/>
              </w:rPr>
            </w:pPr>
            <w:r>
              <w:rPr>
                <w:rFonts w:hint="eastAsia"/>
                <w:color w:val="000000"/>
                <w:sz w:val="22"/>
                <w:lang w:val="en-US" w:eastAsia="zh-CN"/>
              </w:rPr>
              <w:t>25</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eastAsia="仿宋_GB2312"/>
                <w:b/>
                <w:bCs/>
                <w:color w:val="000000"/>
                <w:sz w:val="22"/>
                <w:lang w:val="en-US" w:eastAsia="zh-CN"/>
              </w:rPr>
            </w:pPr>
            <w:r>
              <w:rPr>
                <w:rFonts w:hint="eastAsia"/>
                <w:b/>
                <w:bCs/>
                <w:color w:val="000000"/>
                <w:sz w:val="22"/>
                <w:lang w:val="en-US" w:eastAsia="zh-CN"/>
              </w:rPr>
              <w:t>100</w:t>
            </w:r>
          </w:p>
        </w:tc>
      </w:tr>
    </w:tbl>
    <w:p>
      <w:pPr>
        <w:pStyle w:val="3"/>
        <w:spacing w:line="360" w:lineRule="auto"/>
        <w:rPr>
          <w:rFonts w:ascii="仿宋_GB2312" w:eastAsia="仿宋_GB2312"/>
          <w:b w:val="0"/>
          <w:bCs w:val="0"/>
        </w:rPr>
      </w:pPr>
      <w:bookmarkStart w:id="9" w:name="_Toc68703836"/>
      <w:r>
        <w:rPr>
          <w:rFonts w:hint="eastAsia" w:ascii="仿宋_GB2312" w:eastAsia="仿宋_GB2312"/>
          <w:b w:val="0"/>
          <w:bCs w:val="0"/>
        </w:rPr>
        <w:t>（二）评价结论</w:t>
      </w:r>
      <w:bookmarkEnd w:id="9"/>
    </w:p>
    <w:p>
      <w:pPr>
        <w:spacing w:line="360" w:lineRule="auto"/>
        <w:ind w:firstLine="600" w:firstLineChars="200"/>
        <w:rPr>
          <w:color w:val="auto"/>
        </w:rPr>
      </w:pPr>
      <w:r>
        <w:rPr>
          <w:rFonts w:hint="eastAsia"/>
          <w:color w:val="auto"/>
        </w:rPr>
        <w:t>本项目的项目决策、项目过程、项目产出、项目效益均达到了预期要求，最终得分为100分，项目达成年度指标。</w:t>
      </w:r>
    </w:p>
    <w:p>
      <w:pPr>
        <w:spacing w:line="360" w:lineRule="auto"/>
        <w:ind w:firstLine="600" w:firstLineChars="200"/>
        <w:rPr>
          <w:color w:val="FF0000"/>
        </w:rPr>
      </w:pPr>
    </w:p>
    <w:p>
      <w:pPr>
        <w:pStyle w:val="2"/>
        <w:spacing w:line="360" w:lineRule="auto"/>
        <w:rPr>
          <w:rFonts w:ascii="宋体" w:hAnsi="宋体" w:eastAsia="宋体"/>
          <w:sz w:val="32"/>
          <w:szCs w:val="32"/>
        </w:rPr>
      </w:pPr>
      <w:bookmarkStart w:id="10" w:name="_Toc68703837"/>
      <w:r>
        <w:rPr>
          <w:rFonts w:hint="eastAsia" w:ascii="宋体" w:hAnsi="宋体" w:eastAsia="宋体"/>
          <w:sz w:val="32"/>
          <w:szCs w:val="32"/>
        </w:rPr>
        <w:t>四、绩效评价指标分析</w:t>
      </w:r>
      <w:bookmarkEnd w:id="10"/>
    </w:p>
    <w:p>
      <w:pPr>
        <w:pStyle w:val="3"/>
        <w:spacing w:line="360" w:lineRule="auto"/>
        <w:rPr>
          <w:rFonts w:ascii="仿宋_GB2312" w:eastAsia="仿宋_GB2312"/>
          <w:b w:val="0"/>
          <w:bCs w:val="0"/>
        </w:rPr>
      </w:pPr>
      <w:bookmarkStart w:id="11" w:name="_Toc68703838"/>
      <w:r>
        <w:rPr>
          <w:rFonts w:hint="eastAsia" w:ascii="仿宋_GB2312" w:eastAsia="仿宋_GB2312"/>
          <w:b w:val="0"/>
          <w:bCs w:val="0"/>
        </w:rPr>
        <w:t>（一）项目决策情况。</w:t>
      </w:r>
      <w:bookmarkEnd w:id="11"/>
    </w:p>
    <w:p>
      <w:pPr>
        <w:spacing w:line="360" w:lineRule="auto"/>
      </w:pPr>
      <w:r>
        <w:rPr>
          <w:rFonts w:hint="eastAsia"/>
        </w:rPr>
        <w:t>1、立项依据充分性</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75" w:beforeAutospacing="0" w:after="75" w:afterAutospacing="0" w:line="360" w:lineRule="auto"/>
        <w:ind w:left="0" w:right="0" w:firstLine="0"/>
        <w:rPr>
          <w:rFonts w:hint="eastAsia" w:ascii="Times New Roman" w:hAnsi="Times New Roman" w:eastAsia="仿宋_GB2312" w:cs="Times New Roman"/>
          <w:color w:val="auto"/>
          <w:kern w:val="2"/>
          <w:sz w:val="30"/>
          <w:szCs w:val="24"/>
          <w:lang w:val="en-US" w:eastAsia="zh-CN" w:bidi="ar-SA"/>
        </w:rPr>
      </w:pPr>
      <w:r>
        <w:rPr>
          <w:rFonts w:hint="eastAsia" w:ascii="宋体" w:hAnsi="宋体" w:eastAsia="宋体" w:cs="宋体"/>
          <w:caps w:val="0"/>
          <w:color w:val="4A4A4A"/>
          <w:spacing w:val="0"/>
          <w:sz w:val="24"/>
          <w:szCs w:val="24"/>
          <w:shd w:val="clear" w:fill="FFFFFF"/>
        </w:rPr>
        <w:t>　</w:t>
      </w:r>
      <w:r>
        <w:rPr>
          <w:rFonts w:hint="eastAsia" w:ascii="Times New Roman" w:hAnsi="Times New Roman" w:eastAsia="仿宋_GB2312" w:cs="Times New Roman"/>
          <w:color w:val="auto"/>
          <w:kern w:val="2"/>
          <w:sz w:val="30"/>
          <w:szCs w:val="24"/>
          <w:lang w:val="en-US" w:eastAsia="zh-CN" w:bidi="ar-SA"/>
        </w:rPr>
        <w:t xml:space="preserve">  项目立项符合国家法律法规、国民经济发展规划和相关政策；项目立项符合行业发展规划和政策要求；与我单位的部门职责范围相符，属于部门履职所需；项目属于公共财政支持范围，符合中央、地方事权支出责任划分原则；项目未与相关部门同类项目或部门内部相关项目重复。。　</w:t>
      </w:r>
    </w:p>
    <w:p>
      <w:pPr>
        <w:numPr>
          <w:ilvl w:val="0"/>
          <w:numId w:val="0"/>
        </w:numPr>
        <w:spacing w:line="360" w:lineRule="auto"/>
        <w:rPr>
          <w:color w:val="auto"/>
        </w:rPr>
      </w:pPr>
      <w:r>
        <w:rPr>
          <w:rFonts w:hint="eastAsia"/>
          <w:color w:val="auto"/>
        </w:rPr>
        <w:t>2、立项程序规范性</w:t>
      </w:r>
    </w:p>
    <w:p>
      <w:pPr>
        <w:spacing w:line="360" w:lineRule="auto"/>
        <w:ind w:firstLine="600" w:firstLineChars="200"/>
        <w:rPr>
          <w:color w:val="auto"/>
        </w:rPr>
      </w:pPr>
      <w:r>
        <w:rPr>
          <w:rFonts w:hint="eastAsia"/>
          <w:color w:val="auto"/>
        </w:rPr>
        <w:t>项目按照规定的程序申请设立；审批文件、材料符合相关要求；</w:t>
      </w:r>
    </w:p>
    <w:p>
      <w:pPr>
        <w:spacing w:line="360" w:lineRule="auto"/>
        <w:rPr>
          <w:rFonts w:hint="eastAsia"/>
          <w:color w:val="auto"/>
        </w:rPr>
      </w:pPr>
      <w:r>
        <w:rPr>
          <w:rFonts w:hint="eastAsia"/>
          <w:color w:val="auto"/>
        </w:rPr>
        <w:t>事前</w:t>
      </w:r>
      <w:bookmarkStart w:id="21" w:name="_GoBack"/>
      <w:bookmarkEnd w:id="21"/>
      <w:r>
        <w:rPr>
          <w:rFonts w:hint="eastAsia"/>
          <w:color w:val="auto"/>
        </w:rPr>
        <w:t>已经过必要的可行性研究、专家论证、风险评估、绩效评估、集体决策。</w:t>
      </w:r>
    </w:p>
    <w:p>
      <w:pPr>
        <w:spacing w:line="360" w:lineRule="auto"/>
      </w:pPr>
      <w:r>
        <w:rPr>
          <w:rFonts w:hint="eastAsia"/>
        </w:rPr>
        <w:t>3、绩效目标合理性</w:t>
      </w:r>
    </w:p>
    <w:p>
      <w:pPr>
        <w:spacing w:line="360" w:lineRule="auto"/>
        <w:ind w:firstLine="600" w:firstLineChars="200"/>
        <w:rPr>
          <w:color w:val="auto"/>
        </w:rPr>
      </w:pPr>
      <w:r>
        <w:rPr>
          <w:rFonts w:hint="eastAsia"/>
          <w:color w:val="auto"/>
          <w:lang w:val="en-US" w:eastAsia="zh-CN"/>
        </w:rPr>
        <w:t>该</w:t>
      </w:r>
      <w:r>
        <w:rPr>
          <w:rFonts w:hint="eastAsia"/>
          <w:color w:val="auto"/>
        </w:rPr>
        <w:t>项目设立了项目绩效目标，与预算内容与项目内容匹配，预算额度测算依据均按国家广电总局制定的行业标准进行测算，经测定的项目投资额预算与工作任务相匹配，分配的资金按各发射机的功率和开机时间精确核定。</w:t>
      </w:r>
    </w:p>
    <w:p>
      <w:pPr>
        <w:spacing w:line="360" w:lineRule="auto"/>
        <w:rPr>
          <w:rFonts w:hint="eastAsia"/>
          <w:color w:val="auto"/>
        </w:rPr>
      </w:pPr>
      <w:r>
        <w:rPr>
          <w:rFonts w:hint="eastAsia"/>
        </w:rPr>
        <w:t>4、绩效指标明确性</w:t>
      </w:r>
      <w:bookmarkStart w:id="12" w:name="_Hlk68699917"/>
    </w:p>
    <w:p>
      <w:pPr>
        <w:spacing w:line="360" w:lineRule="auto"/>
        <w:ind w:firstLine="600" w:firstLineChars="200"/>
        <w:rPr>
          <w:color w:val="auto"/>
        </w:rPr>
      </w:pPr>
      <w:r>
        <w:rPr>
          <w:rFonts w:hint="eastAsia"/>
          <w:color w:val="auto"/>
          <w:lang w:val="en-US" w:eastAsia="zh-CN"/>
        </w:rPr>
        <w:t>自治区无线覆盖</w:t>
      </w:r>
      <w:r>
        <w:rPr>
          <w:rFonts w:hint="eastAsia"/>
          <w:color w:val="auto"/>
        </w:rPr>
        <w:t>项目将项目绩效目标细化分解为具体的绩效指标，一级指标共</w:t>
      </w:r>
      <w:r>
        <w:rPr>
          <w:rFonts w:hint="eastAsia"/>
          <w:color w:val="auto"/>
          <w:lang w:val="en-US" w:eastAsia="zh-CN"/>
        </w:rPr>
        <w:t>3</w:t>
      </w:r>
      <w:r>
        <w:rPr>
          <w:rFonts w:hint="eastAsia"/>
          <w:color w:val="auto"/>
        </w:rPr>
        <w:t>条，二级指标共</w:t>
      </w:r>
      <w:r>
        <w:rPr>
          <w:rFonts w:hint="eastAsia"/>
          <w:color w:val="auto"/>
          <w:lang w:val="en-US" w:eastAsia="zh-CN"/>
        </w:rPr>
        <w:t>7</w:t>
      </w:r>
      <w:r>
        <w:rPr>
          <w:rFonts w:hint="eastAsia"/>
          <w:color w:val="auto"/>
        </w:rPr>
        <w:t>条，三级指标共</w:t>
      </w:r>
      <w:r>
        <w:rPr>
          <w:rFonts w:hint="eastAsia"/>
          <w:color w:val="auto"/>
          <w:lang w:val="en-US" w:eastAsia="zh-CN"/>
        </w:rPr>
        <w:t>11</w:t>
      </w:r>
      <w:r>
        <w:rPr>
          <w:rFonts w:hint="eastAsia"/>
          <w:color w:val="auto"/>
        </w:rPr>
        <w:t>条，其中量化指标条数共</w:t>
      </w:r>
      <w:r>
        <w:rPr>
          <w:rFonts w:hint="eastAsia"/>
          <w:color w:val="auto"/>
          <w:lang w:val="en-US" w:eastAsia="zh-CN"/>
        </w:rPr>
        <w:t>9</w:t>
      </w:r>
      <w:r>
        <w:rPr>
          <w:rFonts w:hint="eastAsia"/>
          <w:color w:val="auto"/>
        </w:rPr>
        <w:t>条，所有绩效指标均通过清晰、可衡量的指标值予以体现，并且做到了与项目目标任务数或计划数相对应。</w:t>
      </w:r>
      <w:bookmarkEnd w:id="12"/>
    </w:p>
    <w:p>
      <w:pPr>
        <w:spacing w:line="360" w:lineRule="auto"/>
      </w:pPr>
      <w:r>
        <w:rPr>
          <w:rFonts w:hint="eastAsia"/>
        </w:rPr>
        <w:t>5、预算编制科学性</w:t>
      </w:r>
    </w:p>
    <w:p>
      <w:pPr>
        <w:spacing w:line="360" w:lineRule="auto"/>
        <w:ind w:firstLine="600" w:firstLineChars="200"/>
        <w:rPr>
          <w:color w:val="auto"/>
        </w:rPr>
      </w:pPr>
      <w:r>
        <w:rPr>
          <w:rFonts w:hint="eastAsia"/>
          <w:color w:val="auto"/>
        </w:rPr>
        <w:t>预算编制经过科学论证；预算内容与项目内容匹配；预算额度测算依据充分，按照标准编制；预算确定的项目资金量与工作任务相匹配。</w:t>
      </w:r>
    </w:p>
    <w:p>
      <w:pPr>
        <w:spacing w:line="360" w:lineRule="auto"/>
      </w:pPr>
      <w:r>
        <w:rPr>
          <w:rFonts w:hint="eastAsia"/>
        </w:rPr>
        <w:t>6、资金分配合理性</w:t>
      </w:r>
    </w:p>
    <w:p>
      <w:pPr>
        <w:spacing w:line="360" w:lineRule="auto"/>
        <w:ind w:firstLine="600" w:firstLineChars="200"/>
        <w:rPr>
          <w:color w:val="auto"/>
        </w:rPr>
      </w:pPr>
      <w:r>
        <w:rPr>
          <w:rFonts w:hint="eastAsia"/>
          <w:color w:val="auto"/>
        </w:rPr>
        <w:t>预算资金分配依据充分；资金分配额度合理，与项目单位或地方实际相适应。</w:t>
      </w:r>
    </w:p>
    <w:p>
      <w:pPr>
        <w:pStyle w:val="3"/>
        <w:spacing w:line="360" w:lineRule="auto"/>
        <w:rPr>
          <w:rFonts w:ascii="仿宋_GB2312" w:eastAsia="仿宋_GB2312"/>
          <w:b w:val="0"/>
          <w:bCs w:val="0"/>
        </w:rPr>
      </w:pPr>
      <w:bookmarkStart w:id="13" w:name="_Toc68703839"/>
      <w:r>
        <w:rPr>
          <w:rFonts w:hint="eastAsia" w:ascii="仿宋_GB2312" w:eastAsia="仿宋_GB2312"/>
          <w:b w:val="0"/>
          <w:bCs w:val="0"/>
        </w:rPr>
        <w:t>（二）项目过程情况。</w:t>
      </w:r>
      <w:bookmarkEnd w:id="13"/>
    </w:p>
    <w:p>
      <w:pPr>
        <w:spacing w:line="360" w:lineRule="auto"/>
      </w:pPr>
      <w:r>
        <w:rPr>
          <w:rFonts w:hint="eastAsia"/>
        </w:rPr>
        <w:t>1、资金到位率：</w:t>
      </w:r>
    </w:p>
    <w:p>
      <w:pPr>
        <w:spacing w:line="360" w:lineRule="auto"/>
        <w:ind w:firstLine="600" w:firstLineChars="200"/>
        <w:rPr>
          <w:color w:val="auto"/>
        </w:rPr>
      </w:pPr>
      <w:r>
        <w:rPr>
          <w:rFonts w:hint="eastAsia"/>
          <w:color w:val="auto"/>
        </w:rPr>
        <w:t>预算资金</w:t>
      </w:r>
      <w:r>
        <w:rPr>
          <w:rFonts w:hint="eastAsia"/>
          <w:color w:val="auto"/>
          <w:lang w:val="en-US" w:eastAsia="zh-CN"/>
        </w:rPr>
        <w:t>36</w:t>
      </w:r>
      <w:r>
        <w:rPr>
          <w:rFonts w:hint="eastAsia"/>
          <w:color w:val="auto"/>
        </w:rPr>
        <w:t>万元，实际到位资金</w:t>
      </w:r>
      <w:r>
        <w:rPr>
          <w:rFonts w:hint="eastAsia"/>
          <w:color w:val="auto"/>
          <w:lang w:val="en-US" w:eastAsia="zh-CN"/>
        </w:rPr>
        <w:t>36</w:t>
      </w:r>
      <w:r>
        <w:rPr>
          <w:rFonts w:hint="eastAsia"/>
          <w:color w:val="auto"/>
        </w:rPr>
        <w:t>万元，资金到位率</w:t>
      </w:r>
      <w:r>
        <w:rPr>
          <w:rFonts w:hint="eastAsia"/>
          <w:color w:val="auto"/>
          <w:lang w:val="en-US" w:eastAsia="zh-CN"/>
        </w:rPr>
        <w:t>100.00</w:t>
      </w:r>
      <w:r>
        <w:rPr>
          <w:rFonts w:hint="eastAsia"/>
          <w:color w:val="auto"/>
        </w:rPr>
        <w:t>%。</w:t>
      </w:r>
    </w:p>
    <w:p>
      <w:pPr>
        <w:spacing w:line="360" w:lineRule="auto"/>
      </w:pPr>
      <w:r>
        <w:rPr>
          <w:rFonts w:hint="eastAsia"/>
        </w:rPr>
        <w:t>2、预算执行率</w:t>
      </w:r>
    </w:p>
    <w:p>
      <w:pPr>
        <w:spacing w:line="360" w:lineRule="auto"/>
        <w:ind w:firstLine="600" w:firstLineChars="200"/>
        <w:rPr>
          <w:rFonts w:hint="eastAsia" w:eastAsia="仿宋_GB2312"/>
          <w:color w:val="auto"/>
          <w:lang w:eastAsia="zh-CN"/>
        </w:rPr>
      </w:pPr>
      <w:r>
        <w:rPr>
          <w:rFonts w:hint="eastAsia"/>
          <w:color w:val="auto"/>
        </w:rPr>
        <w:t>年初预算数</w:t>
      </w:r>
      <w:r>
        <w:rPr>
          <w:rFonts w:hint="eastAsia"/>
          <w:color w:val="auto"/>
          <w:lang w:val="en-US" w:eastAsia="zh-CN"/>
        </w:rPr>
        <w:t>36</w:t>
      </w:r>
      <w:r>
        <w:rPr>
          <w:rFonts w:hint="eastAsia"/>
          <w:color w:val="auto"/>
        </w:rPr>
        <w:t>万元，全年预算数</w:t>
      </w:r>
      <w:r>
        <w:rPr>
          <w:rFonts w:hint="eastAsia"/>
          <w:color w:val="auto"/>
          <w:lang w:val="en-US" w:eastAsia="zh-CN"/>
        </w:rPr>
        <w:t>36</w:t>
      </w:r>
      <w:r>
        <w:rPr>
          <w:rFonts w:hint="eastAsia"/>
          <w:color w:val="auto"/>
        </w:rPr>
        <w:t>万元，全年执行数</w:t>
      </w:r>
      <w:r>
        <w:rPr>
          <w:rFonts w:hint="eastAsia"/>
          <w:color w:val="auto"/>
          <w:lang w:val="en-US" w:eastAsia="zh-CN"/>
        </w:rPr>
        <w:t>36</w:t>
      </w:r>
      <w:r>
        <w:rPr>
          <w:rFonts w:hint="eastAsia"/>
          <w:color w:val="auto"/>
        </w:rPr>
        <w:t>万元，预算执行率为</w:t>
      </w:r>
      <w:r>
        <w:rPr>
          <w:rFonts w:hint="eastAsia"/>
          <w:color w:val="auto"/>
          <w:lang w:val="en-US" w:eastAsia="zh-CN"/>
        </w:rPr>
        <w:t>100.00</w:t>
      </w:r>
      <w:r>
        <w:rPr>
          <w:rFonts w:hint="eastAsia"/>
          <w:color w:val="auto"/>
        </w:rPr>
        <w:t>%</w:t>
      </w:r>
      <w:r>
        <w:rPr>
          <w:rFonts w:hint="eastAsia"/>
          <w:color w:val="auto"/>
          <w:lang w:eastAsia="zh-CN"/>
        </w:rPr>
        <w:t>。</w:t>
      </w:r>
    </w:p>
    <w:p>
      <w:pPr>
        <w:spacing w:line="360" w:lineRule="auto"/>
      </w:pPr>
      <w:r>
        <w:rPr>
          <w:rFonts w:hint="eastAsia"/>
        </w:rPr>
        <w:t>3、资金使用合规性</w:t>
      </w:r>
    </w:p>
    <w:p>
      <w:pPr>
        <w:spacing w:line="360" w:lineRule="auto"/>
        <w:ind w:firstLine="600" w:firstLineChars="200"/>
        <w:rPr>
          <w:color w:val="auto"/>
        </w:rPr>
      </w:pPr>
      <w:r>
        <w:rPr>
          <w:rFonts w:hint="eastAsia"/>
          <w:color w:val="auto"/>
        </w:rPr>
        <w:t>符合国家财经法规和财务管理制度以及有关专项资金管理办法的规定；资金的拨付有完整的审批程序和手续；符合项目预算批复或合同规定的用途；</w:t>
      </w:r>
      <w:r>
        <w:rPr>
          <w:rFonts w:hint="eastAsia"/>
          <w:color w:val="auto"/>
          <w:lang w:val="en-US" w:eastAsia="zh-CN"/>
        </w:rPr>
        <w:t>不</w:t>
      </w:r>
      <w:r>
        <w:rPr>
          <w:rFonts w:hint="eastAsia"/>
          <w:color w:val="auto"/>
        </w:rPr>
        <w:t>存在截留、挤占、挪用、虚列支出等情况。</w:t>
      </w:r>
    </w:p>
    <w:p>
      <w:pPr>
        <w:spacing w:line="360" w:lineRule="auto"/>
        <w:rPr>
          <w:color w:val="auto"/>
        </w:rPr>
      </w:pPr>
      <w:r>
        <w:rPr>
          <w:rFonts w:hint="eastAsia"/>
          <w:color w:val="auto"/>
        </w:rPr>
        <w:t>4、管理制度健全性</w:t>
      </w:r>
    </w:p>
    <w:p>
      <w:pPr>
        <w:spacing w:line="360" w:lineRule="auto"/>
        <w:ind w:firstLine="600" w:firstLineChars="200"/>
        <w:rPr>
          <w:color w:val="auto"/>
        </w:rPr>
      </w:pPr>
      <w:r>
        <w:rPr>
          <w:rFonts w:hint="eastAsia"/>
          <w:color w:val="auto"/>
        </w:rPr>
        <w:t>已制定或具有相应的财务和业务管理制度；财务和业务管理制度是合法、合规、完整</w:t>
      </w:r>
      <w:r>
        <w:rPr>
          <w:rFonts w:hint="eastAsia"/>
          <w:color w:val="auto"/>
          <w:lang w:val="en-US" w:eastAsia="zh-CN"/>
        </w:rPr>
        <w:t>的</w:t>
      </w:r>
      <w:r>
        <w:rPr>
          <w:rFonts w:hint="eastAsia"/>
          <w:color w:val="auto"/>
        </w:rPr>
        <w:t>。</w:t>
      </w:r>
    </w:p>
    <w:p>
      <w:pPr>
        <w:spacing w:line="360" w:lineRule="auto"/>
      </w:pPr>
      <w:r>
        <w:rPr>
          <w:rFonts w:hint="eastAsia"/>
        </w:rPr>
        <w:t>5、制度执行有效性</w:t>
      </w:r>
    </w:p>
    <w:p>
      <w:pPr>
        <w:spacing w:line="360" w:lineRule="auto"/>
        <w:ind w:firstLine="600" w:firstLineChars="200"/>
        <w:rPr>
          <w:color w:val="auto"/>
        </w:rPr>
      </w:pPr>
      <w:r>
        <w:rPr>
          <w:rFonts w:hint="eastAsia"/>
          <w:color w:val="auto"/>
        </w:rPr>
        <w:t>遵守相关法律法规和相关管理规定；项目调整及支出调整手续完备；项目合同书、验收报告、技术鉴定等资料齐全并及时归档；项目实施的人员条件、场地设备、信息支撑等落实到位。</w:t>
      </w:r>
    </w:p>
    <w:p>
      <w:pPr>
        <w:pStyle w:val="3"/>
        <w:spacing w:line="360" w:lineRule="auto"/>
        <w:rPr>
          <w:rFonts w:ascii="仿宋_GB2312" w:eastAsia="仿宋_GB2312"/>
          <w:b w:val="0"/>
          <w:bCs w:val="0"/>
        </w:rPr>
      </w:pPr>
      <w:bookmarkStart w:id="14" w:name="_Toc68703840"/>
      <w:r>
        <w:rPr>
          <w:rFonts w:hint="eastAsia" w:ascii="仿宋_GB2312" w:eastAsia="仿宋_GB2312"/>
          <w:b w:val="0"/>
          <w:bCs w:val="0"/>
        </w:rPr>
        <w:t>（三）项目产出情况。</w:t>
      </w:r>
      <w:bookmarkEnd w:id="14"/>
    </w:p>
    <w:p>
      <w:pPr>
        <w:spacing w:line="360" w:lineRule="auto"/>
        <w:ind w:firstLine="600" w:firstLineChars="200"/>
        <w:rPr>
          <w:color w:val="auto"/>
        </w:rPr>
      </w:pPr>
      <w:r>
        <w:rPr>
          <w:rFonts w:hint="eastAsia"/>
          <w:color w:val="auto"/>
        </w:rPr>
        <w:t>1、数量指标：指标1：发射机数量，指标值：≥3部，实际完成值3部，指标完成率</w:t>
      </w:r>
      <w:r>
        <w:rPr>
          <w:rFonts w:hint="eastAsia"/>
          <w:color w:val="auto"/>
          <w:lang w:val="en-US" w:eastAsia="zh-CN"/>
        </w:rPr>
        <w:t>100</w:t>
      </w:r>
      <w:r>
        <w:rPr>
          <w:color w:val="auto"/>
        </w:rPr>
        <w:t xml:space="preserve"> </w:t>
      </w:r>
      <w:r>
        <w:rPr>
          <w:rFonts w:hint="eastAsia"/>
          <w:color w:val="auto"/>
        </w:rPr>
        <w:t>%；指标2：无线覆盖免费收听自治区广播节目数量，指标值：≥5套，实际完成值5套</w:t>
      </w:r>
      <w:r>
        <w:rPr>
          <w:color w:val="auto"/>
        </w:rPr>
        <w:t xml:space="preserve"> </w:t>
      </w:r>
      <w:r>
        <w:rPr>
          <w:rFonts w:hint="eastAsia"/>
          <w:color w:val="auto"/>
        </w:rPr>
        <w:t>，指标完成率</w:t>
      </w:r>
      <w:r>
        <w:rPr>
          <w:rFonts w:hint="eastAsia"/>
          <w:color w:val="auto"/>
          <w:lang w:val="en-US" w:eastAsia="zh-CN"/>
        </w:rPr>
        <w:t>100</w:t>
      </w:r>
      <w:r>
        <w:rPr>
          <w:rFonts w:hint="eastAsia"/>
          <w:color w:val="auto"/>
        </w:rPr>
        <w:t>%。</w:t>
      </w:r>
    </w:p>
    <w:p>
      <w:pPr>
        <w:spacing w:line="360" w:lineRule="auto"/>
        <w:ind w:firstLine="600" w:firstLineChars="200"/>
        <w:rPr>
          <w:color w:val="auto"/>
        </w:rPr>
      </w:pPr>
      <w:r>
        <w:rPr>
          <w:color w:val="auto"/>
        </w:rPr>
        <w:t>2</w:t>
      </w:r>
      <w:r>
        <w:rPr>
          <w:rFonts w:hint="eastAsia"/>
          <w:color w:val="auto"/>
        </w:rPr>
        <w:t>、质量指标：指标1：发射机满功率播出率，指标值：≥95%，实际完成值95%，指标完成率</w:t>
      </w:r>
      <w:r>
        <w:rPr>
          <w:rFonts w:hint="eastAsia"/>
          <w:color w:val="auto"/>
          <w:lang w:val="en-US" w:eastAsia="zh-CN"/>
        </w:rPr>
        <w:t>100</w:t>
      </w:r>
      <w:r>
        <w:rPr>
          <w:rFonts w:hint="eastAsia"/>
          <w:color w:val="auto"/>
        </w:rPr>
        <w:t>%；指标2：发射机满调制播出率，指标值：≥95%，实际完成值95%，指标完成率</w:t>
      </w:r>
      <w:r>
        <w:rPr>
          <w:rFonts w:hint="eastAsia"/>
          <w:color w:val="auto"/>
          <w:lang w:val="en-US" w:eastAsia="zh-CN"/>
        </w:rPr>
        <w:t>100</w:t>
      </w:r>
      <w:r>
        <w:rPr>
          <w:color w:val="auto"/>
        </w:rPr>
        <w:t xml:space="preserve"> </w:t>
      </w:r>
      <w:r>
        <w:rPr>
          <w:rFonts w:hint="eastAsia"/>
          <w:color w:val="auto"/>
        </w:rPr>
        <w:t>%</w:t>
      </w:r>
      <w:r>
        <w:rPr>
          <w:rFonts w:hint="eastAsia"/>
          <w:color w:val="auto"/>
          <w:lang w:val="en-US" w:eastAsia="zh-CN"/>
        </w:rPr>
        <w:t>;指标3：发射机满时间播出，</w:t>
      </w:r>
      <w:r>
        <w:rPr>
          <w:rFonts w:hint="eastAsia"/>
          <w:color w:val="auto"/>
        </w:rPr>
        <w:t>指标值：≥9</w:t>
      </w:r>
      <w:r>
        <w:rPr>
          <w:rFonts w:hint="eastAsia"/>
          <w:color w:val="auto"/>
          <w:lang w:val="en-US" w:eastAsia="zh-CN"/>
        </w:rPr>
        <w:t>9</w:t>
      </w:r>
      <w:r>
        <w:rPr>
          <w:rFonts w:hint="eastAsia"/>
          <w:color w:val="auto"/>
        </w:rPr>
        <w:t>%，实际完成值9</w:t>
      </w:r>
      <w:r>
        <w:rPr>
          <w:rFonts w:hint="eastAsia"/>
          <w:color w:val="auto"/>
          <w:lang w:val="en-US" w:eastAsia="zh-CN"/>
        </w:rPr>
        <w:t>9</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r>
        <w:rPr>
          <w:rFonts w:hint="eastAsia"/>
          <w:color w:val="auto"/>
          <w:lang w:val="en-US" w:eastAsia="zh-CN"/>
        </w:rPr>
        <w:t>;指标4：发射机及附属设备设施完好率，</w:t>
      </w:r>
      <w:r>
        <w:rPr>
          <w:rFonts w:hint="eastAsia"/>
          <w:color w:val="auto"/>
        </w:rPr>
        <w:t>指标值：≥9</w:t>
      </w:r>
      <w:r>
        <w:rPr>
          <w:rFonts w:hint="eastAsia"/>
          <w:color w:val="auto"/>
          <w:lang w:val="en-US" w:eastAsia="zh-CN"/>
        </w:rPr>
        <w:t>5</w:t>
      </w:r>
      <w:r>
        <w:rPr>
          <w:rFonts w:hint="eastAsia"/>
          <w:color w:val="auto"/>
        </w:rPr>
        <w:t>%，实际完成值</w:t>
      </w:r>
      <w:r>
        <w:rPr>
          <w:rFonts w:hint="eastAsia"/>
          <w:color w:val="auto"/>
          <w:lang w:val="en-US" w:eastAsia="zh-CN"/>
        </w:rPr>
        <w:t>95</w:t>
      </w:r>
      <w:r>
        <w:rPr>
          <w:rFonts w:hint="eastAsia"/>
          <w:color w:val="auto"/>
        </w:rPr>
        <w:t>%，指标完成率</w:t>
      </w:r>
      <w:r>
        <w:rPr>
          <w:rFonts w:hint="eastAsia"/>
          <w:color w:val="auto"/>
          <w:lang w:val="en-US" w:eastAsia="zh-CN"/>
        </w:rPr>
        <w:t>100</w:t>
      </w:r>
      <w:r>
        <w:rPr>
          <w:color w:val="auto"/>
        </w:rPr>
        <w:t xml:space="preserve"> </w:t>
      </w:r>
      <w:r>
        <w:rPr>
          <w:rFonts w:hint="eastAsia"/>
          <w:color w:val="auto"/>
        </w:rPr>
        <w:t>%。</w:t>
      </w:r>
    </w:p>
    <w:p>
      <w:pPr>
        <w:spacing w:line="360" w:lineRule="auto"/>
        <w:ind w:firstLine="600" w:firstLineChars="200"/>
        <w:rPr>
          <w:rFonts w:hint="eastAsia" w:eastAsia="仿宋_GB2312"/>
          <w:color w:val="auto"/>
          <w:lang w:eastAsia="zh-CN"/>
        </w:rPr>
      </w:pPr>
      <w:r>
        <w:rPr>
          <w:rFonts w:hint="eastAsia"/>
          <w:color w:val="auto"/>
        </w:rPr>
        <w:t>3、时效指标：指标1：系统运行维护响应时间，指标值：≤72小时，实际完成值</w:t>
      </w:r>
      <w:r>
        <w:rPr>
          <w:rFonts w:hint="eastAsia"/>
          <w:color w:val="auto"/>
          <w:lang w:val="en-US" w:eastAsia="zh-CN"/>
        </w:rPr>
        <w:t>48</w:t>
      </w:r>
      <w:r>
        <w:rPr>
          <w:rFonts w:hint="eastAsia"/>
          <w:color w:val="auto"/>
        </w:rPr>
        <w:t>小时，指标完成率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eastAsia="仿宋_GB2312"/>
          <w:color w:val="auto"/>
          <w:lang w:val="en-US" w:eastAsia="zh-CN"/>
        </w:rPr>
      </w:pPr>
      <w:r>
        <w:rPr>
          <w:rFonts w:hint="eastAsia"/>
          <w:color w:val="auto"/>
        </w:rPr>
        <w:t>4、成本指标</w:t>
      </w:r>
      <w:r>
        <w:rPr>
          <w:rFonts w:hint="eastAsia"/>
          <w:color w:val="auto"/>
          <w:lang w:eastAsia="zh-CN"/>
        </w:rPr>
        <w:t>：</w:t>
      </w:r>
      <w:r>
        <w:rPr>
          <w:rFonts w:hint="eastAsia"/>
          <w:color w:val="auto"/>
        </w:rPr>
        <w:t>指标1：年度维护成本增长率，指标值：</w:t>
      </w:r>
      <w:r>
        <w:rPr>
          <w:rFonts w:hint="eastAsia"/>
          <w:color w:val="auto"/>
          <w:lang w:val="en-US" w:eastAsia="zh-CN"/>
        </w:rPr>
        <w:t>≤</w:t>
      </w:r>
      <w:r>
        <w:rPr>
          <w:rFonts w:hint="eastAsia"/>
          <w:color w:val="auto"/>
        </w:rPr>
        <w:t>5%，实际完成值</w:t>
      </w:r>
      <w:r>
        <w:rPr>
          <w:rFonts w:hint="eastAsia"/>
          <w:color w:val="auto"/>
          <w:lang w:val="en-US" w:eastAsia="zh-CN"/>
        </w:rPr>
        <w:t>3</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pStyle w:val="3"/>
        <w:spacing w:line="360" w:lineRule="auto"/>
        <w:rPr>
          <w:rFonts w:ascii="仿宋_GB2312" w:eastAsia="仿宋_GB2312"/>
          <w:b w:val="0"/>
          <w:bCs w:val="0"/>
        </w:rPr>
      </w:pPr>
      <w:bookmarkStart w:id="15" w:name="_Toc68703841"/>
      <w:r>
        <w:rPr>
          <w:rFonts w:hint="eastAsia" w:ascii="仿宋_GB2312" w:eastAsia="仿宋_GB2312"/>
          <w:b w:val="0"/>
          <w:bCs w:val="0"/>
        </w:rPr>
        <w:t>（四）项目效益情况。</w:t>
      </w:r>
      <w:bookmarkEnd w:id="15"/>
    </w:p>
    <w:p>
      <w:pPr>
        <w:spacing w:line="360" w:lineRule="auto"/>
        <w:ind w:firstLine="600" w:firstLineChars="200"/>
        <w:rPr>
          <w:color w:val="auto"/>
        </w:rPr>
      </w:pPr>
      <w:r>
        <w:rPr>
          <w:color w:val="auto"/>
        </w:rPr>
        <w:t>1</w:t>
      </w:r>
      <w:r>
        <w:rPr>
          <w:rFonts w:hint="eastAsia"/>
          <w:color w:val="auto"/>
        </w:rPr>
        <w:t>、社会效益指标：指标1：为农村地区广播电视基本公共服务提供无线传输保障，指标值：逐步提升，实际完成值逐步提升，指标完成率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color w:val="auto"/>
        </w:rPr>
      </w:pPr>
      <w:r>
        <w:rPr>
          <w:rFonts w:hint="eastAsia"/>
          <w:color w:val="auto"/>
          <w:lang w:val="en-US" w:eastAsia="zh-CN"/>
        </w:rPr>
        <w:t>2、</w:t>
      </w:r>
      <w:r>
        <w:rPr>
          <w:rFonts w:hint="eastAsia"/>
          <w:color w:val="auto"/>
        </w:rPr>
        <w:t>可持续影响指标：指标1：我县广大农村各族群众能够持续收听收看到中央和自治区广播电视节目，指标值：长期坚持，实际完成值长期坚持，指标完成率</w:t>
      </w:r>
      <w:r>
        <w:rPr>
          <w:rFonts w:hint="eastAsia"/>
          <w:color w:val="auto"/>
          <w:lang w:val="en-US" w:eastAsia="zh-CN"/>
        </w:rPr>
        <w:t>100</w:t>
      </w:r>
      <w:r>
        <w:rPr>
          <w:rFonts w:hint="eastAsia"/>
          <w:color w:val="auto"/>
        </w:rPr>
        <w:t>%</w:t>
      </w:r>
      <w:r>
        <w:rPr>
          <w:rFonts w:hint="eastAsia"/>
          <w:color w:val="auto"/>
          <w:lang w:eastAsia="zh-CN"/>
        </w:rPr>
        <w:t>。</w:t>
      </w:r>
    </w:p>
    <w:p>
      <w:pPr>
        <w:spacing w:line="360" w:lineRule="auto"/>
        <w:ind w:firstLine="600" w:firstLineChars="200"/>
        <w:rPr>
          <w:rFonts w:hint="eastAsia"/>
          <w:color w:val="auto"/>
        </w:rPr>
      </w:pPr>
      <w:r>
        <w:rPr>
          <w:rFonts w:hint="eastAsia"/>
          <w:color w:val="auto"/>
          <w:lang w:val="en-US" w:eastAsia="zh-CN"/>
        </w:rPr>
        <w:t>3</w:t>
      </w:r>
      <w:r>
        <w:rPr>
          <w:rFonts w:hint="eastAsia"/>
          <w:color w:val="auto"/>
        </w:rPr>
        <w:t>、满意度指标：指标1：群众满意度，指标值：≥95%，实际完成值9</w:t>
      </w:r>
      <w:r>
        <w:rPr>
          <w:rFonts w:hint="eastAsia"/>
          <w:color w:val="auto"/>
          <w:lang w:val="en-US" w:eastAsia="zh-CN"/>
        </w:rPr>
        <w:t>5</w:t>
      </w:r>
      <w:r>
        <w:rPr>
          <w:rFonts w:hint="eastAsia"/>
          <w:color w:val="auto"/>
        </w:rPr>
        <w:t>%，指标完成率</w:t>
      </w:r>
      <w:r>
        <w:rPr>
          <w:rFonts w:hint="eastAsia"/>
          <w:color w:val="auto"/>
          <w:lang w:val="en-US" w:eastAsia="zh-CN"/>
        </w:rPr>
        <w:t>100</w:t>
      </w:r>
      <w:r>
        <w:rPr>
          <w:rFonts w:hint="eastAsia"/>
          <w:color w:val="auto"/>
        </w:rPr>
        <w:t>%</w:t>
      </w:r>
      <w:r>
        <w:rPr>
          <w:rFonts w:hint="eastAsia"/>
          <w:color w:val="auto"/>
          <w:lang w:eastAsia="zh-CN"/>
        </w:rPr>
        <w:t>。</w:t>
      </w:r>
    </w:p>
    <w:p>
      <w:pPr>
        <w:numPr>
          <w:ilvl w:val="0"/>
          <w:numId w:val="4"/>
        </w:numPr>
        <w:spacing w:line="360" w:lineRule="auto"/>
        <w:rPr>
          <w:rFonts w:hint="eastAsia" w:ascii="宋体" w:hAnsi="宋体" w:eastAsia="宋体"/>
          <w:sz w:val="32"/>
          <w:szCs w:val="32"/>
        </w:rPr>
      </w:pPr>
      <w:bookmarkStart w:id="16" w:name="_Toc68703842"/>
      <w:r>
        <w:rPr>
          <w:rFonts w:hint="eastAsia" w:ascii="宋体" w:hAnsi="宋体" w:eastAsia="宋体"/>
          <w:sz w:val="32"/>
          <w:szCs w:val="32"/>
        </w:rPr>
        <w:t>主要经验及做法、存在的问题及原因分析</w:t>
      </w:r>
      <w:bookmarkEnd w:id="16"/>
      <w:bookmarkStart w:id="17" w:name="_Toc68703843"/>
    </w:p>
    <w:p>
      <w:pPr>
        <w:numPr>
          <w:ilvl w:val="0"/>
          <w:numId w:val="0"/>
        </w:numPr>
        <w:spacing w:line="360" w:lineRule="auto"/>
        <w:ind w:firstLine="300" w:firstLineChars="100"/>
        <w:rPr>
          <w:rFonts w:hint="eastAsia" w:ascii="仿宋_GB2312" w:eastAsia="仿宋_GB2312"/>
          <w:b w:val="0"/>
          <w:bCs w:val="0"/>
        </w:rPr>
      </w:pPr>
      <w:r>
        <w:rPr>
          <w:rFonts w:hint="eastAsia" w:ascii="仿宋_GB2312" w:eastAsia="仿宋_GB2312"/>
          <w:b w:val="0"/>
          <w:bCs w:val="0"/>
        </w:rPr>
        <w:t>（一）主要经验及做法</w:t>
      </w:r>
      <w:bookmarkEnd w:id="17"/>
      <w:bookmarkStart w:id="18" w:name="_Toc68703844"/>
    </w:p>
    <w:p>
      <w:pPr>
        <w:numPr>
          <w:ilvl w:val="0"/>
          <w:numId w:val="0"/>
        </w:numPr>
        <w:spacing w:line="360" w:lineRule="auto"/>
        <w:ind w:firstLine="600" w:firstLineChars="200"/>
        <w:rPr>
          <w:rFonts w:hint="eastAsia" w:ascii="仿宋_GB2312" w:eastAsia="仿宋_GB2312"/>
          <w:b w:val="0"/>
          <w:bCs w:val="0"/>
        </w:rPr>
      </w:pPr>
      <w:r>
        <w:rPr>
          <w:rFonts w:hint="eastAsia" w:ascii="仿宋_GB2312" w:eastAsia="仿宋_GB2312"/>
          <w:b w:val="0"/>
          <w:bCs w:val="0"/>
          <w:lang w:val="en-US" w:eastAsia="zh-CN"/>
        </w:rPr>
        <w:t>1.</w:t>
      </w:r>
      <w:r>
        <w:rPr>
          <w:rFonts w:hint="eastAsia" w:ascii="仿宋_GB2312" w:eastAsia="仿宋_GB2312"/>
          <w:b w:val="0"/>
          <w:bCs w:val="0"/>
        </w:rPr>
        <w:t>逐步扩大绩效管理范围。加强在绩效目标管理、绩效监控、绩效评价等事前、事中、事后各阶段对</w:t>
      </w:r>
      <w:r>
        <w:rPr>
          <w:rFonts w:hint="eastAsia" w:ascii="仿宋_GB2312" w:eastAsia="仿宋_GB2312"/>
          <w:b w:val="0"/>
          <w:bCs w:val="0"/>
          <w:lang w:val="en-US" w:eastAsia="zh-CN"/>
        </w:rPr>
        <w:t>项目</w:t>
      </w:r>
      <w:r>
        <w:rPr>
          <w:rFonts w:hint="eastAsia" w:ascii="仿宋_GB2312" w:eastAsia="仿宋_GB2312"/>
          <w:b w:val="0"/>
          <w:bCs w:val="0"/>
        </w:rPr>
        <w:t>的预算绩效管理。</w:t>
      </w:r>
    </w:p>
    <w:p>
      <w:pPr>
        <w:numPr>
          <w:ilvl w:val="0"/>
          <w:numId w:val="0"/>
        </w:numPr>
        <w:spacing w:line="360" w:lineRule="auto"/>
        <w:ind w:firstLine="600" w:firstLineChars="200"/>
        <w:rPr>
          <w:rFonts w:hint="eastAsia" w:ascii="仿宋_GB2312" w:eastAsia="仿宋_GB2312"/>
          <w:b w:val="0"/>
          <w:bCs w:val="0"/>
        </w:rPr>
      </w:pPr>
      <w:r>
        <w:rPr>
          <w:rFonts w:hint="eastAsia" w:ascii="仿宋_GB2312" w:eastAsia="仿宋_GB2312"/>
          <w:b w:val="0"/>
          <w:bCs w:val="0"/>
          <w:lang w:val="en-US" w:eastAsia="zh-CN"/>
        </w:rPr>
        <w:t>2.</w:t>
      </w:r>
      <w:r>
        <w:rPr>
          <w:rFonts w:hint="eastAsia" w:ascii="仿宋_GB2312" w:eastAsia="仿宋_GB2312"/>
          <w:b w:val="0"/>
          <w:bCs w:val="0"/>
        </w:rPr>
        <w:t>加强评价指标体系建设。一是汇总梳理以前年度制定的指标，将符合当前预算绩效管理要求和行业管理特点的个性指标汇编成库；二是组织人员搜集整理</w:t>
      </w:r>
      <w:r>
        <w:rPr>
          <w:rFonts w:hint="eastAsia" w:ascii="仿宋_GB2312" w:eastAsia="仿宋_GB2312"/>
          <w:b w:val="0"/>
          <w:bCs w:val="0"/>
          <w:lang w:val="en-US" w:eastAsia="zh-CN"/>
        </w:rPr>
        <w:t>其他好的</w:t>
      </w:r>
      <w:r>
        <w:rPr>
          <w:rFonts w:hint="eastAsia" w:ascii="仿宋_GB2312" w:eastAsia="仿宋_GB2312"/>
          <w:b w:val="0"/>
          <w:bCs w:val="0"/>
        </w:rPr>
        <w:t>制定出台的指标，进一步充实完善个性指标库；三是建立指标更新机制，将以后年度新制定的指标及时纳入指标库，做到随时更新、完善。</w:t>
      </w:r>
    </w:p>
    <w:p>
      <w:pPr>
        <w:numPr>
          <w:ilvl w:val="0"/>
          <w:numId w:val="0"/>
        </w:numPr>
        <w:spacing w:line="360" w:lineRule="auto"/>
        <w:ind w:firstLine="610"/>
        <w:rPr>
          <w:rFonts w:hint="eastAsia" w:ascii="仿宋_GB2312" w:eastAsia="仿宋_GB2312"/>
          <w:b w:val="0"/>
          <w:bCs w:val="0"/>
        </w:rPr>
      </w:pPr>
      <w:r>
        <w:rPr>
          <w:rFonts w:hint="eastAsia" w:ascii="仿宋_GB2312" w:eastAsia="仿宋_GB2312"/>
          <w:b w:val="0"/>
          <w:bCs w:val="0"/>
          <w:lang w:val="en-US" w:eastAsia="zh-CN"/>
        </w:rPr>
        <w:t>3.</w:t>
      </w:r>
      <w:r>
        <w:rPr>
          <w:rFonts w:hint="eastAsia" w:ascii="仿宋_GB2312" w:eastAsia="仿宋_GB2312"/>
          <w:b w:val="0"/>
          <w:bCs w:val="0"/>
        </w:rPr>
        <w:t>积极运用绩效评价结果。建立绩效评价结果的反馈与整改、激励与问责制度，进一步完善绩效评价结果的反馈和运用机制，按要求将绩效评价结果向社会逐步公布，进一步增强单位的责任感和紧迫感。将评价结果作为安排以后年度预算的重要依据，将一些绩效评价结果不好的项目取消，对执行不力的项目的预算要进行相应削减，切实发挥绩效评价工作的应有作用。</w:t>
      </w:r>
    </w:p>
    <w:p>
      <w:pPr>
        <w:numPr>
          <w:ilvl w:val="0"/>
          <w:numId w:val="0"/>
        </w:numPr>
        <w:spacing w:line="360" w:lineRule="auto"/>
        <w:ind w:firstLine="610"/>
        <w:rPr>
          <w:rFonts w:hint="eastAsia" w:ascii="仿宋_GB2312" w:eastAsia="仿宋_GB2312"/>
          <w:b w:val="0"/>
          <w:bCs w:val="0"/>
        </w:rPr>
      </w:pPr>
      <w:r>
        <w:rPr>
          <w:rFonts w:hint="eastAsia" w:ascii="仿宋_GB2312" w:eastAsia="仿宋_GB2312"/>
          <w:b w:val="0"/>
          <w:bCs w:val="0"/>
          <w:lang w:val="en-US" w:eastAsia="zh-CN"/>
        </w:rPr>
        <w:t>4.</w:t>
      </w:r>
      <w:r>
        <w:rPr>
          <w:rFonts w:hint="eastAsia" w:ascii="仿宋_GB2312" w:eastAsia="仿宋_GB2312"/>
          <w:b w:val="0"/>
          <w:bCs w:val="0"/>
        </w:rPr>
        <w:t>加强培训和指导。采取集中学习、讲座、专题会议等方式，加大对绩效管理领导小组人员的培训力度，进一步统一认识，充实业务知识。</w:t>
      </w:r>
    </w:p>
    <w:p>
      <w:pPr>
        <w:numPr>
          <w:ilvl w:val="0"/>
          <w:numId w:val="0"/>
        </w:numPr>
        <w:spacing w:line="360" w:lineRule="auto"/>
        <w:ind w:firstLine="610"/>
        <w:rPr>
          <w:rFonts w:hint="eastAsia" w:ascii="仿宋_GB2312" w:eastAsia="仿宋_GB2312"/>
          <w:b w:val="0"/>
          <w:bCs w:val="0"/>
        </w:rPr>
      </w:pPr>
      <w:r>
        <w:rPr>
          <w:rFonts w:hint="eastAsia" w:ascii="仿宋_GB2312" w:eastAsia="仿宋_GB2312"/>
          <w:b w:val="0"/>
          <w:bCs w:val="0"/>
        </w:rPr>
        <w:t>（二）存在的问题及原因分析</w:t>
      </w:r>
      <w:bookmarkEnd w:id="18"/>
      <w:bookmarkStart w:id="19" w:name="_Toc68703845"/>
    </w:p>
    <w:p>
      <w:pPr>
        <w:numPr>
          <w:ilvl w:val="0"/>
          <w:numId w:val="0"/>
        </w:numPr>
        <w:spacing w:line="360" w:lineRule="auto"/>
        <w:ind w:firstLine="610"/>
        <w:rPr>
          <w:rFonts w:hint="eastAsia" w:ascii="仿宋" w:hAnsi="仿宋" w:eastAsia="仿宋" w:cs="仿宋"/>
          <w:b w:val="0"/>
          <w:bCs w:val="0"/>
          <w:sz w:val="32"/>
          <w:szCs w:val="32"/>
        </w:rPr>
      </w:pPr>
      <w:r>
        <w:rPr>
          <w:rFonts w:hint="eastAsia" w:ascii="仿宋" w:hAnsi="仿宋" w:eastAsia="仿宋" w:cs="仿宋"/>
          <w:b w:val="0"/>
          <w:bCs w:val="0"/>
          <w:sz w:val="32"/>
          <w:szCs w:val="32"/>
        </w:rPr>
        <w:t>总的来看，我</w:t>
      </w:r>
      <w:r>
        <w:rPr>
          <w:rFonts w:hint="eastAsia" w:ascii="仿宋" w:hAnsi="仿宋" w:eastAsia="仿宋" w:cs="仿宋"/>
          <w:b w:val="0"/>
          <w:bCs w:val="0"/>
          <w:sz w:val="32"/>
          <w:szCs w:val="32"/>
          <w:lang w:val="en-US" w:eastAsia="zh-CN"/>
        </w:rPr>
        <w:t>单位</w:t>
      </w:r>
      <w:r>
        <w:rPr>
          <w:rFonts w:hint="eastAsia" w:ascii="仿宋" w:hAnsi="仿宋" w:eastAsia="仿宋" w:cs="仿宋"/>
          <w:b w:val="0"/>
          <w:bCs w:val="0"/>
          <w:sz w:val="32"/>
          <w:szCs w:val="32"/>
        </w:rPr>
        <w:t>预算绩效管理工作虽然取得了一些成绩，但也存在一些问题需要解决，还有一些不足之处需要完善，其中既有面上普遍存在的，也有实际工作中遇到的个性问题。　</w:t>
      </w:r>
    </w:p>
    <w:p>
      <w:pPr>
        <w:numPr>
          <w:ilvl w:val="0"/>
          <w:numId w:val="0"/>
        </w:numPr>
        <w:spacing w:line="360" w:lineRule="auto"/>
        <w:ind w:firstLine="610"/>
        <w:rPr>
          <w:rFonts w:hint="eastAsia" w:ascii="仿宋" w:hAnsi="仿宋" w:eastAsia="仿宋" w:cs="仿宋"/>
          <w:b w:val="0"/>
          <w:bCs w:val="0"/>
          <w:sz w:val="32"/>
          <w:szCs w:val="32"/>
        </w:rPr>
      </w:pPr>
      <w:r>
        <w:rPr>
          <w:rFonts w:hint="eastAsia" w:ascii="仿宋" w:hAnsi="仿宋" w:eastAsia="仿宋" w:cs="仿宋"/>
          <w:b w:val="0"/>
          <w:bCs w:val="0"/>
          <w:sz w:val="32"/>
          <w:szCs w:val="32"/>
        </w:rPr>
        <w:t>一是预算绩效管理的范围有待进一步扩大。虽然我</w:t>
      </w:r>
      <w:r>
        <w:rPr>
          <w:rFonts w:hint="eastAsia" w:ascii="仿宋" w:hAnsi="仿宋" w:eastAsia="仿宋" w:cs="仿宋"/>
          <w:b w:val="0"/>
          <w:bCs w:val="0"/>
          <w:sz w:val="32"/>
          <w:szCs w:val="32"/>
          <w:lang w:val="en-US" w:eastAsia="zh-CN"/>
        </w:rPr>
        <w:t>单位</w:t>
      </w:r>
      <w:r>
        <w:rPr>
          <w:rFonts w:hint="eastAsia" w:ascii="仿宋" w:hAnsi="仿宋" w:eastAsia="仿宋" w:cs="仿宋"/>
          <w:b w:val="0"/>
          <w:bCs w:val="0"/>
          <w:sz w:val="32"/>
          <w:szCs w:val="32"/>
        </w:rPr>
        <w:t>绩效评价工作已经开展，</w:t>
      </w:r>
      <w:r>
        <w:rPr>
          <w:rFonts w:hint="eastAsia" w:ascii="仿宋" w:hAnsi="仿宋" w:eastAsia="仿宋" w:cs="仿宋"/>
          <w:b w:val="0"/>
          <w:bCs w:val="0"/>
          <w:sz w:val="32"/>
          <w:szCs w:val="32"/>
          <w:lang w:val="en-US" w:eastAsia="zh-CN"/>
        </w:rPr>
        <w:t>我单位</w:t>
      </w:r>
      <w:r>
        <w:rPr>
          <w:rFonts w:hint="eastAsia" w:ascii="仿宋" w:hAnsi="仿宋" w:eastAsia="仿宋" w:cs="仿宋"/>
          <w:b w:val="0"/>
          <w:bCs w:val="0"/>
          <w:sz w:val="32"/>
          <w:szCs w:val="32"/>
        </w:rPr>
        <w:t>提出明确项目绩效监控工作要求，但在进行自主绩效监控方面欠缺主动。二是评价指标体系需要进一步完善。财政支出评价项目之间差异性大，目前我</w:t>
      </w:r>
      <w:r>
        <w:rPr>
          <w:rFonts w:hint="eastAsia" w:ascii="仿宋" w:hAnsi="仿宋" w:eastAsia="仿宋" w:cs="仿宋"/>
          <w:b w:val="0"/>
          <w:bCs w:val="0"/>
          <w:sz w:val="32"/>
          <w:szCs w:val="32"/>
          <w:lang w:val="en-US" w:eastAsia="zh-CN"/>
        </w:rPr>
        <w:t>单位</w:t>
      </w:r>
      <w:r>
        <w:rPr>
          <w:rFonts w:hint="eastAsia" w:ascii="仿宋" w:hAnsi="仿宋" w:eastAsia="仿宋" w:cs="仿宋"/>
          <w:b w:val="0"/>
          <w:bCs w:val="0"/>
          <w:sz w:val="32"/>
          <w:szCs w:val="32"/>
        </w:rPr>
        <w:t>虽然已经发布普遍适用性指标，但真正能体现项目效果的个性指标，由于设置细化量化程序不够，还不能完全满足目前工作开展需要。</w:t>
      </w:r>
    </w:p>
    <w:p>
      <w:pPr>
        <w:numPr>
          <w:ilvl w:val="0"/>
          <w:numId w:val="0"/>
        </w:numPr>
        <w:spacing w:line="360" w:lineRule="auto"/>
        <w:ind w:firstLine="610"/>
        <w:rPr>
          <w:rFonts w:hint="eastAsia" w:ascii="仿宋" w:hAnsi="仿宋" w:eastAsia="仿宋" w:cs="仿宋"/>
          <w:b w:val="0"/>
          <w:bCs w:val="0"/>
          <w:sz w:val="32"/>
          <w:szCs w:val="32"/>
        </w:rPr>
      </w:pPr>
      <w:r>
        <w:rPr>
          <w:rFonts w:hint="eastAsia" w:ascii="仿宋" w:hAnsi="仿宋" w:eastAsia="仿宋" w:cs="仿宋"/>
          <w:b w:val="0"/>
          <w:bCs w:val="0"/>
          <w:sz w:val="32"/>
          <w:szCs w:val="32"/>
        </w:rPr>
        <w:t>三是人员素质有待进一步提高。由于预算绩效管理工作开展时间较短，加上缺乏系统的培训，对预算绩效管理认识不到位、理解不充分，对预算绩效管理业务不了解、不熟悉，对工作重点把握不到位，由此造成我</w:t>
      </w:r>
      <w:r>
        <w:rPr>
          <w:rFonts w:hint="eastAsia" w:ascii="仿宋" w:hAnsi="仿宋" w:eastAsia="仿宋" w:cs="仿宋"/>
          <w:b w:val="0"/>
          <w:bCs w:val="0"/>
          <w:sz w:val="32"/>
          <w:szCs w:val="32"/>
          <w:lang w:val="en-US" w:eastAsia="zh-CN"/>
        </w:rPr>
        <w:t>单位</w:t>
      </w:r>
      <w:r>
        <w:rPr>
          <w:rFonts w:hint="eastAsia" w:ascii="仿宋" w:hAnsi="仿宋" w:eastAsia="仿宋" w:cs="仿宋"/>
          <w:b w:val="0"/>
          <w:bCs w:val="0"/>
          <w:sz w:val="32"/>
          <w:szCs w:val="32"/>
        </w:rPr>
        <w:t>绩效管理工作一定的被动局面。</w:t>
      </w:r>
    </w:p>
    <w:p>
      <w:pPr>
        <w:numPr>
          <w:ilvl w:val="0"/>
          <w:numId w:val="0"/>
        </w:numPr>
        <w:spacing w:line="360" w:lineRule="auto"/>
        <w:ind w:firstLine="321" w:firstLineChars="100"/>
        <w:rPr>
          <w:rFonts w:hint="eastAsia" w:ascii="宋体" w:hAnsi="宋体" w:eastAsia="宋体" w:cs="Times New Roman"/>
          <w:b/>
          <w:bCs/>
          <w:kern w:val="44"/>
          <w:sz w:val="32"/>
          <w:szCs w:val="32"/>
          <w:lang w:val="en-US" w:eastAsia="zh-CN" w:bidi="ar-SA"/>
        </w:rPr>
      </w:pPr>
      <w:r>
        <w:rPr>
          <w:rFonts w:hint="eastAsia" w:ascii="宋体" w:hAnsi="宋体" w:eastAsia="宋体" w:cs="Times New Roman"/>
          <w:b/>
          <w:bCs/>
          <w:kern w:val="44"/>
          <w:sz w:val="32"/>
          <w:szCs w:val="32"/>
          <w:lang w:val="en-US" w:eastAsia="zh-CN" w:bidi="ar-SA"/>
        </w:rPr>
        <w:t>六、有关建议</w:t>
      </w:r>
      <w:bookmarkEnd w:id="19"/>
    </w:p>
    <w:p>
      <w:pPr>
        <w:pStyle w:val="2"/>
        <w:spacing w:line="360" w:lineRule="auto"/>
        <w:ind w:firstLine="640" w:firstLineChars="200"/>
        <w:rPr>
          <w:rFonts w:hint="eastAsia" w:ascii="宋体" w:hAnsi="宋体" w:cs="宋体"/>
          <w:sz w:val="32"/>
          <w:szCs w:val="32"/>
          <w:lang w:val="en-US" w:eastAsia="zh-CN"/>
        </w:rPr>
      </w:pPr>
      <w:bookmarkStart w:id="20" w:name="_Toc68703846"/>
      <w:r>
        <w:rPr>
          <w:rFonts w:hint="eastAsia" w:ascii="仿宋" w:hAnsi="仿宋" w:eastAsia="仿宋" w:cs="仿宋"/>
          <w:b w:val="0"/>
          <w:bCs w:val="0"/>
          <w:kern w:val="2"/>
          <w:sz w:val="32"/>
          <w:szCs w:val="32"/>
          <w:lang w:val="en-US" w:eastAsia="zh-CN" w:bidi="ar-SA"/>
        </w:rPr>
        <w:t>加强对绩效评价实施主体的培训力度，优化人员素质，提高掌握绩效评价的时效性，对于绩效评价的结果要充分发挥起作用，重要的是将绩效评价结果作用于实际生产和生活，更好的激发人力资源潜力，推动组织发展</w:t>
      </w:r>
      <w:r>
        <w:rPr>
          <w:rFonts w:hint="eastAsia" w:ascii="宋体" w:hAnsi="宋体" w:cs="宋体"/>
          <w:sz w:val="32"/>
          <w:szCs w:val="32"/>
          <w:lang w:val="en-US" w:eastAsia="zh-CN"/>
        </w:rPr>
        <w:t>。</w:t>
      </w:r>
    </w:p>
    <w:p>
      <w:pPr>
        <w:pStyle w:val="2"/>
        <w:spacing w:line="360" w:lineRule="auto"/>
        <w:ind w:firstLine="321" w:firstLineChars="100"/>
        <w:rPr>
          <w:rFonts w:ascii="宋体" w:hAnsi="宋体" w:eastAsia="宋体"/>
          <w:sz w:val="32"/>
          <w:szCs w:val="32"/>
        </w:rPr>
      </w:pPr>
      <w:r>
        <w:rPr>
          <w:rFonts w:hint="eastAsia" w:ascii="宋体" w:hAnsi="宋体" w:eastAsia="宋体"/>
          <w:sz w:val="32"/>
          <w:szCs w:val="32"/>
        </w:rPr>
        <w:t>七、其他需要说明的问题</w:t>
      </w:r>
      <w:bookmarkEnd w:id="20"/>
    </w:p>
    <w:p>
      <w:pPr>
        <w:spacing w:line="360" w:lineRule="auto"/>
        <w:ind w:firstLine="600" w:firstLineChars="200"/>
        <w:rPr>
          <w:rFonts w:hint="default" w:eastAsia="仿宋_GB2312"/>
          <w:color w:val="auto"/>
          <w:lang w:val="en-US" w:eastAsia="zh-CN"/>
        </w:rPr>
      </w:pPr>
      <w:r>
        <w:rPr>
          <w:rFonts w:hint="eastAsia"/>
          <w:color w:val="auto"/>
          <w:lang w:val="en-US" w:eastAsia="zh-CN"/>
        </w:rPr>
        <w:t xml:space="preserve">无 </w:t>
      </w:r>
    </w:p>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简体">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9E4F2C"/>
    <w:multiLevelType w:val="singleLevel"/>
    <w:tmpl w:val="899E4F2C"/>
    <w:lvl w:ilvl="0" w:tentative="0">
      <w:start w:val="1"/>
      <w:numFmt w:val="chineseCounting"/>
      <w:suff w:val="nothing"/>
      <w:lvlText w:val="（%1）"/>
      <w:lvlJc w:val="left"/>
      <w:rPr>
        <w:rFonts w:hint="eastAsia"/>
      </w:rPr>
    </w:lvl>
  </w:abstractNum>
  <w:abstractNum w:abstractNumId="1">
    <w:nsid w:val="968E9165"/>
    <w:multiLevelType w:val="singleLevel"/>
    <w:tmpl w:val="968E9165"/>
    <w:lvl w:ilvl="0" w:tentative="0">
      <w:start w:val="5"/>
      <w:numFmt w:val="chineseCounting"/>
      <w:suff w:val="nothing"/>
      <w:lvlText w:val="%1、"/>
      <w:lvlJc w:val="left"/>
      <w:rPr>
        <w:rFonts w:hint="eastAsia"/>
      </w:rPr>
    </w:lvl>
  </w:abstractNum>
  <w:abstractNum w:abstractNumId="2">
    <w:nsid w:val="DB79AD01"/>
    <w:multiLevelType w:val="singleLevel"/>
    <w:tmpl w:val="DB79AD01"/>
    <w:lvl w:ilvl="0" w:tentative="0">
      <w:start w:val="1"/>
      <w:numFmt w:val="decimal"/>
      <w:suff w:val="nothing"/>
      <w:lvlText w:val="%1、"/>
      <w:lvlJc w:val="left"/>
    </w:lvl>
  </w:abstractNum>
  <w:abstractNum w:abstractNumId="3">
    <w:nsid w:val="5D1DEA39"/>
    <w:multiLevelType w:val="singleLevel"/>
    <w:tmpl w:val="5D1DEA39"/>
    <w:lvl w:ilvl="0" w:tentative="0">
      <w:start w:val="1"/>
      <w:numFmt w:val="chineseCounting"/>
      <w:suff w:val="nothing"/>
      <w:lvlText w:val="%1、"/>
      <w:lvlJc w:val="left"/>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k4ZjMzZTkxMDUzOWUwYzQ4OTViM2UwODBmYmY3N2QifQ=="/>
  </w:docVars>
  <w:rsids>
    <w:rsidRoot w:val="007D49C5"/>
    <w:rsid w:val="002670AA"/>
    <w:rsid w:val="005B64E8"/>
    <w:rsid w:val="00614288"/>
    <w:rsid w:val="00792CFE"/>
    <w:rsid w:val="007D49C5"/>
    <w:rsid w:val="008C631D"/>
    <w:rsid w:val="00B24331"/>
    <w:rsid w:val="00BC0BAA"/>
    <w:rsid w:val="01D57AEB"/>
    <w:rsid w:val="02384C34"/>
    <w:rsid w:val="02CA5775"/>
    <w:rsid w:val="03D72A56"/>
    <w:rsid w:val="04106AB0"/>
    <w:rsid w:val="04770874"/>
    <w:rsid w:val="07405BFD"/>
    <w:rsid w:val="08162210"/>
    <w:rsid w:val="095C729B"/>
    <w:rsid w:val="0A3E6514"/>
    <w:rsid w:val="0AAC4CD3"/>
    <w:rsid w:val="0B9F07D4"/>
    <w:rsid w:val="0CD021C9"/>
    <w:rsid w:val="0E397599"/>
    <w:rsid w:val="0F95402D"/>
    <w:rsid w:val="1031235F"/>
    <w:rsid w:val="10DD1FA0"/>
    <w:rsid w:val="115277FA"/>
    <w:rsid w:val="1266556F"/>
    <w:rsid w:val="13211D1D"/>
    <w:rsid w:val="139C5348"/>
    <w:rsid w:val="13DE737D"/>
    <w:rsid w:val="15A872A1"/>
    <w:rsid w:val="19655E26"/>
    <w:rsid w:val="19671BA2"/>
    <w:rsid w:val="19FB150F"/>
    <w:rsid w:val="1ACF281A"/>
    <w:rsid w:val="1AFC334D"/>
    <w:rsid w:val="1B19589E"/>
    <w:rsid w:val="1BC11E5F"/>
    <w:rsid w:val="1C754C6A"/>
    <w:rsid w:val="1C774769"/>
    <w:rsid w:val="1CF36D18"/>
    <w:rsid w:val="1EB24575"/>
    <w:rsid w:val="1FC97C6B"/>
    <w:rsid w:val="222E11F0"/>
    <w:rsid w:val="23331B10"/>
    <w:rsid w:val="23FC7266"/>
    <w:rsid w:val="24790585"/>
    <w:rsid w:val="252F7C8C"/>
    <w:rsid w:val="25AD05BD"/>
    <w:rsid w:val="26095682"/>
    <w:rsid w:val="26165ED6"/>
    <w:rsid w:val="274E3E41"/>
    <w:rsid w:val="279B7BFD"/>
    <w:rsid w:val="28C9503B"/>
    <w:rsid w:val="2B893804"/>
    <w:rsid w:val="2BA52F81"/>
    <w:rsid w:val="2DF60004"/>
    <w:rsid w:val="2E1F2C09"/>
    <w:rsid w:val="2E3E7B15"/>
    <w:rsid w:val="2E481E3C"/>
    <w:rsid w:val="2F8C7BA5"/>
    <w:rsid w:val="2FE33D86"/>
    <w:rsid w:val="30B545CD"/>
    <w:rsid w:val="32711C18"/>
    <w:rsid w:val="32BF4B25"/>
    <w:rsid w:val="34EA3F1D"/>
    <w:rsid w:val="356C21E5"/>
    <w:rsid w:val="360B6976"/>
    <w:rsid w:val="371667BA"/>
    <w:rsid w:val="37181E1D"/>
    <w:rsid w:val="3BB97410"/>
    <w:rsid w:val="3D245C21"/>
    <w:rsid w:val="3E197987"/>
    <w:rsid w:val="3EC82F5A"/>
    <w:rsid w:val="406A6049"/>
    <w:rsid w:val="41605725"/>
    <w:rsid w:val="419B6961"/>
    <w:rsid w:val="41B80002"/>
    <w:rsid w:val="449972C9"/>
    <w:rsid w:val="450148F4"/>
    <w:rsid w:val="453E7ADF"/>
    <w:rsid w:val="45ED7A26"/>
    <w:rsid w:val="46122F97"/>
    <w:rsid w:val="4A470290"/>
    <w:rsid w:val="4A573050"/>
    <w:rsid w:val="4B35482A"/>
    <w:rsid w:val="4B69495F"/>
    <w:rsid w:val="4BDD6712"/>
    <w:rsid w:val="4C9C0519"/>
    <w:rsid w:val="4CBA248E"/>
    <w:rsid w:val="4D61745C"/>
    <w:rsid w:val="4DE608EC"/>
    <w:rsid w:val="4E231843"/>
    <w:rsid w:val="50F80E57"/>
    <w:rsid w:val="52A258B6"/>
    <w:rsid w:val="54FA2CF2"/>
    <w:rsid w:val="54FF063C"/>
    <w:rsid w:val="55542BF5"/>
    <w:rsid w:val="5B923D5A"/>
    <w:rsid w:val="5FB427D9"/>
    <w:rsid w:val="61414F52"/>
    <w:rsid w:val="62942A37"/>
    <w:rsid w:val="64D13D1B"/>
    <w:rsid w:val="65B74897"/>
    <w:rsid w:val="668D5DBF"/>
    <w:rsid w:val="67A62614"/>
    <w:rsid w:val="67BB0850"/>
    <w:rsid w:val="6D142C43"/>
    <w:rsid w:val="6D444647"/>
    <w:rsid w:val="6DAA3CAE"/>
    <w:rsid w:val="6EC65D79"/>
    <w:rsid w:val="6ED07BDD"/>
    <w:rsid w:val="717A1834"/>
    <w:rsid w:val="74CE1133"/>
    <w:rsid w:val="75290D8A"/>
    <w:rsid w:val="79F22393"/>
    <w:rsid w:val="7ACD6066"/>
    <w:rsid w:val="7ADE2F61"/>
    <w:rsid w:val="7B3A1422"/>
    <w:rsid w:val="7B815D27"/>
    <w:rsid w:val="7C8D13C5"/>
    <w:rsid w:val="7DCC2500"/>
    <w:rsid w:val="7FAC544A"/>
    <w:rsid w:val="7FE85B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2">
    <w:name w:val="heading 1"/>
    <w:basedOn w:val="1"/>
    <w:next w:val="1"/>
    <w:link w:val="10"/>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5">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6">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styleId="9">
    <w:name w:val="Hyperlink"/>
    <w:basedOn w:val="8"/>
    <w:unhideWhenUsed/>
    <w:qFormat/>
    <w:uiPriority w:val="99"/>
    <w:rPr>
      <w:color w:val="0563C1" w:themeColor="hyperlink"/>
      <w:u w:val="single"/>
      <w14:textFill>
        <w14:solidFill>
          <w14:schemeClr w14:val="hlink"/>
        </w14:solidFill>
      </w14:textFill>
    </w:rPr>
  </w:style>
  <w:style w:type="character" w:customStyle="1" w:styleId="10">
    <w:name w:val="标题 1 字符"/>
    <w:basedOn w:val="8"/>
    <w:link w:val="2"/>
    <w:qFormat/>
    <w:uiPriority w:val="9"/>
    <w:rPr>
      <w:rFonts w:ascii="Times New Roman" w:hAnsi="Times New Roman" w:eastAsia="仿宋_GB2312" w:cs="Times New Roman"/>
      <w:b/>
      <w:bCs/>
      <w:kern w:val="44"/>
      <w:sz w:val="44"/>
      <w:szCs w:val="44"/>
    </w:rPr>
  </w:style>
  <w:style w:type="character" w:customStyle="1" w:styleId="11">
    <w:name w:val="标题 2 字符"/>
    <w:basedOn w:val="8"/>
    <w:link w:val="3"/>
    <w:qFormat/>
    <w:uiPriority w:val="9"/>
    <w:rPr>
      <w:rFonts w:asciiTheme="majorHAnsi" w:hAnsiTheme="majorHAnsi" w:eastAsiaTheme="majorEastAsia" w:cstheme="majorBidi"/>
      <w:b/>
      <w:bCs/>
      <w:sz w:val="32"/>
      <w:szCs w:val="32"/>
    </w:rPr>
  </w:style>
  <w:style w:type="paragraph" w:customStyle="1" w:styleId="12">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6176</Words>
  <Characters>6335</Characters>
  <Lines>38</Lines>
  <Paragraphs>10</Paragraphs>
  <TotalTime>4</TotalTime>
  <ScaleCrop>false</ScaleCrop>
  <LinksUpToDate>false</LinksUpToDate>
  <CharactersWithSpaces>6357</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123</cp:lastModifiedBy>
  <dcterms:modified xsi:type="dcterms:W3CDTF">2022-04-26T03:39:58Z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2052-11.1.0.11636</vt:lpwstr>
  </property>
  <property fmtid="{D5CDD505-2E9C-101B-9397-08002B2CF9AE}" pid="3" name="ICV">
    <vt:lpwstr>568CB58BEF8C4A1087F12D37D4F4DF81</vt:lpwstr>
  </property>
</Properties>
</file>