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lang w:eastAsia="zh-CN"/>
        </w:rPr>
        <w:t>特克斯县阔克苏乡</w:t>
      </w:r>
      <w:r>
        <w:rPr>
          <w:rFonts w:hint="eastAsia" w:ascii="宋体" w:hAnsi="宋体" w:eastAsia="宋体" w:cs="宋体"/>
          <w:kern w:val="0"/>
          <w:sz w:val="32"/>
          <w:szCs w:val="32"/>
        </w:rPr>
        <w:t>2021年马场社区聘用人员工资</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lang w:eastAsia="zh-CN"/>
        </w:rPr>
        <w:t xml:space="preserve">特克斯县阔克苏乡人民政府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宋体"/>
          <w:kern w:val="0"/>
          <w:sz w:val="32"/>
          <w:szCs w:val="32"/>
          <w:lang w:eastAsia="zh-CN"/>
        </w:rPr>
        <w:t xml:space="preserve">特克斯县财政局 </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宋体"/>
          <w:kern w:val="0"/>
          <w:sz w:val="32"/>
          <w:szCs w:val="32"/>
          <w:lang w:eastAsia="zh-CN"/>
        </w:rPr>
        <w:t>吉</w:t>
      </w:r>
      <w:r>
        <w:rPr>
          <w:rFonts w:hint="eastAsia" w:ascii="宋体" w:hAnsi="宋体" w:eastAsia="宋体" w:cs="宋体"/>
          <w:kern w:val="0"/>
          <w:sz w:val="32"/>
          <w:szCs w:val="32"/>
          <w:lang w:val="en-US" w:eastAsia="zh-CN"/>
        </w:rPr>
        <w:t>·那尔玛</w:t>
      </w:r>
      <w:r>
        <w:rPr>
          <w:rFonts w:hint="eastAsia" w:ascii="宋体" w:hAnsi="宋体" w:eastAsia="宋体" w:cs="宋体"/>
          <w:kern w:val="0"/>
          <w:sz w:val="32"/>
          <w:szCs w:val="32"/>
          <w:lang w:eastAsia="zh-CN"/>
        </w:rPr>
        <w:t xml:space="preserve"> </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r>
        <w:rPr>
          <w:rFonts w:hint="eastAsia" w:ascii="仿宋_GB2312"/>
        </w:rPr>
        <w:t>（参考提纲）</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1、项目背景</w:t>
      </w:r>
    </w:p>
    <w:p>
      <w:pPr>
        <w:spacing w:line="360" w:lineRule="auto"/>
        <w:ind w:firstLine="600" w:firstLineChars="200"/>
        <w:rPr>
          <w:rFonts w:hint="default" w:ascii="仿宋_GB2312" w:eastAsia="仿宋_GB2312"/>
          <w:highlight w:val="none"/>
          <w:lang w:val="en-US" w:eastAsia="zh-CN"/>
        </w:rPr>
      </w:pPr>
      <w:r>
        <w:rPr>
          <w:rFonts w:hint="eastAsia" w:ascii="仿宋_GB2312"/>
          <w:highlight w:val="none"/>
          <w:lang w:eastAsia="zh-CN"/>
        </w:rPr>
        <w:t>项目实施主题为阔克苏乡人民政府，阔克苏乡距离县城16公里，属于城郊乡，总面积19738亩，总户数909户，总人口3072人。为了提高工作人员的工作积极性，减轻企业办社会的负担，此项资金用于特克斯马场2021年企业办社会34个工作人员的工资及社保支出</w:t>
      </w:r>
      <w:r>
        <w:rPr>
          <w:rFonts w:hint="eastAsia" w:ascii="仿宋_GB2312"/>
          <w:highlight w:val="none"/>
          <w:lang w:val="en-US" w:eastAsia="zh-CN"/>
        </w:rPr>
        <w:t>。</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ascii="仿宋_GB2312"/>
          <w:color w:val="auto"/>
        </w:rPr>
      </w:pPr>
      <w:r>
        <w:rPr>
          <w:rFonts w:hint="eastAsia" w:ascii="仿宋_GB2312"/>
        </w:rPr>
        <w:t>主要内容：</w:t>
      </w:r>
      <w:r>
        <w:rPr>
          <w:rFonts w:hint="eastAsia" w:ascii="仿宋_GB2312"/>
          <w:color w:val="auto"/>
        </w:rPr>
        <w:t>为了提高工作人员的工作积极性，减轻企业办社会的负担，此项资金用于特克斯马场2021年企业办社会34个工作人员的工资及社保支出</w:t>
      </w:r>
    </w:p>
    <w:p>
      <w:pPr>
        <w:spacing w:line="360" w:lineRule="auto"/>
        <w:ind w:firstLine="600" w:firstLineChars="200"/>
        <w:rPr>
          <w:rFonts w:hint="eastAsia" w:ascii="仿宋_GB2312"/>
          <w:color w:val="FF0000"/>
        </w:rPr>
      </w:pPr>
      <w:r>
        <w:rPr>
          <w:rFonts w:hint="eastAsia" w:ascii="仿宋_GB2312"/>
        </w:rPr>
        <w:t>实施情况：</w:t>
      </w:r>
      <w:r>
        <w:rPr>
          <w:rFonts w:hint="eastAsia" w:ascii="仿宋_GB2312"/>
          <w:color w:val="auto"/>
        </w:rPr>
        <w:t>人均每月工资标准为8554元，目前已发放完毕。</w:t>
      </w:r>
    </w:p>
    <w:p>
      <w:pPr>
        <w:spacing w:line="360" w:lineRule="auto"/>
        <w:ind w:firstLine="600" w:firstLineChars="200"/>
        <w:rPr>
          <w:rFonts w:hint="eastAsia" w:ascii="仿宋_GB2312"/>
          <w:color w:val="FF0000"/>
        </w:rPr>
      </w:pP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349</w:t>
      </w:r>
      <w:r>
        <w:rPr>
          <w:rFonts w:hint="eastAsia"/>
          <w:color w:val="auto"/>
        </w:rPr>
        <w:t>万元，全年预算数</w:t>
      </w:r>
      <w:r>
        <w:rPr>
          <w:rFonts w:hint="eastAsia"/>
          <w:color w:val="auto"/>
          <w:lang w:val="en-US" w:eastAsia="zh-CN"/>
        </w:rPr>
        <w:t>349</w:t>
      </w:r>
      <w:r>
        <w:rPr>
          <w:rFonts w:hint="eastAsia"/>
          <w:color w:val="auto"/>
        </w:rPr>
        <w:t>万元，实际总投入</w:t>
      </w:r>
      <w:r>
        <w:rPr>
          <w:rFonts w:hint="eastAsia"/>
          <w:color w:val="auto"/>
          <w:lang w:val="en-US" w:eastAsia="zh-CN"/>
        </w:rPr>
        <w:t>349</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color w:val="auto"/>
        </w:rPr>
      </w:pPr>
      <w:r>
        <w:rPr>
          <w:rFonts w:hint="eastAsia"/>
        </w:rPr>
        <w:t>资金使用情况</w:t>
      </w:r>
      <w:r>
        <w:rPr>
          <w:rFonts w:hint="eastAsia"/>
          <w:color w:val="auto"/>
        </w:rPr>
        <w:t>：该项目年初预算数</w:t>
      </w:r>
      <w:r>
        <w:rPr>
          <w:rFonts w:hint="eastAsia"/>
          <w:color w:val="auto"/>
          <w:lang w:val="en-US" w:eastAsia="zh-CN"/>
        </w:rPr>
        <w:t>349</w:t>
      </w:r>
      <w:r>
        <w:rPr>
          <w:rFonts w:hint="eastAsia"/>
          <w:color w:val="auto"/>
        </w:rPr>
        <w:t>万元，全年预算数</w:t>
      </w:r>
      <w:r>
        <w:rPr>
          <w:rFonts w:hint="eastAsia"/>
          <w:color w:val="auto"/>
          <w:lang w:val="en-US" w:eastAsia="zh-CN"/>
        </w:rPr>
        <w:t>349</w:t>
      </w:r>
      <w:r>
        <w:rPr>
          <w:rFonts w:hint="eastAsia"/>
          <w:color w:val="auto"/>
        </w:rPr>
        <w:t>万元，全年执行数</w:t>
      </w:r>
      <w:r>
        <w:rPr>
          <w:rFonts w:hint="eastAsia"/>
          <w:color w:val="auto"/>
          <w:lang w:val="en-US" w:eastAsia="zh-CN"/>
        </w:rPr>
        <w:t>349</w:t>
      </w:r>
      <w:r>
        <w:rPr>
          <w:rFonts w:hint="eastAsia"/>
          <w:color w:val="auto"/>
        </w:rPr>
        <w:t>万元，预算执行率为</w:t>
      </w:r>
      <w:r>
        <w:rPr>
          <w:rFonts w:hint="eastAsia"/>
          <w:color w:val="auto"/>
          <w:lang w:val="en-US" w:eastAsia="zh-CN"/>
        </w:rPr>
        <w:t>100</w:t>
      </w:r>
      <w:r>
        <w:rPr>
          <w:rFonts w:hint="eastAsia"/>
          <w:color w:val="auto"/>
        </w:rPr>
        <w:t>%，用于工资及各项福利人均支出标准：</w:t>
      </w:r>
      <w:r>
        <w:rPr>
          <w:rFonts w:hint="eastAsia"/>
          <w:color w:val="auto"/>
          <w:lang w:val="en-US" w:eastAsia="zh-CN"/>
        </w:rPr>
        <w:t>0.8554</w:t>
      </w:r>
      <w:r>
        <w:rPr>
          <w:rFonts w:hint="eastAsia"/>
          <w:color w:val="auto"/>
        </w:rPr>
        <w:t>万元。</w:t>
      </w:r>
    </w:p>
    <w:p>
      <w:pPr>
        <w:pStyle w:val="4"/>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numPr>
          <w:ilvl w:val="0"/>
          <w:numId w:val="0"/>
        </w:numPr>
        <w:spacing w:line="360" w:lineRule="auto"/>
        <w:ind w:firstLine="600" w:firstLineChars="200"/>
        <w:rPr>
          <w:rFonts w:hint="eastAsia"/>
        </w:rPr>
      </w:pPr>
      <w:r>
        <w:rPr>
          <w:rFonts w:hint="eastAsia"/>
          <w:lang w:val="en-US" w:eastAsia="zh-CN"/>
        </w:rPr>
        <w:t>1、</w:t>
      </w:r>
      <w:r>
        <w:rPr>
          <w:rFonts w:hint="eastAsia"/>
        </w:rPr>
        <w:t>总体目标：为了提高工作人员的工作积极性，减轻企业办社会的负担，此项资金用于特克斯马场2021年企业办社会34个工作人员的工资及社保支出。</w:t>
      </w:r>
    </w:p>
    <w:p>
      <w:pPr>
        <w:numPr>
          <w:ilvl w:val="0"/>
          <w:numId w:val="0"/>
        </w:numPr>
        <w:spacing w:line="360" w:lineRule="auto"/>
        <w:ind w:firstLine="600" w:firstLineChars="200"/>
      </w:pPr>
      <w:r>
        <w:t>2</w:t>
      </w:r>
      <w:r>
        <w:rPr>
          <w:rFonts w:hint="eastAsia"/>
        </w:rPr>
        <w:t>、阶段性目标：人均每月工资标准为8554元。</w:t>
      </w: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FF0000"/>
          <w:sz w:val="32"/>
          <w:szCs w:val="32"/>
        </w:rPr>
      </w:pPr>
      <w:r>
        <w:rPr>
          <w:rFonts w:hint="eastAsia" w:ascii="仿宋_GB2312"/>
          <w:bCs/>
          <w:color w:val="auto"/>
          <w:sz w:val="32"/>
          <w:szCs w:val="32"/>
        </w:rPr>
        <w:t>通过绩效评价，客观地评判项目的管理绩效，了解和掌握2021年马场社区聘用人员工资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rPr>
          <w:rFonts w:hint="eastAsia"/>
          <w:color w:val="auto"/>
        </w:rPr>
      </w:pPr>
      <w:r>
        <w:rPr>
          <w:rFonts w:hint="eastAsia"/>
          <w:color w:val="auto"/>
        </w:rPr>
        <w:t>2021年马场社区聘用人员工资</w:t>
      </w:r>
    </w:p>
    <w:p>
      <w:pPr>
        <w:spacing w:line="360" w:lineRule="auto"/>
        <w:ind w:firstLine="600" w:firstLineChars="200"/>
      </w:pPr>
      <w:r>
        <w:rPr>
          <w:rFonts w:hint="eastAsia"/>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2021年马场社区聘用人员工资评价，评价核心为专项资金的支出完成情况和效果。</w:t>
      </w:r>
    </w:p>
    <w:p>
      <w:pPr>
        <w:spacing w:line="360" w:lineRule="auto"/>
      </w:pPr>
    </w:p>
    <w:p>
      <w:pPr>
        <w:pStyle w:val="4"/>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特克斯县政府信息公开</w:t>
      </w:r>
      <w:r>
        <w:rPr>
          <w:rFonts w:hint="eastAsia" w:ascii="仿宋_GB2312"/>
          <w:bCs/>
          <w:color w:val="auto"/>
          <w:sz w:val="32"/>
          <w:szCs w:val="32"/>
        </w:rPr>
        <w:t>网站上，并自觉接受社会监督。</w:t>
      </w:r>
    </w:p>
    <w:p>
      <w:pPr>
        <w:spacing w:line="360" w:lineRule="auto"/>
      </w:pPr>
    </w:p>
    <w:p>
      <w:pPr>
        <w:spacing w:line="360" w:lineRule="auto"/>
      </w:pPr>
      <w:r>
        <w:rPr>
          <w:rFonts w:hint="eastAsia"/>
        </w:rPr>
        <w:t>2、评价指标体系（附表说明）</w:t>
      </w:r>
    </w:p>
    <w:p>
      <w:pPr>
        <w:pStyle w:val="4"/>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2021年马场社区聘用人员工资支出绩效评价指标体系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rFonts w:hint="eastAsia"/>
          <w:bCs/>
          <w:color w:val="auto"/>
          <w:sz w:val="32"/>
          <w:szCs w:val="32"/>
          <w:highlight w:val="none"/>
          <w:lang w:eastAsia="zh-CN"/>
        </w:rPr>
      </w:pPr>
      <w:r>
        <w:rPr>
          <w:rFonts w:hint="eastAsia"/>
          <w:bCs/>
          <w:color w:val="auto"/>
          <w:sz w:val="32"/>
          <w:szCs w:val="32"/>
          <w:highlight w:val="none"/>
          <w:lang w:val="en-US" w:eastAsia="zh-CN"/>
        </w:rPr>
        <w:t>因素</w:t>
      </w:r>
      <w:r>
        <w:rPr>
          <w:rFonts w:hint="eastAsia"/>
          <w:bCs/>
          <w:color w:val="auto"/>
          <w:sz w:val="32"/>
          <w:szCs w:val="32"/>
          <w:highlight w:val="none"/>
        </w:rPr>
        <w:t>分析法。</w:t>
      </w:r>
      <w:r>
        <w:rPr>
          <w:rFonts w:hint="eastAsia"/>
          <w:bCs/>
          <w:color w:val="auto"/>
          <w:sz w:val="32"/>
          <w:szCs w:val="32"/>
          <w:highlight w:val="none"/>
          <w:lang w:val="en-US" w:eastAsia="zh-CN"/>
        </w:rPr>
        <w:t>原因是：</w:t>
      </w:r>
      <w:r>
        <w:rPr>
          <w:rFonts w:hint="eastAsia"/>
          <w:bCs/>
          <w:color w:val="auto"/>
          <w:sz w:val="32"/>
          <w:szCs w:val="32"/>
          <w:highlight w:val="none"/>
        </w:rPr>
        <w:t>资金使用量小，根据该项目实际内容确定分析对象，在年初计算出实际与目标数的差异，确定该指标是由哪些因素构成，可以以目标数为基础对比与分析对象的差异。</w:t>
      </w:r>
    </w:p>
    <w:p>
      <w:pPr>
        <w:spacing w:line="360" w:lineRule="auto"/>
      </w:pPr>
    </w:p>
    <w:p>
      <w:pPr>
        <w:spacing w:line="360" w:lineRule="auto"/>
      </w:pPr>
      <w:r>
        <w:rPr>
          <w:rFonts w:hint="eastAsia"/>
        </w:rPr>
        <w:t>4、评价标准</w:t>
      </w:r>
    </w:p>
    <w:p>
      <w:pPr>
        <w:spacing w:line="360" w:lineRule="auto"/>
        <w:ind w:firstLine="640" w:firstLineChars="200"/>
        <w:rPr>
          <w:rFonts w:hint="eastAsia" w:eastAsia="仿宋_GB2312"/>
          <w:bCs/>
          <w:color w:val="auto"/>
          <w:sz w:val="32"/>
          <w:szCs w:val="32"/>
          <w:highlight w:val="none"/>
          <w:lang w:eastAsia="zh-CN"/>
        </w:rPr>
      </w:pPr>
      <w:r>
        <w:rPr>
          <w:rFonts w:hint="eastAsia"/>
          <w:bCs/>
          <w:color w:val="auto"/>
          <w:sz w:val="32"/>
          <w:szCs w:val="32"/>
          <w:highlight w:val="none"/>
        </w:rPr>
        <w:t>本次项目支出绩效自评采用计划标准，原因是：</w:t>
      </w:r>
      <w:r>
        <w:rPr>
          <w:rFonts w:hint="eastAsia"/>
          <w:bCs/>
          <w:color w:val="auto"/>
          <w:sz w:val="32"/>
          <w:szCs w:val="32"/>
          <w:highlight w:val="none"/>
          <w:lang w:eastAsia="zh-CN"/>
        </w:rPr>
        <w:t>该项目按照年初预算数执行。在年初预先制定该项目的项目背景、享受人数、资金预算安排数及发放次数，根据以上指标作为评价标准分析该项目对我单位辖区工作人员满意度、居民年收入提高情况以及村容村貌的改善带来的效果。</w:t>
      </w:r>
    </w:p>
    <w:p>
      <w:pPr>
        <w:pStyle w:val="4"/>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20</w:t>
      </w:r>
      <w:r>
        <w:rPr>
          <w:rFonts w:hint="eastAsia"/>
          <w:color w:val="auto"/>
        </w:rPr>
        <w:t>日-</w:t>
      </w:r>
      <w:r>
        <w:rPr>
          <w:rFonts w:hint="eastAsia"/>
          <w:color w:val="auto"/>
          <w:lang w:val="en-US" w:eastAsia="zh-CN"/>
        </w:rPr>
        <w:t>2</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color w:val="auto"/>
        </w:rPr>
        <w:t>2</w:t>
      </w:r>
      <w:r>
        <w:rPr>
          <w:rFonts w:hint="eastAsia"/>
          <w:color w:val="auto"/>
        </w:rPr>
        <w:t>年</w:t>
      </w:r>
      <w:r>
        <w:rPr>
          <w:rFonts w:hint="eastAsia"/>
          <w:color w:val="auto"/>
          <w:lang w:val="en-US" w:eastAsia="zh-CN"/>
        </w:rPr>
        <w:t>2</w:t>
      </w:r>
      <w:r>
        <w:rPr>
          <w:rFonts w:hint="eastAsia"/>
          <w:color w:val="auto"/>
        </w:rPr>
        <w:t>月</w:t>
      </w:r>
      <w:r>
        <w:rPr>
          <w:rFonts w:hint="eastAsia"/>
          <w:color w:val="auto"/>
          <w:lang w:val="en-US" w:eastAsia="zh-CN"/>
        </w:rPr>
        <w:t>20</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eastAsia="zh-CN"/>
        </w:rPr>
        <w:t>因素分析法</w:t>
      </w:r>
      <w:r>
        <w:rPr>
          <w:rFonts w:hint="eastAsia"/>
          <w:color w:val="auto"/>
        </w:rPr>
        <w:t>，坚持</w:t>
      </w:r>
      <w:r>
        <w:rPr>
          <w:rFonts w:hint="eastAsia"/>
          <w:color w:val="auto"/>
          <w:lang w:eastAsia="zh-CN"/>
        </w:rPr>
        <w:t>计划标准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2021年马场社区聘用人员工资评价得分情况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FF0000"/>
        </w:rPr>
      </w:pP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pPr>
      <w:r>
        <w:rPr>
          <w:rFonts w:hint="eastAsia"/>
        </w:rPr>
        <w:t>1、立项依据充分性</w:t>
      </w:r>
    </w:p>
    <w:p>
      <w:pPr>
        <w:spacing w:line="360" w:lineRule="auto"/>
        <w:ind w:firstLine="600" w:firstLineChars="200"/>
        <w:rPr>
          <w:color w:val="auto"/>
        </w:rPr>
      </w:pPr>
      <w:r>
        <w:rPr>
          <w:rFonts w:hint="eastAsia"/>
          <w:color w:val="auto"/>
        </w:rPr>
        <w:t>项目立项依据</w:t>
      </w:r>
      <w:r>
        <w:rPr>
          <w:rFonts w:hint="eastAsia" w:hAnsi="Arial" w:cs="宋体"/>
          <w:bCs/>
          <w:color w:val="auto"/>
        </w:rPr>
        <w:t>《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rPr>
        <w:t>《自治区财政支出绩效评价管理暂行办法》</w:t>
      </w:r>
      <w:r>
        <w:rPr>
          <w:rFonts w:hint="eastAsia"/>
          <w:color w:val="auto"/>
        </w:rPr>
        <w:t>（新财预〔2018〕189号）</w:t>
      </w:r>
      <w:r>
        <w:rPr>
          <w:rFonts w:hint="eastAsia" w:hAnsi="Arial" w:cs="宋体"/>
          <w:bCs/>
          <w:color w:val="auto"/>
        </w:rPr>
        <w:t>的规定，结合项目实施单位的规章制度以及财务相关资料</w:t>
      </w:r>
      <w:r>
        <w:rPr>
          <w:rFonts w:hint="eastAsia" w:hAnsi="Arial" w:cs="宋体"/>
          <w:bCs/>
          <w:color w:val="auto"/>
          <w:lang w:eastAsia="zh-CN"/>
        </w:rPr>
        <w:t>。</w:t>
      </w:r>
      <w:r>
        <w:rPr>
          <w:rFonts w:hint="eastAsia"/>
          <w:color w:val="auto"/>
        </w:rPr>
        <w:t>项目立项符合行业发展规划和政策要求</w:t>
      </w:r>
      <w:r>
        <w:rPr>
          <w:rFonts w:hint="eastAsia"/>
          <w:color w:val="auto"/>
          <w:lang w:eastAsia="zh-CN"/>
        </w:rPr>
        <w:t>；</w:t>
      </w:r>
      <w:r>
        <w:rPr>
          <w:rFonts w:hint="eastAsia"/>
          <w:color w:val="auto"/>
        </w:rPr>
        <w:t>项目立项与部门职责范围相符，属于部门履职所需</w:t>
      </w:r>
      <w:r>
        <w:rPr>
          <w:rFonts w:hint="eastAsia"/>
          <w:color w:val="auto"/>
          <w:lang w:eastAsia="zh-CN"/>
        </w:rPr>
        <w:t>；</w:t>
      </w:r>
      <w:r>
        <w:rPr>
          <w:rFonts w:hint="eastAsia"/>
          <w:color w:val="auto"/>
        </w:rPr>
        <w:t>项目属于公共财政支持范围，符合中央、地方事权支出责任划分原则</w:t>
      </w:r>
      <w:r>
        <w:rPr>
          <w:rFonts w:hint="eastAsia"/>
          <w:color w:val="auto"/>
          <w:lang w:eastAsia="zh-CN"/>
        </w:rPr>
        <w:t>；</w:t>
      </w:r>
      <w:r>
        <w:rPr>
          <w:rFonts w:hint="eastAsia"/>
          <w:color w:val="auto"/>
        </w:rPr>
        <w:t>项目</w:t>
      </w:r>
      <w:r>
        <w:rPr>
          <w:rFonts w:hint="eastAsia"/>
          <w:color w:val="auto"/>
          <w:lang w:eastAsia="zh-CN"/>
        </w:rPr>
        <w:t>不</w:t>
      </w:r>
      <w:r>
        <w:rPr>
          <w:rFonts w:hint="eastAsia"/>
          <w:color w:val="auto"/>
        </w:rPr>
        <w:t>与相关部门同类项目或部门内部相关项目重复。</w:t>
      </w:r>
    </w:p>
    <w:p>
      <w:pPr>
        <w:spacing w:line="360" w:lineRule="auto"/>
        <w:ind w:firstLine="600" w:firstLineChars="200"/>
        <w:rPr>
          <w:rFonts w:hint="eastAsia" w:eastAsia="仿宋_GB2312"/>
          <w:color w:val="FF0000"/>
          <w:lang w:eastAsia="zh-CN"/>
        </w:rPr>
      </w:pPr>
    </w:p>
    <w:p>
      <w:pPr>
        <w:spacing w:line="360" w:lineRule="auto"/>
      </w:pPr>
      <w:r>
        <w:rPr>
          <w:rFonts w:hint="eastAsia"/>
        </w:rPr>
        <w:t>2、立项程序规范性</w:t>
      </w:r>
    </w:p>
    <w:p>
      <w:pPr>
        <w:spacing w:line="360" w:lineRule="auto"/>
        <w:ind w:firstLine="600" w:firstLineChars="200"/>
        <w:rPr>
          <w:color w:val="auto"/>
        </w:rPr>
      </w:pPr>
      <w:r>
        <w:rPr>
          <w:rFonts w:hint="eastAsia"/>
          <w:color w:val="auto"/>
          <w:lang w:eastAsia="zh-CN"/>
        </w:rPr>
        <w:t>该</w:t>
      </w:r>
      <w:r>
        <w:rPr>
          <w:rFonts w:hint="eastAsia"/>
          <w:color w:val="auto"/>
        </w:rPr>
        <w:t>项目按照规定的程序申请设立；</w:t>
      </w:r>
      <w:r>
        <w:rPr>
          <w:rFonts w:hint="eastAsia"/>
          <w:color w:val="auto"/>
          <w:lang w:eastAsia="zh-CN"/>
        </w:rPr>
        <w:t>项目</w:t>
      </w:r>
      <w:r>
        <w:rPr>
          <w:rFonts w:hint="eastAsia"/>
          <w:color w:val="auto"/>
        </w:rPr>
        <w:t>审批文件、材料符合相关要求；事前已经过必要的可行性研究、专家论证、风险评估、绩效评估、集体决策。</w:t>
      </w:r>
    </w:p>
    <w:p>
      <w:pPr>
        <w:spacing w:line="360" w:lineRule="auto"/>
        <w:rPr>
          <w:color w:val="FF0000"/>
        </w:rPr>
      </w:pPr>
      <w:r>
        <w:rPr>
          <w:rFonts w:hint="eastAsia"/>
        </w:rPr>
        <w:t>3、绩效目标合理性</w:t>
      </w:r>
    </w:p>
    <w:p>
      <w:pPr>
        <w:spacing w:line="360" w:lineRule="auto"/>
        <w:ind w:firstLine="600" w:firstLineChars="200"/>
        <w:rPr>
          <w:color w:val="FF0000"/>
        </w:rPr>
      </w:pPr>
      <w:r>
        <w:rPr>
          <w:rFonts w:hint="eastAsia"/>
          <w:color w:val="auto"/>
        </w:rPr>
        <w:t>2021年马场社区聘用人员工资项目设立了项目绩效目标，与为了提高工作人员的工作积极性，减轻企业办社会的负担，此项资金用于特克斯马场2021年企业办社会34个工作人员的工资及社保支出具有相关性，项目的预期产出效益和效果也均能符合正常的业绩水平，并且与预算确定的项目投资额或资金量相匹配。</w:t>
      </w:r>
    </w:p>
    <w:p>
      <w:pPr>
        <w:spacing w:line="360" w:lineRule="auto"/>
      </w:pPr>
      <w:r>
        <w:rPr>
          <w:rFonts w:hint="eastAsia"/>
        </w:rPr>
        <w:t>4、绩效指标明确性</w:t>
      </w:r>
    </w:p>
    <w:p>
      <w:pPr>
        <w:spacing w:line="360" w:lineRule="auto"/>
        <w:ind w:firstLine="600" w:firstLineChars="200"/>
        <w:rPr>
          <w:color w:val="auto"/>
        </w:rPr>
      </w:pPr>
      <w:bookmarkStart w:id="12" w:name="_Hlk68699917"/>
      <w:r>
        <w:rPr>
          <w:rFonts w:hint="eastAsia"/>
          <w:color w:val="auto"/>
        </w:rPr>
        <w:t>2021年马场社区聘用人员工资项目将项目绩效目标细化分解为具体的绩效指标，一级指标共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7</w:t>
      </w:r>
      <w:r>
        <w:rPr>
          <w:rFonts w:hint="eastAsia"/>
          <w:color w:val="auto"/>
        </w:rPr>
        <w:t>条，其中量化指标条数共</w:t>
      </w:r>
      <w:r>
        <w:rPr>
          <w:rFonts w:hint="eastAsia"/>
          <w:color w:val="auto"/>
          <w:lang w:val="en-US" w:eastAsia="zh-CN"/>
        </w:rPr>
        <w:t>6</w:t>
      </w:r>
      <w:r>
        <w:rPr>
          <w:rFonts w:hint="eastAsia"/>
          <w:color w:val="auto"/>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rPr>
          <w:rFonts w:hint="eastAsia" w:eastAsia="仿宋_GB2312"/>
          <w:color w:val="FF0000"/>
          <w:lang w:eastAsia="zh-CN"/>
        </w:rPr>
      </w:pPr>
      <w:r>
        <w:rPr>
          <w:rFonts w:hint="eastAsia"/>
          <w:color w:val="auto"/>
          <w:lang w:eastAsia="zh-CN"/>
        </w:rPr>
        <w:t>该项目经过</w:t>
      </w:r>
      <w:r>
        <w:rPr>
          <w:rFonts w:hint="eastAsia"/>
          <w:color w:val="auto"/>
        </w:rPr>
        <w:t>预算编制经过科学论证</w:t>
      </w:r>
      <w:r>
        <w:rPr>
          <w:rFonts w:hint="eastAsia"/>
          <w:color w:val="auto"/>
          <w:lang w:eastAsia="zh-CN"/>
        </w:rPr>
        <w:t>，</w:t>
      </w:r>
      <w:r>
        <w:rPr>
          <w:rFonts w:hint="eastAsia"/>
          <w:color w:val="auto"/>
        </w:rPr>
        <w:t>预算内容与项目内容匹配</w:t>
      </w:r>
      <w:r>
        <w:rPr>
          <w:rFonts w:hint="eastAsia"/>
          <w:color w:val="auto"/>
          <w:lang w:eastAsia="zh-CN"/>
        </w:rPr>
        <w:t>，</w:t>
      </w:r>
      <w:r>
        <w:rPr>
          <w:rFonts w:hint="eastAsia"/>
          <w:color w:val="auto"/>
        </w:rPr>
        <w:t>预算额度测算依据充分，按照标准编制</w:t>
      </w:r>
      <w:r>
        <w:rPr>
          <w:rFonts w:hint="eastAsia"/>
          <w:color w:val="auto"/>
          <w:lang w:eastAsia="zh-CN"/>
        </w:rPr>
        <w:t>，</w:t>
      </w:r>
      <w:r>
        <w:rPr>
          <w:rFonts w:hint="eastAsia"/>
          <w:color w:val="auto"/>
        </w:rPr>
        <w:t>预算确定的项目投资额或资金量与工作任务相匹配</w:t>
      </w:r>
      <w:r>
        <w:rPr>
          <w:rFonts w:hint="eastAsia"/>
          <w:color w:val="auto"/>
          <w:lang w:eastAsia="zh-CN"/>
        </w:rPr>
        <w:t>。</w:t>
      </w:r>
    </w:p>
    <w:p>
      <w:pPr>
        <w:spacing w:line="360" w:lineRule="auto"/>
      </w:pPr>
      <w:r>
        <w:rPr>
          <w:rFonts w:hint="eastAsia"/>
        </w:rPr>
        <w:t>6、资金分配合理性</w:t>
      </w:r>
    </w:p>
    <w:p>
      <w:pPr>
        <w:spacing w:line="360" w:lineRule="auto"/>
        <w:ind w:firstLine="600" w:firstLineChars="200"/>
        <w:rPr>
          <w:color w:val="auto"/>
          <w:highlight w:val="none"/>
        </w:rPr>
      </w:pPr>
      <w:r>
        <w:rPr>
          <w:rFonts w:hint="eastAsia"/>
          <w:color w:val="auto"/>
          <w:highlight w:val="none"/>
        </w:rPr>
        <w:t>预算资金分配依据充分</w:t>
      </w:r>
      <w:r>
        <w:rPr>
          <w:rFonts w:hint="eastAsia"/>
          <w:color w:val="auto"/>
          <w:highlight w:val="none"/>
          <w:lang w:eastAsia="zh-CN"/>
        </w:rPr>
        <w:t>，</w:t>
      </w:r>
      <w:r>
        <w:rPr>
          <w:rFonts w:hint="eastAsia"/>
          <w:color w:val="auto"/>
          <w:highlight w:val="none"/>
        </w:rPr>
        <w:t>资金分配额度合理，与项目单位或地方实际相适应。</w:t>
      </w:r>
    </w:p>
    <w:p>
      <w:pPr>
        <w:pStyle w:val="4"/>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349</w:t>
      </w:r>
      <w:r>
        <w:rPr>
          <w:rFonts w:hint="eastAsia"/>
          <w:color w:val="auto"/>
        </w:rPr>
        <w:t>万元，实际到位资金</w:t>
      </w:r>
      <w:r>
        <w:rPr>
          <w:rFonts w:hint="eastAsia"/>
          <w:color w:val="auto"/>
          <w:lang w:val="en-US" w:eastAsia="zh-CN"/>
        </w:rPr>
        <w:t>349</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color w:val="auto"/>
        </w:rPr>
      </w:pPr>
      <w:r>
        <w:rPr>
          <w:rFonts w:hint="eastAsia"/>
          <w:color w:val="auto"/>
        </w:rPr>
        <w:t>年初预算数</w:t>
      </w:r>
      <w:r>
        <w:rPr>
          <w:rFonts w:hint="eastAsia"/>
          <w:color w:val="auto"/>
          <w:lang w:val="en-US" w:eastAsia="zh-CN"/>
        </w:rPr>
        <w:t>349</w:t>
      </w:r>
      <w:r>
        <w:rPr>
          <w:rFonts w:hint="eastAsia"/>
          <w:color w:val="auto"/>
        </w:rPr>
        <w:t>万元，全年预算数</w:t>
      </w:r>
      <w:r>
        <w:rPr>
          <w:rFonts w:hint="eastAsia"/>
          <w:color w:val="auto"/>
          <w:lang w:val="en-US" w:eastAsia="zh-CN"/>
        </w:rPr>
        <w:t>349</w:t>
      </w:r>
      <w:r>
        <w:rPr>
          <w:rFonts w:hint="eastAsia"/>
          <w:color w:val="auto"/>
        </w:rPr>
        <w:t>万元，全年执行数</w:t>
      </w:r>
      <w:r>
        <w:rPr>
          <w:rFonts w:hint="eastAsia"/>
          <w:color w:val="auto"/>
          <w:lang w:val="en-US" w:eastAsia="zh-CN"/>
        </w:rPr>
        <w:t>349</w:t>
      </w:r>
      <w:r>
        <w:rPr>
          <w:rFonts w:hint="eastAsia"/>
          <w:color w:val="auto"/>
        </w:rPr>
        <w:t>万元，预算执行率为</w:t>
      </w:r>
      <w:r>
        <w:rPr>
          <w:rFonts w:hint="eastAsia"/>
          <w:color w:val="auto"/>
          <w:lang w:val="en-US" w:eastAsia="zh-CN"/>
        </w:rPr>
        <w:t>100</w:t>
      </w:r>
      <w:r>
        <w:rPr>
          <w:rFonts w:hint="eastAsia"/>
          <w:color w:val="auto"/>
        </w:rPr>
        <w:t>%</w:t>
      </w:r>
    </w:p>
    <w:p>
      <w:pPr>
        <w:spacing w:line="360" w:lineRule="auto"/>
      </w:pPr>
      <w:r>
        <w:rPr>
          <w:rFonts w:hint="eastAsia"/>
        </w:rPr>
        <w:t>3、资金使用合规性</w:t>
      </w:r>
    </w:p>
    <w:p>
      <w:pPr>
        <w:spacing w:line="360" w:lineRule="auto"/>
        <w:ind w:firstLine="600" w:firstLineChars="200"/>
        <w:rPr>
          <w:color w:val="auto"/>
        </w:rPr>
      </w:pPr>
      <w:r>
        <w:rPr>
          <w:rFonts w:hint="eastAsia"/>
          <w:color w:val="auto"/>
          <w:lang w:eastAsia="zh-CN"/>
        </w:rPr>
        <w:t>该项目</w:t>
      </w:r>
      <w:r>
        <w:rPr>
          <w:rFonts w:hint="eastAsia"/>
          <w:color w:val="auto"/>
        </w:rPr>
        <w:t>符合国家财经法规和财务管理制度以及有关专项资金管理办法的规定</w:t>
      </w:r>
      <w:r>
        <w:rPr>
          <w:rFonts w:hint="eastAsia"/>
          <w:color w:val="auto"/>
          <w:lang w:eastAsia="zh-CN"/>
        </w:rPr>
        <w:t>，</w:t>
      </w:r>
      <w:r>
        <w:rPr>
          <w:rFonts w:hint="eastAsia"/>
          <w:color w:val="auto"/>
        </w:rPr>
        <w:t>资金的拨付有完整的审批程序和手续</w:t>
      </w:r>
      <w:r>
        <w:rPr>
          <w:rFonts w:hint="eastAsia"/>
          <w:color w:val="auto"/>
          <w:lang w:eastAsia="zh-CN"/>
        </w:rPr>
        <w:t>，</w:t>
      </w:r>
      <w:r>
        <w:rPr>
          <w:rFonts w:hint="eastAsia"/>
          <w:color w:val="auto"/>
        </w:rPr>
        <w:t>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pPr>
      <w:r>
        <w:rPr>
          <w:rFonts w:hint="eastAsia"/>
        </w:rPr>
        <w:t>4、管理制度健全性</w:t>
      </w:r>
    </w:p>
    <w:p>
      <w:pPr>
        <w:spacing w:line="360" w:lineRule="auto"/>
        <w:ind w:firstLine="600" w:firstLineChars="200"/>
        <w:rPr>
          <w:rFonts w:hint="eastAsia" w:eastAsia="仿宋_GB2312"/>
          <w:color w:val="auto"/>
          <w:lang w:eastAsia="zh-CN"/>
        </w:rPr>
      </w:pPr>
      <w:r>
        <w:rPr>
          <w:rFonts w:hint="eastAsia"/>
          <w:color w:val="auto"/>
          <w:lang w:val="en-US" w:eastAsia="zh-CN"/>
        </w:rPr>
        <w:t>本项目</w:t>
      </w:r>
      <w:r>
        <w:rPr>
          <w:rFonts w:hint="eastAsia"/>
          <w:color w:val="auto"/>
        </w:rPr>
        <w:t>已制定或具有相应的财务和业务管理制度</w:t>
      </w:r>
      <w:r>
        <w:rPr>
          <w:rFonts w:hint="eastAsia"/>
          <w:color w:val="auto"/>
          <w:lang w:eastAsia="zh-CN"/>
        </w:rPr>
        <w:t>，</w:t>
      </w:r>
      <w:r>
        <w:rPr>
          <w:rFonts w:hint="eastAsia"/>
          <w:color w:val="auto"/>
        </w:rPr>
        <w:t>财务和业务管理制度合法、合规、完整</w:t>
      </w:r>
      <w:r>
        <w:rPr>
          <w:rFonts w:hint="eastAsia"/>
          <w:color w:val="auto"/>
          <w:lang w:eastAsia="zh-CN"/>
        </w:rPr>
        <w:t>。</w:t>
      </w:r>
    </w:p>
    <w:p>
      <w:pPr>
        <w:spacing w:line="360" w:lineRule="auto"/>
        <w:rPr>
          <w:color w:val="auto"/>
        </w:rPr>
      </w:pPr>
      <w:r>
        <w:rPr>
          <w:rFonts w:hint="eastAsia"/>
          <w:color w:val="auto"/>
        </w:rPr>
        <w:t>5、制度执行有效性</w:t>
      </w:r>
    </w:p>
    <w:p>
      <w:pPr>
        <w:spacing w:line="360" w:lineRule="auto"/>
        <w:ind w:firstLine="600" w:firstLineChars="200"/>
        <w:rPr>
          <w:color w:val="FF0000"/>
        </w:rPr>
      </w:pPr>
      <w:r>
        <w:rPr>
          <w:rFonts w:hint="eastAsia"/>
          <w:color w:val="auto"/>
          <w:lang w:val="en-US" w:eastAsia="zh-CN"/>
        </w:rPr>
        <w:t>本项目</w:t>
      </w:r>
      <w:r>
        <w:rPr>
          <w:rFonts w:hint="eastAsia"/>
          <w:color w:val="auto"/>
        </w:rPr>
        <w:t>遵守相关法律法规和相关管理规定</w:t>
      </w:r>
      <w:r>
        <w:rPr>
          <w:rFonts w:hint="eastAsia"/>
          <w:color w:val="auto"/>
          <w:lang w:eastAsia="zh-CN"/>
        </w:rPr>
        <w:t>，</w:t>
      </w:r>
      <w:r>
        <w:rPr>
          <w:rFonts w:hint="eastAsia"/>
          <w:color w:val="auto"/>
        </w:rPr>
        <w:t>项目调整及支出调整手续完备</w:t>
      </w:r>
      <w:r>
        <w:rPr>
          <w:rFonts w:hint="eastAsia"/>
          <w:color w:val="auto"/>
          <w:lang w:eastAsia="zh-CN"/>
        </w:rPr>
        <w:t>，</w:t>
      </w:r>
      <w:r>
        <w:rPr>
          <w:rFonts w:hint="eastAsia"/>
          <w:color w:val="auto"/>
        </w:rPr>
        <w:t>项目合同书、验收报告、技术鉴定等资料齐全并及时归档</w:t>
      </w:r>
      <w:r>
        <w:rPr>
          <w:rFonts w:hint="eastAsia"/>
          <w:color w:val="auto"/>
          <w:lang w:eastAsia="zh-CN"/>
        </w:rPr>
        <w:t>，</w:t>
      </w:r>
      <w:r>
        <w:rPr>
          <w:rFonts w:hint="eastAsia"/>
          <w:color w:val="auto"/>
        </w:rPr>
        <w:t>项目实施的人员条件、场地设备、信息支撑等</w:t>
      </w:r>
      <w:r>
        <w:rPr>
          <w:rFonts w:hint="eastAsia"/>
          <w:color w:val="auto"/>
          <w:lang w:eastAsia="zh-CN"/>
        </w:rPr>
        <w:t>已</w:t>
      </w:r>
      <w:r>
        <w:rPr>
          <w:rFonts w:hint="eastAsia"/>
          <w:color w:val="auto"/>
        </w:rPr>
        <w:t>落实到位。</w:t>
      </w:r>
    </w:p>
    <w:p>
      <w:pPr>
        <w:pStyle w:val="4"/>
        <w:spacing w:line="360" w:lineRule="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numPr>
          <w:ilvl w:val="0"/>
          <w:numId w:val="1"/>
        </w:numPr>
        <w:spacing w:line="360" w:lineRule="auto"/>
        <w:ind w:firstLine="600" w:firstLineChars="200"/>
        <w:rPr>
          <w:rFonts w:hint="eastAsia"/>
          <w:color w:val="auto"/>
          <w:lang w:eastAsia="zh-CN"/>
        </w:rPr>
      </w:pPr>
      <w:r>
        <w:rPr>
          <w:rFonts w:hint="eastAsia"/>
          <w:color w:val="auto"/>
        </w:rPr>
        <w:t>数量指标：指标1：工作人员人数</w:t>
      </w:r>
      <w:r>
        <w:rPr>
          <w:rFonts w:hint="eastAsia"/>
          <w:color w:val="auto"/>
          <w:lang w:eastAsia="zh-CN"/>
        </w:rPr>
        <w:t>，</w:t>
      </w:r>
      <w:r>
        <w:rPr>
          <w:rFonts w:hint="eastAsia"/>
          <w:color w:val="auto"/>
        </w:rPr>
        <w:t>指标值：</w:t>
      </w:r>
      <w:r>
        <w:rPr>
          <w:rFonts w:hint="eastAsia"/>
          <w:color w:val="auto"/>
          <w:lang w:val="en-US" w:eastAsia="zh-CN"/>
        </w:rPr>
        <w:t>=</w:t>
      </w:r>
      <w:r>
        <w:rPr>
          <w:rFonts w:hint="eastAsia"/>
          <w:color w:val="auto"/>
        </w:rPr>
        <w:t>34人，实际完成值34人，指标完成率</w:t>
      </w:r>
      <w:r>
        <w:rPr>
          <w:rFonts w:hint="eastAsia"/>
          <w:color w:val="auto"/>
          <w:lang w:val="en-US" w:eastAsia="zh-CN"/>
        </w:rPr>
        <w:t>100</w:t>
      </w:r>
      <w:r>
        <w:rPr>
          <w:rFonts w:hint="eastAsia"/>
          <w:color w:val="auto"/>
        </w:rPr>
        <w:t>%；指标2：工资及福利发放次数，指标值：</w:t>
      </w:r>
      <w:r>
        <w:rPr>
          <w:rFonts w:hint="eastAsia"/>
          <w:color w:val="auto"/>
          <w:lang w:val="en-US" w:eastAsia="zh-CN"/>
        </w:rPr>
        <w:t>=12次</w:t>
      </w:r>
      <w:r>
        <w:rPr>
          <w:rFonts w:hint="eastAsia"/>
          <w:color w:val="auto"/>
        </w:rPr>
        <w:t>，实际完成值</w:t>
      </w:r>
      <w:r>
        <w:rPr>
          <w:rFonts w:hint="eastAsia"/>
          <w:color w:val="auto"/>
          <w:lang w:val="en-US" w:eastAsia="zh-CN"/>
        </w:rPr>
        <w:t>12次</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numPr>
          <w:ilvl w:val="0"/>
          <w:numId w:val="0"/>
        </w:numPr>
        <w:spacing w:line="360" w:lineRule="auto"/>
        <w:ind w:firstLine="600" w:firstLineChars="200"/>
        <w:rPr>
          <w:color w:val="auto"/>
        </w:rPr>
      </w:pPr>
      <w:r>
        <w:rPr>
          <w:color w:val="auto"/>
        </w:rPr>
        <w:t>2</w:t>
      </w:r>
      <w:r>
        <w:rPr>
          <w:rFonts w:hint="eastAsia"/>
          <w:color w:val="auto"/>
        </w:rPr>
        <w:t>、质量指标：指标1：工资及各项福利保障率，指标值：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color w:val="auto"/>
        </w:rPr>
      </w:pPr>
      <w:r>
        <w:rPr>
          <w:rFonts w:hint="eastAsia"/>
          <w:color w:val="auto"/>
        </w:rPr>
        <w:t>3、时效指标：指标1：工资及各项福利发放及时率，指标值：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rFonts w:hint="eastAsia"/>
          <w:color w:val="auto"/>
        </w:rPr>
      </w:pPr>
      <w:r>
        <w:rPr>
          <w:rFonts w:hint="eastAsia"/>
          <w:color w:val="auto"/>
        </w:rPr>
        <w:t>4、成本指标</w:t>
      </w:r>
      <w:r>
        <w:rPr>
          <w:rFonts w:hint="eastAsia"/>
          <w:color w:val="auto"/>
          <w:lang w:eastAsia="zh-CN"/>
        </w:rPr>
        <w:t>：</w:t>
      </w:r>
      <w:r>
        <w:rPr>
          <w:rFonts w:hint="eastAsia"/>
          <w:color w:val="auto"/>
        </w:rPr>
        <w:t>指标1：工资及各项福利人均支出标准，指标值：</w:t>
      </w:r>
      <w:r>
        <w:rPr>
          <w:rFonts w:hint="eastAsia"/>
          <w:color w:val="auto"/>
          <w:lang w:val="en-US" w:eastAsia="zh-CN"/>
        </w:rPr>
        <w:t>≤8554元/人/月</w:t>
      </w:r>
      <w:r>
        <w:rPr>
          <w:rFonts w:hint="eastAsia"/>
          <w:color w:val="auto"/>
        </w:rPr>
        <w:t>，实际完成值</w:t>
      </w:r>
      <w:r>
        <w:rPr>
          <w:rFonts w:hint="eastAsia"/>
          <w:color w:val="auto"/>
          <w:lang w:val="en-US" w:eastAsia="zh-CN"/>
        </w:rPr>
        <w:t>≤8554元/人/月</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pStyle w:val="4"/>
        <w:spacing w:line="360" w:lineRule="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rFonts w:hint="eastAsia"/>
          <w:color w:val="auto"/>
        </w:rPr>
      </w:pPr>
      <w:r>
        <w:rPr>
          <w:rFonts w:hint="eastAsia"/>
          <w:color w:val="auto"/>
          <w:lang w:val="en-US" w:eastAsia="zh-CN"/>
        </w:rPr>
        <w:t>1</w:t>
      </w:r>
      <w:r>
        <w:rPr>
          <w:rFonts w:hint="eastAsia"/>
          <w:color w:val="auto"/>
        </w:rPr>
        <w:t>、社会效益指标：指标1：提高工作人员工作积极性，指标值：</w:t>
      </w:r>
      <w:r>
        <w:rPr>
          <w:rFonts w:hint="eastAsia"/>
          <w:color w:val="auto"/>
          <w:lang w:val="en-US" w:eastAsia="zh-CN"/>
        </w:rPr>
        <w:t>有效提高工作人员工作积极性</w:t>
      </w:r>
      <w:r>
        <w:rPr>
          <w:rFonts w:hint="eastAsia"/>
          <w:color w:val="auto"/>
        </w:rPr>
        <w:t>，实际完成值</w:t>
      </w:r>
      <w:r>
        <w:rPr>
          <w:rFonts w:hint="eastAsia"/>
          <w:color w:val="auto"/>
          <w:lang w:val="en-US" w:eastAsia="zh-CN"/>
        </w:rPr>
        <w:t>有效提高工作人员工作积极性</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color w:val="auto"/>
        </w:rPr>
      </w:pPr>
    </w:p>
    <w:p>
      <w:pPr>
        <w:spacing w:line="360" w:lineRule="auto"/>
        <w:ind w:firstLine="600" w:firstLineChars="200"/>
        <w:rPr>
          <w:rFonts w:hint="eastAsia"/>
          <w:color w:val="auto"/>
        </w:rPr>
      </w:pPr>
      <w:r>
        <w:rPr>
          <w:rFonts w:hint="eastAsia"/>
          <w:color w:val="auto"/>
          <w:lang w:val="en-US" w:eastAsia="zh-CN"/>
        </w:rPr>
        <w:t>2</w:t>
      </w:r>
      <w:r>
        <w:rPr>
          <w:rFonts w:hint="eastAsia"/>
          <w:color w:val="auto"/>
        </w:rPr>
        <w:t>、满意度指标：指标1：工作人员的满意度，指标值：</w:t>
      </w:r>
      <w:r>
        <w:rPr>
          <w:rFonts w:hint="eastAsia"/>
          <w:color w:val="auto"/>
          <w:lang w:val="en-US" w:eastAsia="zh-CN"/>
        </w:rPr>
        <w:t>≥90%</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rFonts w:hint="eastAsia"/>
          <w:color w:val="auto"/>
        </w:rPr>
      </w:pPr>
    </w:p>
    <w:p>
      <w:pPr>
        <w:pStyle w:val="3"/>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4"/>
        <w:spacing w:line="360" w:lineRule="auto"/>
        <w:rPr>
          <w:rFonts w:ascii="仿宋_GB2312" w:eastAsia="仿宋_GB2312"/>
          <w:b w:val="0"/>
          <w:bCs w:val="0"/>
        </w:rPr>
      </w:pPr>
      <w:bookmarkStart w:id="17" w:name="_Toc68703843"/>
      <w:r>
        <w:rPr>
          <w:rFonts w:hint="eastAsia" w:ascii="仿宋_GB2312" w:eastAsia="仿宋_GB2312"/>
          <w:b w:val="0"/>
          <w:bCs w:val="0"/>
        </w:rPr>
        <w:t>（一）主要经验及做法</w:t>
      </w:r>
      <w:bookmarkEnd w:id="17"/>
    </w:p>
    <w:p>
      <w:pPr>
        <w:spacing w:line="360" w:lineRule="auto"/>
        <w:ind w:firstLine="600" w:firstLineChars="200"/>
        <w:rPr>
          <w:rFonts w:hint="eastAsia"/>
          <w:color w:val="auto"/>
        </w:rPr>
      </w:pPr>
      <w:bookmarkStart w:id="18" w:name="_Toc68703844"/>
      <w:r>
        <w:rPr>
          <w:rFonts w:hint="eastAsia"/>
          <w:color w:val="auto"/>
        </w:rPr>
        <w:t>1、成立项目建设管理机构，责任落实到个人，严把质量关，严格控制项目资金支付、进度等。</w:t>
      </w:r>
    </w:p>
    <w:p>
      <w:pPr>
        <w:spacing w:line="360" w:lineRule="auto"/>
        <w:ind w:firstLine="600" w:firstLineChars="200"/>
        <w:rPr>
          <w:rFonts w:hint="eastAsia"/>
          <w:color w:val="auto"/>
        </w:rPr>
      </w:pPr>
      <w:r>
        <w:rPr>
          <w:rFonts w:hint="eastAsia"/>
          <w:color w:val="auto"/>
        </w:rPr>
        <w:t>2、项目建设前，由建设单位协调项目区涉及乡镇进行建设场地协调工作，为项目如期开工做好准备。</w:t>
      </w:r>
    </w:p>
    <w:p>
      <w:pPr>
        <w:spacing w:line="360" w:lineRule="auto"/>
        <w:ind w:firstLine="600" w:firstLineChars="200"/>
        <w:rPr>
          <w:rFonts w:hint="eastAsia"/>
          <w:color w:val="auto"/>
        </w:rPr>
      </w:pPr>
      <w:r>
        <w:rPr>
          <w:rFonts w:hint="eastAsia"/>
          <w:color w:val="auto"/>
        </w:rPr>
        <w:t>3、要求施工单位中标后，提前储备砂石骨料并送试验检测单位进行检测。</w:t>
      </w:r>
    </w:p>
    <w:p>
      <w:pPr>
        <w:spacing w:line="360" w:lineRule="auto"/>
        <w:ind w:firstLine="600" w:firstLineChars="200"/>
        <w:rPr>
          <w:rFonts w:hint="eastAsia"/>
          <w:color w:val="auto"/>
        </w:rPr>
      </w:pPr>
      <w:r>
        <w:rPr>
          <w:rFonts w:hint="eastAsia"/>
          <w:color w:val="auto"/>
        </w:rPr>
        <w:t>4、项目开工后，组织建设、监理及施工单位对工程进行倒排工期，确保建设项目如期完成。</w:t>
      </w:r>
    </w:p>
    <w:p>
      <w:pPr>
        <w:pStyle w:val="4"/>
        <w:spacing w:line="360" w:lineRule="auto"/>
        <w:rPr>
          <w:rFonts w:ascii="仿宋_GB2312" w:eastAsia="仿宋_GB2312"/>
          <w:b w:val="0"/>
          <w:bCs w:val="0"/>
        </w:rPr>
      </w:pPr>
      <w:r>
        <w:rPr>
          <w:rFonts w:hint="eastAsia" w:ascii="仿宋_GB2312" w:eastAsia="仿宋_GB2312"/>
          <w:b w:val="0"/>
          <w:bCs w:val="0"/>
        </w:rPr>
        <w:t>（二）存在的问题及原因分析</w:t>
      </w:r>
      <w:bookmarkEnd w:id="18"/>
    </w:p>
    <w:p>
      <w:pPr>
        <w:spacing w:line="360" w:lineRule="auto"/>
        <w:ind w:firstLine="600" w:firstLineChars="200"/>
        <w:rPr>
          <w:rFonts w:hint="eastAsia"/>
          <w:color w:val="auto"/>
        </w:rPr>
      </w:pPr>
      <w:bookmarkStart w:id="19" w:name="_Toc68703845"/>
      <w:r>
        <w:rPr>
          <w:rFonts w:hint="eastAsia"/>
          <w:color w:val="auto"/>
        </w:rPr>
        <w:t>1、项目单位对绩效管理意识不强，对绩效考评工作意识不够，认为只要把项目建设内容完成、资金用完就完成了任务。</w:t>
      </w:r>
    </w:p>
    <w:p>
      <w:pPr>
        <w:spacing w:line="360" w:lineRule="auto"/>
        <w:ind w:firstLine="600" w:firstLineChars="200"/>
        <w:rPr>
          <w:rFonts w:hint="eastAsia"/>
          <w:color w:val="auto"/>
        </w:rPr>
      </w:pPr>
      <w:r>
        <w:rPr>
          <w:rFonts w:hint="eastAsia"/>
          <w:color w:val="auto"/>
        </w:rPr>
        <w:t>2、部分项目绩效目标不够明确、不够细化和量化。主要是因为在项目实施过程中，绩效评价资料收集不全面、不完整、不及时，以至于绩效评价时现去找资料，造成资料收集困难，甚至缺失，严重影响了绩效目标评价。</w:t>
      </w:r>
    </w:p>
    <w:p>
      <w:pPr>
        <w:spacing w:line="360" w:lineRule="auto"/>
        <w:ind w:firstLine="600" w:firstLineChars="200"/>
        <w:rPr>
          <w:rFonts w:hint="eastAsia"/>
          <w:color w:val="auto"/>
        </w:rPr>
      </w:pPr>
      <w:r>
        <w:rPr>
          <w:rFonts w:hint="eastAsia"/>
          <w:color w:val="auto"/>
        </w:rPr>
        <w:t>3、缺少对绩效评价工作过程中管理，往往都是在项目实施完成后，或项目进行到一个阶段后需绩效评价时，才着手这项工作，造成整体绩效评价依据不足。</w:t>
      </w:r>
    </w:p>
    <w:p>
      <w:pPr>
        <w:pStyle w:val="3"/>
        <w:spacing w:line="360" w:lineRule="auto"/>
        <w:rPr>
          <w:rFonts w:hint="eastAsia" w:ascii="宋体" w:hAnsi="宋体" w:eastAsia="宋体"/>
          <w:sz w:val="32"/>
          <w:szCs w:val="32"/>
        </w:rPr>
      </w:pPr>
      <w:r>
        <w:rPr>
          <w:rFonts w:hint="eastAsia" w:ascii="宋体" w:hAnsi="宋体" w:eastAsia="宋体"/>
          <w:sz w:val="32"/>
          <w:szCs w:val="32"/>
        </w:rPr>
        <w:t>六、有关建议</w:t>
      </w:r>
      <w:bookmarkEnd w:id="19"/>
    </w:p>
    <w:p>
      <w:pPr>
        <w:spacing w:line="360" w:lineRule="auto"/>
        <w:ind w:firstLine="600" w:firstLineChars="200"/>
        <w:rPr>
          <w:rFonts w:hint="eastAsia"/>
          <w:color w:val="auto"/>
        </w:rPr>
      </w:pPr>
      <w:r>
        <w:rPr>
          <w:rFonts w:hint="eastAsia"/>
          <w:color w:val="auto"/>
        </w:rPr>
        <w:t>1、加强预算编制的合理性</w:t>
      </w:r>
    </w:p>
    <w:p>
      <w:pPr>
        <w:spacing w:line="360" w:lineRule="auto"/>
        <w:ind w:firstLine="600" w:firstLineChars="200"/>
        <w:rPr>
          <w:rFonts w:hint="eastAsia"/>
          <w:color w:val="auto"/>
        </w:rPr>
      </w:pPr>
      <w:r>
        <w:rPr>
          <w:rFonts w:hint="eastAsia"/>
          <w:color w:val="auto"/>
        </w:rPr>
        <w:t>增强预算业务控制，年初详细做好预算，对每一项支出做出详尽的预判，结合我县实际情况，在保证防洪工作正常进行的情况下，提出年度计划。</w:t>
      </w:r>
    </w:p>
    <w:p>
      <w:pPr>
        <w:spacing w:line="360" w:lineRule="auto"/>
        <w:ind w:firstLine="600" w:firstLineChars="200"/>
        <w:rPr>
          <w:rFonts w:hint="eastAsia"/>
          <w:color w:val="auto"/>
        </w:rPr>
      </w:pPr>
      <w:r>
        <w:rPr>
          <w:rFonts w:hint="eastAsia"/>
          <w:color w:val="auto"/>
        </w:rPr>
        <w:t>2、严格控制预算执行</w:t>
      </w:r>
    </w:p>
    <w:p>
      <w:pPr>
        <w:spacing w:line="360" w:lineRule="auto"/>
        <w:ind w:firstLine="600" w:firstLineChars="200"/>
        <w:rPr>
          <w:rFonts w:hint="eastAsia"/>
          <w:color w:val="auto"/>
        </w:rPr>
      </w:pPr>
      <w:r>
        <w:rPr>
          <w:rFonts w:hint="eastAsia"/>
          <w:color w:val="auto"/>
        </w:rPr>
        <w:t>建立预算执行全过程动态监控机制，完善预算执行管理办法，建立健全预算绩效管理体系，增强预算执行的严肃性，提高预算执行的准确率。</w:t>
      </w:r>
    </w:p>
    <w:p>
      <w:pPr>
        <w:spacing w:line="360" w:lineRule="auto"/>
        <w:ind w:firstLine="600" w:firstLineChars="200"/>
        <w:rPr>
          <w:rFonts w:hint="eastAsia"/>
          <w:color w:val="auto"/>
        </w:rPr>
      </w:pPr>
      <w:r>
        <w:rPr>
          <w:rFonts w:hint="eastAsia"/>
          <w:color w:val="auto"/>
        </w:rPr>
        <w:t>3、积极开展预算绩效管理</w:t>
      </w:r>
    </w:p>
    <w:p>
      <w:pPr>
        <w:spacing w:line="360" w:lineRule="auto"/>
        <w:ind w:firstLine="600" w:firstLineChars="200"/>
        <w:rPr>
          <w:rFonts w:hint="eastAsia"/>
          <w:color w:val="auto"/>
        </w:rPr>
      </w:pPr>
      <w:r>
        <w:rPr>
          <w:rFonts w:hint="eastAsia"/>
          <w:color w:val="auto"/>
        </w:rPr>
        <w:t>加强财政预算资金事前、事中、事后控制，避免财政资金浪费，在资金使用结束后进行严格自查，根据事前设定的绩效目标科学评判效率效果，并将评价结果合理运用到第二年的预算编制工作中。</w:t>
      </w:r>
    </w:p>
    <w:p/>
    <w:p>
      <w:pPr>
        <w:pStyle w:val="3"/>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ind w:firstLine="1168" w:firstLineChars="400"/>
        <w:rPr>
          <w:color w:val="000000" w:themeColor="text1"/>
          <w:spacing w:val="-4"/>
          <w:szCs w:val="32"/>
          <w14:textFill>
            <w14:solidFill>
              <w14:schemeClr w14:val="tx1"/>
            </w14:solidFill>
          </w14:textFill>
        </w:rPr>
      </w:pPr>
      <w:r>
        <w:rPr>
          <w:rFonts w:hint="eastAsia"/>
          <w:color w:val="000000" w:themeColor="text1"/>
          <w:spacing w:val="-4"/>
          <w:szCs w:val="32"/>
          <w14:textFill>
            <w14:solidFill>
              <w14:schemeClr w14:val="tx1"/>
            </w14:solidFill>
          </w14:textFill>
        </w:rPr>
        <w:t>无其他说明内容。</w:t>
      </w:r>
    </w:p>
    <w:p>
      <w:pPr>
        <w:spacing w:line="360" w:lineRule="auto"/>
      </w:pPr>
    </w:p>
    <w:p>
      <w:bookmarkStart w:id="21" w:name="_GoBack"/>
      <w:bookmarkEnd w:id="21"/>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92DAA3"/>
    <w:multiLevelType w:val="singleLevel"/>
    <w:tmpl w:val="7592DA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5B64E8"/>
    <w:rsid w:val="00614288"/>
    <w:rsid w:val="00792CFE"/>
    <w:rsid w:val="007D49C5"/>
    <w:rsid w:val="008C631D"/>
    <w:rsid w:val="00B24331"/>
    <w:rsid w:val="188C0925"/>
    <w:rsid w:val="25A70C69"/>
    <w:rsid w:val="2B1D6CF8"/>
    <w:rsid w:val="5A97320B"/>
    <w:rsid w:val="5E557C41"/>
    <w:rsid w:val="7A072C82"/>
    <w:rsid w:val="7DE5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1">
    <w:name w:val="标题 2 字符"/>
    <w:basedOn w:val="8"/>
    <w:link w:val="4"/>
    <w:qFormat/>
    <w:uiPriority w:val="9"/>
    <w:rPr>
      <w:rFonts w:asciiTheme="majorHAnsi" w:hAnsiTheme="majorHAnsi" w:eastAsiaTheme="majorEastAsia" w:cstheme="majorBidi"/>
      <w:b/>
      <w:bCs/>
      <w:sz w:val="32"/>
      <w:szCs w:val="32"/>
    </w:rPr>
  </w:style>
  <w:style w:type="paragraph" w:customStyle="1" w:styleId="1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5069</Words>
  <Characters>5272</Characters>
  <Lines>38</Lines>
  <Paragraphs>10</Paragraphs>
  <TotalTime>31</TotalTime>
  <ScaleCrop>false</ScaleCrop>
  <LinksUpToDate>false</LinksUpToDate>
  <CharactersWithSpaces>5287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2022-04-26T03:14:43Z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0BD52DB354C54E938F089BD63DAF5E9C</vt:lpwstr>
  </property>
</Properties>
</file>