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eastAsia" w:ascii="仿宋_GB2312"/>
        </w:rPr>
      </w:pPr>
      <w:r>
        <w:rPr>
          <w:rFonts w:hint="eastAsia" w:ascii="宋体" w:hAnsi="宋体" w:eastAsia="宋体" w:cs="仿宋_GB2312"/>
          <w:b/>
          <w:bCs/>
          <w:color w:val="000000"/>
          <w:kern w:val="0"/>
          <w:sz w:val="32"/>
          <w:szCs w:val="32"/>
        </w:rPr>
        <w:t>项目名称：</w:t>
      </w:r>
      <w:r>
        <w:rPr>
          <w:rFonts w:hint="eastAsia" w:ascii="仿宋_GB2312"/>
        </w:rPr>
        <w:t xml:space="preserve"> 伊犁州特克斯县全域旅游基础设施建设项目</w:t>
      </w:r>
    </w:p>
    <w:p>
      <w:pPr>
        <w:spacing w:line="560" w:lineRule="exact"/>
        <w:ind w:firstLine="321" w:firstLineChars="100"/>
        <w:rPr>
          <w:rFonts w:hint="eastAsia" w:ascii="仿宋_GB2312"/>
        </w:rPr>
      </w:pPr>
      <w:r>
        <w:rPr>
          <w:rFonts w:hint="eastAsia" w:ascii="宋体" w:hAnsi="宋体" w:eastAsia="宋体" w:cs="仿宋_GB2312"/>
          <w:b/>
          <w:bCs/>
          <w:color w:val="000000"/>
          <w:kern w:val="0"/>
          <w:sz w:val="32"/>
          <w:szCs w:val="32"/>
        </w:rPr>
        <w:t>实施单位（公章）：</w:t>
      </w:r>
      <w:r>
        <w:rPr>
          <w:rFonts w:ascii="宋体" w:hAnsi="宋体" w:eastAsia="宋体" w:cs="宋体"/>
          <w:kern w:val="0"/>
          <w:sz w:val="32"/>
          <w:szCs w:val="32"/>
        </w:rPr>
        <w:t xml:space="preserve"> </w:t>
      </w:r>
      <w:r>
        <w:rPr>
          <w:rFonts w:hint="eastAsia" w:ascii="仿宋_GB2312"/>
        </w:rPr>
        <w:t>特克斯县文化体育广播电视和旅游局</w:t>
      </w:r>
    </w:p>
    <w:p>
      <w:pPr>
        <w:spacing w:line="560" w:lineRule="exact"/>
        <w:ind w:firstLine="321" w:firstLineChars="100"/>
        <w:rPr>
          <w:rFonts w:hint="eastAsia" w:ascii="仿宋_GB2312"/>
          <w:lang w:val="en-US" w:eastAsia="zh-CN"/>
        </w:rPr>
      </w:pPr>
      <w:r>
        <w:rPr>
          <w:rFonts w:hint="eastAsia" w:ascii="宋体" w:hAnsi="宋体" w:eastAsia="宋体" w:cs="仿宋_GB2312"/>
          <w:b/>
          <w:bCs/>
          <w:color w:val="000000"/>
          <w:kern w:val="0"/>
          <w:sz w:val="32"/>
          <w:szCs w:val="32"/>
        </w:rPr>
        <w:t>主管部门（公章）：</w:t>
      </w:r>
      <w:r>
        <w:rPr>
          <w:rFonts w:ascii="宋体" w:hAnsi="宋体" w:eastAsia="宋体" w:cs="宋体"/>
          <w:kern w:val="0"/>
          <w:sz w:val="32"/>
          <w:szCs w:val="32"/>
        </w:rPr>
        <w:t xml:space="preserve"> </w:t>
      </w:r>
      <w:r>
        <w:rPr>
          <w:rFonts w:hint="eastAsia" w:ascii="仿宋_GB2312"/>
          <w:lang w:eastAsia="zh-CN"/>
        </w:rPr>
        <w:t>特克斯县人民政府</w:t>
      </w:r>
    </w:p>
    <w:p>
      <w:pPr>
        <w:spacing w:line="560" w:lineRule="exact"/>
        <w:ind w:firstLine="321" w:firstLineChars="100"/>
        <w:rPr>
          <w:rFonts w:hint="eastAsia" w:ascii="仿宋_GB2312"/>
          <w:lang w:eastAsia="zh-CN"/>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仿宋_GB2312"/>
          <w:lang w:eastAsia="zh-CN"/>
        </w:rPr>
        <w:t>李胜</w:t>
      </w:r>
    </w:p>
    <w:p>
      <w:pPr>
        <w:spacing w:line="560" w:lineRule="exact"/>
        <w:ind w:firstLine="321" w:firstLineChars="100"/>
        <w:rPr>
          <w:rFonts w:hint="eastAsia" w:ascii="仿宋_GB2312"/>
        </w:rPr>
      </w:pPr>
      <w:r>
        <w:rPr>
          <w:rFonts w:hint="eastAsia" w:ascii="宋体" w:hAnsi="宋体" w:eastAsia="宋体" w:cs="仿宋_GB2312"/>
          <w:b/>
          <w:bCs/>
          <w:color w:val="000000"/>
          <w:kern w:val="0"/>
          <w:sz w:val="32"/>
          <w:szCs w:val="32"/>
        </w:rPr>
        <w:t>填报时间：</w:t>
      </w:r>
      <w:r>
        <w:rPr>
          <w:rFonts w:hint="eastAsia" w:ascii="仿宋_GB2312"/>
        </w:rPr>
        <w:t xml:space="preserve">2022年 </w:t>
      </w:r>
      <w:r>
        <w:rPr>
          <w:rFonts w:hint="eastAsia" w:ascii="仿宋_GB2312"/>
          <w:lang w:val="en-US" w:eastAsia="zh-CN"/>
        </w:rPr>
        <w:t>04</w:t>
      </w:r>
      <w:r>
        <w:rPr>
          <w:rFonts w:hint="eastAsia" w:ascii="仿宋_GB2312"/>
        </w:rPr>
        <w:t>月</w:t>
      </w:r>
      <w:r>
        <w:rPr>
          <w:rFonts w:hint="eastAsia" w:ascii="仿宋_GB2312"/>
          <w:lang w:val="en-US" w:eastAsia="zh-CN"/>
        </w:rPr>
        <w:t>13</w:t>
      </w:r>
      <w:r>
        <w:rPr>
          <w:rFonts w:hint="eastAsia" w:ascii="仿宋_GB231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3"/>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4"/>
        <w:spacing w:line="360" w:lineRule="auto"/>
      </w:pPr>
      <w:bookmarkStart w:id="1" w:name="_Toc68703828"/>
      <w:r>
        <w:rPr>
          <w:rFonts w:hint="eastAsia" w:ascii="仿宋_GB2312" w:eastAsia="仿宋_GB2312"/>
          <w:b w:val="0"/>
          <w:bCs w:val="0"/>
        </w:rPr>
        <w:t>（一）项目概况。</w:t>
      </w:r>
      <w:bookmarkEnd w:id="1"/>
    </w:p>
    <w:p>
      <w:pPr>
        <w:numPr>
          <w:ilvl w:val="0"/>
          <w:numId w:val="1"/>
        </w:numPr>
        <w:spacing w:line="360" w:lineRule="auto"/>
        <w:ind w:firstLine="600" w:firstLineChars="200"/>
        <w:rPr>
          <w:rFonts w:hint="eastAsia" w:ascii="仿宋_GB2312"/>
        </w:rPr>
      </w:pPr>
      <w:r>
        <w:rPr>
          <w:rFonts w:hint="eastAsia" w:ascii="仿宋_GB2312"/>
        </w:rPr>
        <w:t>项目背景</w:t>
      </w:r>
    </w:p>
    <w:p>
      <w:pPr>
        <w:numPr>
          <w:ilvl w:val="0"/>
          <w:numId w:val="0"/>
        </w:numPr>
        <w:spacing w:line="360" w:lineRule="auto"/>
        <w:ind w:firstLine="600" w:firstLineChars="200"/>
        <w:rPr>
          <w:rFonts w:hint="eastAsia" w:ascii="仿宋_GB2312"/>
        </w:rPr>
      </w:pPr>
      <w:r>
        <w:rPr>
          <w:rFonts w:hint="eastAsia" w:ascii="仿宋_GB2312"/>
        </w:rPr>
        <w:t>伊犁州特克斯县全域旅游基础设施建设项目的实施符合我国相关产业发展政策，是推动我县旅游行业持续健康发展的重要举措，符合我国国民经济可持续发展的战略目标。</w:t>
      </w:r>
      <w:r>
        <w:rPr>
          <w:rFonts w:hint="eastAsia" w:ascii="仿宋_GB2312"/>
          <w:lang w:eastAsia="zh-CN"/>
        </w:rPr>
        <w:t>该</w:t>
      </w:r>
      <w:r>
        <w:rPr>
          <w:rFonts w:hint="eastAsia" w:ascii="仿宋_GB2312"/>
        </w:rPr>
        <w:t>项目将带动就业，增加当地利税，带动当地经济发展。项目建设还将拉大产业链条，增加就业岗位，对项目建设地特克斯县乃至伊犁州的经济发展起到促进作用。保证了社会经济和旅游业的可持续发展。</w:t>
      </w:r>
    </w:p>
    <w:p>
      <w:pPr>
        <w:spacing w:line="360" w:lineRule="auto"/>
        <w:ind w:firstLine="600" w:firstLineChars="200"/>
        <w:rPr>
          <w:rFonts w:ascii="仿宋_GB2312"/>
          <w:color w:val="auto"/>
          <w:highlight w:val="none"/>
        </w:rPr>
      </w:pPr>
      <w:r>
        <w:rPr>
          <w:rFonts w:hint="eastAsia" w:ascii="仿宋_GB2312"/>
          <w:color w:val="auto"/>
          <w:highlight w:val="none"/>
        </w:rPr>
        <w:t>2、主要内容</w:t>
      </w:r>
      <w:r>
        <w:rPr>
          <w:rFonts w:hint="eastAsia"/>
          <w:color w:val="auto"/>
          <w:highlight w:val="none"/>
        </w:rPr>
        <w:t>及</w:t>
      </w:r>
      <w:r>
        <w:rPr>
          <w:rFonts w:hint="eastAsia" w:ascii="仿宋_GB2312"/>
          <w:color w:val="auto"/>
          <w:highlight w:val="none"/>
        </w:rPr>
        <w:t>实施情况</w:t>
      </w:r>
    </w:p>
    <w:p>
      <w:pPr>
        <w:numPr>
          <w:ilvl w:val="0"/>
          <w:numId w:val="0"/>
        </w:numPr>
        <w:spacing w:line="360" w:lineRule="auto"/>
        <w:ind w:firstLine="600" w:firstLineChars="200"/>
        <w:rPr>
          <w:rFonts w:hint="eastAsia" w:ascii="仿宋_GB2312"/>
          <w:highlight w:val="none"/>
        </w:rPr>
      </w:pPr>
      <w:r>
        <w:rPr>
          <w:rFonts w:hint="eastAsia" w:ascii="仿宋_GB2312"/>
        </w:rPr>
        <w:t>主要内容：</w:t>
      </w:r>
      <w:r>
        <w:rPr>
          <w:rFonts w:hint="eastAsia" w:ascii="仿宋_GB2312"/>
          <w:highlight w:val="none"/>
        </w:rPr>
        <w:t>项目目前已经完成实际设立的目标，项目在实施过程中严格按照目标设立的各阶段任务进行开展工作，在前期立项过程中严格把质量关，建立安全防护机制，保证项目实施各阶段安全顺利进行。</w:t>
      </w:r>
    </w:p>
    <w:p>
      <w:pPr>
        <w:numPr>
          <w:ilvl w:val="0"/>
          <w:numId w:val="0"/>
        </w:numPr>
        <w:spacing w:line="360" w:lineRule="auto"/>
        <w:ind w:firstLine="600" w:firstLineChars="200"/>
        <w:rPr>
          <w:rFonts w:hint="eastAsia"/>
        </w:rPr>
      </w:pPr>
      <w:r>
        <w:rPr>
          <w:rFonts w:hint="eastAsia" w:ascii="仿宋_GB2312" w:hAnsi="Times New Roman" w:eastAsia="仿宋_GB2312" w:cs="Times New Roman"/>
          <w:b w:val="0"/>
          <w:bCs w:val="0"/>
          <w:kern w:val="2"/>
          <w:sz w:val="30"/>
          <w:szCs w:val="24"/>
          <w:highlight w:val="none"/>
          <w:lang w:val="en-US" w:eastAsia="zh-CN" w:bidi="ar-SA"/>
        </w:rPr>
        <w:t>实施情况</w:t>
      </w:r>
      <w:r>
        <w:rPr>
          <w:rFonts w:hint="eastAsia" w:ascii="仿宋_GB2312" w:hAnsi="Times New Roman" w:eastAsia="仿宋_GB2312" w:cs="Times New Roman"/>
          <w:b w:val="0"/>
          <w:bCs w:val="0"/>
          <w:kern w:val="2"/>
          <w:sz w:val="30"/>
          <w:szCs w:val="24"/>
          <w:highlight w:val="none"/>
          <w:lang w:val="en-US" w:eastAsia="zh-CN" w:bidi="ar-SA"/>
        </w:rPr>
        <w:t>：</w:t>
      </w:r>
      <w:r>
        <w:rPr>
          <w:rFonts w:hint="eastAsia" w:ascii="仿宋_GB2312"/>
          <w:highlight w:val="none"/>
        </w:rPr>
        <w:t>项目目前已经完成实际设立的目标，项目在实施过程中严格按照目标设立的各阶段任务进行开展工作，在前期立项过程中严格把质量关，建立安全防护机制，保证项目实施各阶段安全顺利进行。</w:t>
      </w:r>
    </w:p>
    <w:p>
      <w:pPr>
        <w:spacing w:line="360" w:lineRule="auto"/>
        <w:ind w:firstLine="600" w:firstLineChars="200"/>
        <w:rPr>
          <w:rFonts w:ascii="仿宋_GB2312"/>
          <w:color w:val="auto"/>
          <w:highlight w:val="none"/>
        </w:rPr>
      </w:pPr>
      <w:r>
        <w:rPr>
          <w:rFonts w:ascii="仿宋_GB2312"/>
          <w:color w:val="auto"/>
          <w:highlight w:val="none"/>
        </w:rPr>
        <w:t>3</w:t>
      </w:r>
      <w:r>
        <w:rPr>
          <w:rFonts w:hint="eastAsia" w:ascii="仿宋_GB2312"/>
          <w:color w:val="auto"/>
          <w:highlight w:val="none"/>
        </w:rPr>
        <w:t>、资金投入和使用情况</w:t>
      </w:r>
    </w:p>
    <w:p>
      <w:pPr>
        <w:spacing w:line="360" w:lineRule="auto"/>
        <w:ind w:firstLine="600" w:firstLineChars="200"/>
        <w:rPr>
          <w:color w:val="auto"/>
          <w:highlight w:val="none"/>
        </w:rPr>
      </w:pPr>
      <w:r>
        <w:rPr>
          <w:rFonts w:hint="eastAsia"/>
          <w:color w:val="auto"/>
          <w:highlight w:val="none"/>
        </w:rPr>
        <w:t>资金投入情况：该项目年初预算数</w:t>
      </w:r>
      <w:r>
        <w:rPr>
          <w:rFonts w:hint="eastAsia"/>
          <w:color w:val="auto"/>
          <w:highlight w:val="none"/>
          <w:lang w:val="en-US" w:eastAsia="zh-CN"/>
        </w:rPr>
        <w:t>12000</w:t>
      </w:r>
      <w:r>
        <w:rPr>
          <w:rFonts w:hint="eastAsia"/>
          <w:color w:val="auto"/>
          <w:highlight w:val="none"/>
        </w:rPr>
        <w:t xml:space="preserve">万元，全年预算数 </w:t>
      </w:r>
      <w:r>
        <w:rPr>
          <w:color w:val="auto"/>
          <w:highlight w:val="none"/>
        </w:rPr>
        <w:t xml:space="preserve">   </w:t>
      </w:r>
      <w:r>
        <w:rPr>
          <w:rFonts w:hint="eastAsia"/>
          <w:color w:val="auto"/>
          <w:highlight w:val="none"/>
          <w:lang w:val="en-US" w:eastAsia="zh-CN"/>
        </w:rPr>
        <w:t>12000</w:t>
      </w:r>
      <w:r>
        <w:rPr>
          <w:color w:val="auto"/>
          <w:highlight w:val="none"/>
        </w:rPr>
        <w:t xml:space="preserve"> </w:t>
      </w:r>
      <w:r>
        <w:rPr>
          <w:rFonts w:hint="eastAsia"/>
          <w:color w:val="auto"/>
          <w:highlight w:val="none"/>
        </w:rPr>
        <w:t>万元，实际总投入</w:t>
      </w:r>
      <w:r>
        <w:rPr>
          <w:rFonts w:hint="eastAsia"/>
          <w:color w:val="auto"/>
          <w:highlight w:val="none"/>
          <w:lang w:val="en-US" w:eastAsia="zh-CN"/>
        </w:rPr>
        <w:t>12000</w:t>
      </w:r>
      <w:r>
        <w:rPr>
          <w:rFonts w:hint="eastAsia"/>
          <w:color w:val="auto"/>
          <w:highlight w:val="none"/>
        </w:rPr>
        <w:t>万元，该项目资金已全部落实到位，资金来源为</w:t>
      </w:r>
      <w:r>
        <w:rPr>
          <w:rFonts w:hint="eastAsia"/>
          <w:color w:val="auto"/>
          <w:highlight w:val="none"/>
          <w:lang w:eastAsia="zh-CN"/>
        </w:rPr>
        <w:t>地方资金专项债券</w:t>
      </w:r>
      <w:r>
        <w:rPr>
          <w:rFonts w:hint="eastAsia"/>
          <w:color w:val="auto"/>
          <w:highlight w:val="none"/>
        </w:rPr>
        <w:t>。</w:t>
      </w:r>
    </w:p>
    <w:p>
      <w:pPr>
        <w:spacing w:line="360" w:lineRule="auto"/>
        <w:ind w:firstLine="600" w:firstLineChars="200"/>
        <w:rPr>
          <w:rFonts w:hint="eastAsia" w:ascii="Times New Roman" w:hAnsi="Times New Roman" w:cs="Times New Roman"/>
          <w:color w:val="auto"/>
          <w:highlight w:val="none"/>
          <w:lang w:val="en-US" w:eastAsia="zh-CN"/>
        </w:rPr>
      </w:pPr>
      <w:r>
        <w:rPr>
          <w:rFonts w:hint="eastAsia"/>
          <w:color w:val="auto"/>
          <w:highlight w:val="none"/>
        </w:rPr>
        <w:t>资金使用情况：该项目年初预算数</w:t>
      </w:r>
      <w:r>
        <w:rPr>
          <w:rFonts w:hint="eastAsia"/>
          <w:color w:val="auto"/>
          <w:highlight w:val="none"/>
          <w:lang w:val="en-US" w:eastAsia="zh-CN"/>
        </w:rPr>
        <w:t>12000</w:t>
      </w:r>
      <w:r>
        <w:rPr>
          <w:rFonts w:hint="eastAsia"/>
          <w:color w:val="auto"/>
          <w:highlight w:val="none"/>
        </w:rPr>
        <w:t xml:space="preserve">万元，全年预算数 </w:t>
      </w:r>
      <w:r>
        <w:rPr>
          <w:color w:val="auto"/>
          <w:highlight w:val="none"/>
        </w:rPr>
        <w:t xml:space="preserve">   </w:t>
      </w:r>
      <w:r>
        <w:rPr>
          <w:rFonts w:hint="eastAsia"/>
          <w:color w:val="auto"/>
          <w:highlight w:val="none"/>
          <w:lang w:val="en-US" w:eastAsia="zh-CN"/>
        </w:rPr>
        <w:t>12000</w:t>
      </w:r>
      <w:r>
        <w:rPr>
          <w:rFonts w:hint="eastAsia"/>
          <w:color w:val="auto"/>
          <w:highlight w:val="none"/>
        </w:rPr>
        <w:t xml:space="preserve">万元，全年执行数 </w:t>
      </w:r>
      <w:r>
        <w:rPr>
          <w:rFonts w:hint="eastAsia"/>
          <w:color w:val="auto"/>
          <w:highlight w:val="none"/>
          <w:lang w:val="en-US" w:eastAsia="zh-CN"/>
        </w:rPr>
        <w:t>12000</w:t>
      </w:r>
      <w:r>
        <w:rPr>
          <w:rFonts w:hint="eastAsia"/>
          <w:color w:val="auto"/>
          <w:highlight w:val="none"/>
        </w:rPr>
        <w:t>万元，预算执行率为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r>
        <w:rPr>
          <w:rFonts w:hint="eastAsia" w:ascii="Times New Roman" w:hAnsi="Times New Roman" w:cs="Times New Roman"/>
          <w:color w:val="auto"/>
          <w:highlight w:val="none"/>
        </w:rPr>
        <w:t>用于支付项目实施进程中的各项费</w:t>
      </w:r>
      <w:r>
        <w:rPr>
          <w:rFonts w:hint="eastAsia" w:ascii="Times New Roman" w:hAnsi="Times New Roman" w:cs="Times New Roman"/>
          <w:color w:val="auto"/>
          <w:highlight w:val="none"/>
          <w:lang w:eastAsia="zh-CN"/>
        </w:rPr>
        <w:t>用</w:t>
      </w:r>
      <w:r>
        <w:rPr>
          <w:rFonts w:hint="eastAsia" w:cs="Times New Roman"/>
          <w:color w:val="auto"/>
          <w:highlight w:val="none"/>
          <w:lang w:val="en-US" w:eastAsia="zh-CN"/>
        </w:rPr>
        <w:t>12000万元</w:t>
      </w:r>
      <w:r>
        <w:rPr>
          <w:rFonts w:hint="eastAsia" w:ascii="Times New Roman" w:hAnsi="Times New Roman" w:cs="Times New Roman"/>
          <w:color w:val="auto"/>
          <w:highlight w:val="none"/>
          <w:lang w:eastAsia="zh-CN"/>
        </w:rPr>
        <w:t>。</w:t>
      </w:r>
    </w:p>
    <w:p>
      <w:pPr>
        <w:pStyle w:val="4"/>
        <w:spacing w:line="360" w:lineRule="auto"/>
        <w:ind w:firstLine="640" w:firstLineChars="200"/>
        <w:rPr>
          <w:rFonts w:ascii="仿宋_GB2312" w:eastAsia="仿宋_GB2312"/>
          <w:b w:val="0"/>
          <w:bCs w:val="0"/>
          <w:color w:val="auto"/>
          <w:highlight w:val="none"/>
        </w:rPr>
      </w:pPr>
      <w:bookmarkStart w:id="2" w:name="_Toc68703829"/>
      <w:r>
        <w:rPr>
          <w:rFonts w:hint="eastAsia" w:ascii="仿宋_GB2312" w:eastAsia="仿宋_GB2312"/>
          <w:b w:val="0"/>
          <w:bCs w:val="0"/>
          <w:color w:val="auto"/>
          <w:highlight w:val="none"/>
        </w:rPr>
        <w:t>（二）项目绩效目标。</w:t>
      </w:r>
      <w:bookmarkEnd w:id="2"/>
    </w:p>
    <w:p>
      <w:pPr>
        <w:numPr>
          <w:ilvl w:val="0"/>
          <w:numId w:val="2"/>
        </w:numPr>
        <w:spacing w:line="360" w:lineRule="auto"/>
        <w:ind w:firstLine="600" w:firstLineChars="200"/>
        <w:rPr>
          <w:rFonts w:hint="eastAsia"/>
          <w:color w:val="auto"/>
          <w:highlight w:val="none"/>
        </w:rPr>
      </w:pPr>
      <w:r>
        <w:rPr>
          <w:rFonts w:hint="eastAsia"/>
          <w:color w:val="auto"/>
          <w:highlight w:val="none"/>
        </w:rPr>
        <w:t>总体目标：</w:t>
      </w:r>
    </w:p>
    <w:p>
      <w:pPr>
        <w:numPr>
          <w:ilvl w:val="0"/>
          <w:numId w:val="0"/>
        </w:numPr>
        <w:spacing w:line="360" w:lineRule="auto"/>
        <w:rPr>
          <w:rFonts w:hint="eastAsia"/>
          <w:color w:val="auto"/>
          <w:highlight w:val="none"/>
        </w:rPr>
      </w:pPr>
      <w:r>
        <w:rPr>
          <w:rFonts w:hint="eastAsia"/>
          <w:color w:val="auto"/>
          <w:highlight w:val="none"/>
          <w:lang w:eastAsia="zh-CN"/>
        </w:rPr>
        <w:t>（</w:t>
      </w:r>
      <w:r>
        <w:rPr>
          <w:rFonts w:hint="eastAsia"/>
          <w:color w:val="auto"/>
          <w:highlight w:val="none"/>
        </w:rPr>
        <w:t>1</w:t>
      </w:r>
      <w:r>
        <w:rPr>
          <w:rFonts w:hint="eastAsia"/>
          <w:color w:val="auto"/>
          <w:highlight w:val="none"/>
          <w:lang w:eastAsia="zh-CN"/>
        </w:rPr>
        <w:t>）</w:t>
      </w:r>
      <w:r>
        <w:rPr>
          <w:rFonts w:hint="eastAsia"/>
          <w:color w:val="auto"/>
          <w:highlight w:val="none"/>
        </w:rPr>
        <w:t>、喀拉峻景区沿线提升及景区电力改造项目</w:t>
      </w:r>
      <w:r>
        <w:rPr>
          <w:rFonts w:hint="eastAsia"/>
          <w:color w:val="auto"/>
          <w:highlight w:val="none"/>
          <w:lang w:eastAsia="zh-CN"/>
        </w:rPr>
        <w:t>：</w:t>
      </w:r>
      <w:r>
        <w:rPr>
          <w:rFonts w:hint="eastAsia"/>
          <w:color w:val="auto"/>
          <w:highlight w:val="none"/>
        </w:rPr>
        <w:t>涉及喀拉峻景区沿线40公里；布拉克门票站—遗产展示馆沿途改造；骆驼驿站加固及运营；景区警务站改造，及景区沿线相关配套附属设施建设。停车场3个；景区内红色旅游景点打造，喀拉峻景区阔克段苏电力敷设（20公里）高压地埋电缆，及景区相关配套附属设施建设。</w:t>
      </w:r>
    </w:p>
    <w:p>
      <w:pPr>
        <w:spacing w:line="360" w:lineRule="auto"/>
        <w:ind w:firstLine="600" w:firstLineChars="200"/>
        <w:rPr>
          <w:rFonts w:hint="eastAsia"/>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喀拉峻景区道路建设项目新建景区道路60.9公里，其中沙石化道路30公里，硬化道路30.9公里。</w:t>
      </w:r>
    </w:p>
    <w:p>
      <w:pPr>
        <w:spacing w:line="360" w:lineRule="auto"/>
        <w:ind w:firstLine="600" w:firstLineChars="200"/>
        <w:rPr>
          <w:rFonts w:hint="eastAsia"/>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喀拉峻景区旅游厕所及停车场（停靠站）建项目新建3A级旅游厕所、生态停车场、游客休憩廊庭厅、停靠点等基础设施建设，及相关配套附属设施建设。</w:t>
      </w:r>
    </w:p>
    <w:p>
      <w:pPr>
        <w:spacing w:line="360" w:lineRule="auto"/>
        <w:ind w:firstLine="600" w:firstLineChars="200"/>
        <w:rPr>
          <w:color w:val="auto"/>
          <w:highlight w:val="none"/>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喀拉峻景区安全设施建设项目停景区内观景平台、停车场等基础服务设施遮阳避雨廊亭等设施建设及相关配套附属设施。</w:t>
      </w:r>
    </w:p>
    <w:p>
      <w:pPr>
        <w:spacing w:line="600" w:lineRule="exact"/>
        <w:ind w:firstLine="641"/>
        <w:rPr>
          <w:rFonts w:hint="eastAsia"/>
          <w:highlight w:val="none"/>
        </w:rPr>
      </w:pPr>
      <w:r>
        <w:rPr>
          <w:highlight w:val="none"/>
        </w:rPr>
        <w:t>2</w:t>
      </w:r>
      <w:r>
        <w:rPr>
          <w:rFonts w:hint="eastAsia"/>
          <w:highlight w:val="none"/>
        </w:rPr>
        <w:t>、阶段性目标：</w:t>
      </w:r>
    </w:p>
    <w:p>
      <w:pPr>
        <w:spacing w:line="360" w:lineRule="auto"/>
        <w:ind w:firstLine="560" w:firstLineChars="200"/>
        <w:rPr>
          <w:rFonts w:hint="eastAsia" w:ascii="Times New Roman" w:hAnsi="Times New Roman" w:cs="Times New Roman"/>
          <w:color w:val="auto"/>
          <w:highlight w:val="none"/>
        </w:rPr>
      </w:pPr>
      <w:bookmarkStart w:id="3" w:name="_Toc68703830"/>
      <w:r>
        <w:rPr>
          <w:rFonts w:hint="eastAsia" w:ascii="仿宋_GB2312" w:hAnsi="仿宋_GB2312" w:eastAsia="仿宋_GB2312" w:cs="仿宋_GB2312"/>
          <w:sz w:val="28"/>
          <w:szCs w:val="28"/>
          <w:highlight w:val="none"/>
        </w:rPr>
        <w:t>（</w:t>
      </w:r>
      <w:r>
        <w:rPr>
          <w:rFonts w:hint="eastAsia" w:ascii="Times New Roman" w:hAnsi="Times New Roman" w:cs="Times New Roman"/>
          <w:color w:val="auto"/>
          <w:highlight w:val="none"/>
        </w:rPr>
        <w:t>1）前期准备：为确保项目顺利进行，提前做好项目规划，将所列计划再三审核。</w:t>
      </w:r>
      <w:r>
        <w:rPr>
          <w:rFonts w:hint="eastAsia" w:cs="Times New Roman"/>
          <w:color w:val="auto"/>
          <w:highlight w:val="none"/>
          <w:lang w:val="en-US" w:eastAsia="zh-CN"/>
        </w:rPr>
        <w:t>按时办理完成三证一书等项目前期手续，避免后续出现不必要的麻烦。</w:t>
      </w:r>
      <w:r>
        <w:rPr>
          <w:rFonts w:hint="eastAsia" w:ascii="Times New Roman" w:hAnsi="Times New Roman" w:cs="Times New Roman"/>
          <w:color w:val="auto"/>
          <w:highlight w:val="none"/>
        </w:rPr>
        <w:t>通过制定项目实施方案，经项目负责人审核通过后，有序开展后续工程。</w:t>
      </w:r>
    </w:p>
    <w:p>
      <w:pPr>
        <w:spacing w:line="360" w:lineRule="auto"/>
        <w:ind w:firstLine="600" w:firstLineChars="200"/>
        <w:rPr>
          <w:rFonts w:hint="eastAsia" w:ascii="Times New Roman" w:hAnsi="Times New Roman" w:cs="Times New Roman"/>
          <w:color w:val="auto"/>
          <w:highlight w:val="none"/>
        </w:rPr>
      </w:pPr>
      <w:r>
        <w:rPr>
          <w:rFonts w:hint="eastAsia" w:ascii="Times New Roman" w:hAnsi="Times New Roman" w:cs="Times New Roman"/>
          <w:color w:val="auto"/>
          <w:highlight w:val="none"/>
        </w:rPr>
        <w:t>（2）组织实施：资金一到位，立即根据项目要求实施项目。项目责任人按照要求逐一进行项目部署安排，</w:t>
      </w:r>
      <w:r>
        <w:rPr>
          <w:rFonts w:hint="eastAsia" w:cs="Times New Roman"/>
          <w:color w:val="auto"/>
          <w:highlight w:val="none"/>
          <w:lang w:val="en-US" w:eastAsia="zh-CN"/>
        </w:rPr>
        <w:t>多跟施工方、设计方沟通交流，与两方之间做好纽带的角色，定期对工地进行督导检查工作发现问题解决问题，定期向相关领导进行项目工作汇报并请示工作，</w:t>
      </w:r>
      <w:r>
        <w:rPr>
          <w:rFonts w:hint="eastAsia" w:ascii="Times New Roman" w:hAnsi="Times New Roman" w:cs="Times New Roman"/>
          <w:color w:val="auto"/>
          <w:highlight w:val="none"/>
        </w:rPr>
        <w:t>提高项目质量及效率性</w:t>
      </w:r>
      <w:r>
        <w:rPr>
          <w:rFonts w:hint="eastAsia" w:cs="Times New Roman"/>
          <w:color w:val="auto"/>
          <w:highlight w:val="none"/>
          <w:lang w:eastAsia="zh-CN"/>
        </w:rPr>
        <w:t>，</w:t>
      </w:r>
      <w:r>
        <w:rPr>
          <w:rFonts w:hint="eastAsia" w:cs="Times New Roman"/>
          <w:color w:val="auto"/>
          <w:highlight w:val="none"/>
          <w:lang w:val="en-US" w:eastAsia="zh-CN"/>
        </w:rPr>
        <w:t>全心全意为此项目顺利竣工而努力圆满完成任务。</w:t>
      </w:r>
    </w:p>
    <w:p>
      <w:pPr>
        <w:spacing w:line="360" w:lineRule="auto"/>
        <w:ind w:firstLine="600" w:firstLineChars="200"/>
        <w:rPr>
          <w:rFonts w:hint="eastAsia" w:ascii="Times New Roman" w:hAnsi="Times New Roman" w:cs="Times New Roman"/>
          <w:color w:val="auto"/>
          <w:highlight w:val="yellow"/>
        </w:rPr>
      </w:pPr>
    </w:p>
    <w:p>
      <w:pPr>
        <w:pStyle w:val="3"/>
        <w:spacing w:line="360" w:lineRule="auto"/>
        <w:rPr>
          <w:rFonts w:ascii="宋体" w:hAnsi="宋体" w:eastAsia="宋体"/>
          <w:sz w:val="32"/>
          <w:szCs w:val="32"/>
          <w:highlight w:val="none"/>
        </w:rPr>
      </w:pPr>
      <w:r>
        <w:rPr>
          <w:rFonts w:hint="eastAsia" w:ascii="宋体" w:hAnsi="宋体" w:eastAsia="宋体"/>
          <w:sz w:val="32"/>
          <w:szCs w:val="32"/>
          <w:highlight w:val="none"/>
        </w:rPr>
        <w:t>二、绩效评价工作开展情况</w:t>
      </w:r>
      <w:bookmarkEnd w:id="3"/>
    </w:p>
    <w:p>
      <w:pPr>
        <w:pStyle w:val="4"/>
        <w:spacing w:line="360" w:lineRule="auto"/>
        <w:rPr>
          <w:rFonts w:ascii="仿宋_GB2312" w:eastAsia="仿宋_GB2312"/>
          <w:b w:val="0"/>
          <w:bCs w:val="0"/>
          <w:highlight w:val="none"/>
        </w:rPr>
      </w:pPr>
      <w:bookmarkStart w:id="4" w:name="_Toc68703831"/>
      <w:r>
        <w:rPr>
          <w:rFonts w:hint="eastAsia" w:ascii="仿宋_GB2312" w:eastAsia="仿宋_GB2312"/>
          <w:b w:val="0"/>
          <w:bCs w:val="0"/>
          <w:highlight w:val="none"/>
        </w:rPr>
        <w:t>（一）绩效评价目的、对象和范围。</w:t>
      </w:r>
      <w:bookmarkEnd w:id="4"/>
    </w:p>
    <w:p>
      <w:pPr>
        <w:spacing w:line="360" w:lineRule="auto"/>
        <w:rPr>
          <w:highlight w:val="none"/>
        </w:rPr>
      </w:pPr>
      <w:r>
        <w:rPr>
          <w:rFonts w:hint="eastAsia"/>
          <w:highlight w:val="none"/>
        </w:rPr>
        <w:t>1、绩效评价目的：</w:t>
      </w:r>
    </w:p>
    <w:p>
      <w:pPr>
        <w:spacing w:line="360" w:lineRule="auto"/>
        <w:ind w:firstLine="600" w:firstLineChars="200"/>
        <w:rPr>
          <w:rFonts w:hint="eastAsia"/>
          <w:highlight w:val="none"/>
        </w:rPr>
      </w:pPr>
      <w:r>
        <w:rPr>
          <w:rFonts w:hint="eastAsia"/>
          <w:highlight w:val="none"/>
        </w:rPr>
        <w:t>通过绩效评价，客观地评判项目的管理绩效，了解和掌握伊犁州特克斯县全域旅游基础设施建设项目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rPr>
          <w:highlight w:val="none"/>
        </w:rPr>
      </w:pPr>
      <w:r>
        <w:rPr>
          <w:rFonts w:hint="eastAsia"/>
          <w:highlight w:val="none"/>
        </w:rPr>
        <w:t>2、绩效评价对象：</w:t>
      </w:r>
    </w:p>
    <w:p>
      <w:pPr>
        <w:spacing w:line="560" w:lineRule="exact"/>
        <w:ind w:firstLine="900" w:firstLineChars="300"/>
        <w:rPr>
          <w:color w:val="FF0000"/>
          <w:highlight w:val="none"/>
        </w:rPr>
      </w:pPr>
      <w:r>
        <w:rPr>
          <w:rFonts w:hint="eastAsia"/>
          <w:color w:val="auto"/>
          <w:highlight w:val="none"/>
        </w:rPr>
        <w:t>伊犁州特克斯县全域旅游基础设施建设项目</w:t>
      </w:r>
    </w:p>
    <w:p>
      <w:pPr>
        <w:spacing w:line="360" w:lineRule="auto"/>
        <w:ind w:firstLine="600" w:firstLineChars="200"/>
        <w:rPr>
          <w:highlight w:val="none"/>
        </w:rPr>
      </w:pPr>
      <w:r>
        <w:rPr>
          <w:rFonts w:hint="eastAsia"/>
          <w:highlight w:val="none"/>
        </w:rPr>
        <w:t>3、绩效评价范围：</w:t>
      </w:r>
    </w:p>
    <w:p>
      <w:pPr>
        <w:spacing w:line="560" w:lineRule="exact"/>
        <w:ind w:firstLine="900" w:firstLineChars="300"/>
        <w:rPr>
          <w:rFonts w:hint="eastAsia" w:ascii="Times New Roman" w:hAnsi="Times New Roman" w:cs="Times New Roman"/>
          <w:color w:val="auto"/>
          <w:highlight w:val="none"/>
        </w:rPr>
      </w:pPr>
      <w:r>
        <w:rPr>
          <w:rFonts w:hint="eastAsia" w:ascii="Times New Roman" w:hAnsi="Times New Roman" w:cs="Times New Roman"/>
          <w:color w:val="auto"/>
          <w:highlight w:val="none"/>
        </w:rPr>
        <w:t>本次评价从项目决策（包括绩效目标、决策过程）、项目管理（包括项目资金、项目实施）、项目产出（包括项目产出数量、产出质量、产出时效和产出成本）项目效益四个维度进行伊犁州特克斯县全域旅游基础设施建设项目评价，评价核心为专项资金的支出完成情况和效果。</w:t>
      </w:r>
    </w:p>
    <w:p>
      <w:pPr>
        <w:spacing w:line="560" w:lineRule="exact"/>
        <w:ind w:firstLine="900" w:firstLineChars="300"/>
        <w:rPr>
          <w:rFonts w:hint="eastAsia" w:ascii="Times New Roman" w:hAnsi="Times New Roman" w:cs="Times New Roman"/>
          <w:color w:val="auto"/>
          <w:highlight w:val="none"/>
        </w:rPr>
      </w:pPr>
    </w:p>
    <w:p>
      <w:pPr>
        <w:pStyle w:val="4"/>
        <w:spacing w:line="360" w:lineRule="auto"/>
        <w:rPr>
          <w:rFonts w:ascii="仿宋_GB2312" w:eastAsia="仿宋_GB2312"/>
          <w:b w:val="0"/>
          <w:bCs w:val="0"/>
          <w:highlight w:val="none"/>
        </w:rPr>
      </w:pPr>
      <w:bookmarkStart w:id="5" w:name="_Toc68703832"/>
      <w:r>
        <w:rPr>
          <w:rFonts w:hint="eastAsia" w:ascii="仿宋_GB2312" w:eastAsia="仿宋_GB2312"/>
          <w:b w:val="0"/>
          <w:bCs w:val="0"/>
          <w:highlight w:val="none"/>
        </w:rPr>
        <w:t>（二）绩效评价原则、评价指标体系、评价方法、评价标准等。</w:t>
      </w:r>
      <w:bookmarkEnd w:id="5"/>
    </w:p>
    <w:p>
      <w:pPr>
        <w:spacing w:line="360" w:lineRule="auto"/>
        <w:rPr>
          <w:highlight w:val="none"/>
        </w:rPr>
      </w:pPr>
      <w:r>
        <w:rPr>
          <w:rFonts w:hint="eastAsia"/>
          <w:highlight w:val="none"/>
        </w:rPr>
        <w:t>1、绩效评价原则</w:t>
      </w:r>
    </w:p>
    <w:p>
      <w:pPr>
        <w:spacing w:line="600" w:lineRule="exact"/>
        <w:ind w:firstLine="640"/>
        <w:rPr>
          <w:rFonts w:ascii="仿宋_GB2312"/>
          <w:bCs/>
          <w:color w:val="auto"/>
          <w:sz w:val="32"/>
          <w:szCs w:val="32"/>
          <w:highlight w:val="none"/>
        </w:rPr>
      </w:pPr>
      <w:r>
        <w:rPr>
          <w:rFonts w:hint="eastAsia" w:ascii="仿宋_GB2312"/>
          <w:bCs/>
          <w:color w:val="auto"/>
          <w:sz w:val="32"/>
          <w:szCs w:val="32"/>
          <w:highlight w:val="none"/>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highlight w:val="none"/>
        </w:rPr>
      </w:pPr>
      <w:r>
        <w:rPr>
          <w:rFonts w:hint="eastAsia" w:ascii="仿宋_GB2312"/>
          <w:bCs/>
          <w:color w:val="auto"/>
          <w:sz w:val="32"/>
          <w:szCs w:val="32"/>
          <w:highlight w:val="none"/>
        </w:rPr>
        <w:t>（二）统筹兼顾。本次项目支出绩效评价由本单位自主实施，即“谁支出、谁自评”。</w:t>
      </w:r>
    </w:p>
    <w:p>
      <w:pPr>
        <w:spacing w:line="600" w:lineRule="exact"/>
        <w:ind w:firstLine="640"/>
        <w:rPr>
          <w:rFonts w:ascii="仿宋_GB2312"/>
          <w:bCs/>
          <w:color w:val="auto"/>
          <w:sz w:val="32"/>
          <w:szCs w:val="32"/>
          <w:highlight w:val="none"/>
        </w:rPr>
      </w:pPr>
      <w:r>
        <w:rPr>
          <w:rFonts w:hint="eastAsia" w:ascii="仿宋_GB2312"/>
          <w:bCs/>
          <w:color w:val="auto"/>
          <w:sz w:val="32"/>
          <w:szCs w:val="32"/>
          <w:highlight w:val="none"/>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highlight w:val="none"/>
        </w:rPr>
      </w:pPr>
      <w:r>
        <w:rPr>
          <w:rFonts w:hint="eastAsia" w:ascii="仿宋_GB2312"/>
          <w:bCs/>
          <w:color w:val="auto"/>
          <w:sz w:val="32"/>
          <w:szCs w:val="32"/>
          <w:highlight w:val="none"/>
        </w:rPr>
        <w:t>（四）公开透明。本次项目支出绩效评价结果已依法依规公开在</w:t>
      </w:r>
      <w:r>
        <w:rPr>
          <w:rFonts w:hint="eastAsia" w:ascii="仿宋_GB2312"/>
          <w:bCs/>
          <w:color w:val="auto"/>
          <w:sz w:val="32"/>
          <w:szCs w:val="32"/>
          <w:highlight w:val="none"/>
          <w:lang w:eastAsia="zh-CN"/>
        </w:rPr>
        <w:t>千里马招标</w:t>
      </w:r>
      <w:r>
        <w:rPr>
          <w:rFonts w:hint="eastAsia" w:ascii="仿宋_GB2312"/>
          <w:bCs/>
          <w:color w:val="auto"/>
          <w:sz w:val="32"/>
          <w:szCs w:val="32"/>
          <w:highlight w:val="none"/>
        </w:rPr>
        <w:t>网站上，并自觉接受社会监督。</w:t>
      </w:r>
    </w:p>
    <w:p>
      <w:pPr>
        <w:spacing w:line="360" w:lineRule="auto"/>
        <w:rPr>
          <w:color w:val="auto"/>
          <w:highlight w:val="none"/>
        </w:rPr>
      </w:pPr>
    </w:p>
    <w:p>
      <w:pPr>
        <w:spacing w:line="360" w:lineRule="auto"/>
        <w:rPr>
          <w:highlight w:val="none"/>
        </w:rPr>
      </w:pPr>
      <w:r>
        <w:rPr>
          <w:rFonts w:hint="eastAsia"/>
          <w:highlight w:val="none"/>
        </w:rPr>
        <w:t>2、评价指标体系（附表说明）</w:t>
      </w:r>
    </w:p>
    <w:p>
      <w:pPr>
        <w:pStyle w:val="4"/>
        <w:spacing w:before="0" w:after="0" w:line="240" w:lineRule="auto"/>
        <w:jc w:val="center"/>
        <w:rPr>
          <w:rFonts w:ascii="Times New Roman" w:hAnsi="Times New Roman" w:eastAsia="仿宋_GB2312" w:cs="Times New Roman"/>
          <w:b w:val="0"/>
          <w:bCs w:val="0"/>
          <w:sz w:val="30"/>
          <w:szCs w:val="24"/>
          <w:highlight w:val="none"/>
        </w:rPr>
      </w:pPr>
      <w:r>
        <w:rPr>
          <w:rFonts w:hint="eastAsia" w:ascii="Times New Roman" w:hAnsi="Times New Roman" w:eastAsia="仿宋_GB2312" w:cs="Times New Roman"/>
          <w:b w:val="0"/>
          <w:bCs w:val="0"/>
          <w:sz w:val="30"/>
          <w:szCs w:val="24"/>
          <w:highlight w:val="none"/>
        </w:rPr>
        <w:t>伊犁州特克斯县全域旅游基础设施建设项目支出绩效评价指标体系</w:t>
      </w:r>
    </w:p>
    <w:tbl>
      <w:tblPr>
        <w:tblStyle w:val="7"/>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highlight w:val="none"/>
              </w:rPr>
            </w:pPr>
            <w:r>
              <w:rPr>
                <w:rFonts w:hint="eastAsia" w:ascii="宋体" w:hAnsi="宋体" w:eastAsia="宋体" w:cs="宋体"/>
                <w:b/>
                <w:bCs/>
                <w:color w:val="000000"/>
                <w:kern w:val="0"/>
                <w:sz w:val="22"/>
                <w:highlight w:val="none"/>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highlight w:val="none"/>
              </w:rPr>
            </w:pPr>
            <w:r>
              <w:rPr>
                <w:rFonts w:hint="eastAsia" w:ascii="宋体" w:hAnsi="宋体" w:eastAsia="宋体" w:cs="宋体"/>
                <w:b/>
                <w:bCs/>
                <w:color w:val="000000"/>
                <w:kern w:val="0"/>
                <w:sz w:val="22"/>
                <w:highlight w:val="none"/>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highlight w:val="none"/>
              </w:rPr>
            </w:pPr>
            <w:r>
              <w:rPr>
                <w:rFonts w:hint="eastAsia" w:ascii="宋体" w:hAnsi="宋体" w:eastAsia="宋体" w:cs="宋体"/>
                <w:b/>
                <w:bCs/>
                <w:color w:val="000000"/>
                <w:kern w:val="0"/>
                <w:sz w:val="22"/>
                <w:highlight w:val="none"/>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highlight w:val="none"/>
              </w:rPr>
            </w:pPr>
            <w:r>
              <w:rPr>
                <w:rFonts w:hint="eastAsia" w:ascii="宋体" w:hAnsi="宋体" w:eastAsia="宋体" w:cs="宋体"/>
                <w:b/>
                <w:bCs/>
                <w:color w:val="000000"/>
                <w:kern w:val="0"/>
                <w:sz w:val="22"/>
                <w:highlight w:val="none"/>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highlight w:val="none"/>
              </w:rPr>
            </w:pPr>
            <w:r>
              <w:rPr>
                <w:rFonts w:hint="eastAsia" w:ascii="宋体" w:hAnsi="宋体" w:eastAsia="宋体" w:cs="宋体"/>
                <w:b/>
                <w:bCs/>
                <w:color w:val="000000"/>
                <w:kern w:val="0"/>
                <w:sz w:val="22"/>
                <w:highlight w:val="none"/>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highlight w:val="none"/>
              </w:rPr>
            </w:pPr>
            <w:r>
              <w:rPr>
                <w:rFonts w:hint="eastAsia" w:ascii="宋体" w:hAnsi="宋体" w:eastAsia="宋体" w:cs="宋体"/>
                <w:b/>
                <w:bCs/>
                <w:color w:val="000000"/>
                <w:kern w:val="0"/>
                <w:sz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立项依据</w:t>
            </w:r>
          </w:p>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default" w:eastAsia="仿宋_GB2312"/>
                <w:highlight w:val="none"/>
                <w:lang w:val="en-US" w:eastAsia="zh-CN"/>
              </w:rPr>
            </w:pPr>
            <w:r>
              <w:rPr>
                <w:rFonts w:hint="eastAsia"/>
                <w:highlight w:val="none"/>
                <w:lang w:val="en-US" w:eastAsia="zh-CN"/>
              </w:rPr>
              <w:t>4</w:t>
            </w:r>
          </w:p>
        </w:tc>
        <w:tc>
          <w:tcPr>
            <w:tcW w:w="874" w:type="dxa"/>
            <w:tcBorders>
              <w:bottom w:val="single" w:color="auto" w:sz="4" w:space="0"/>
            </w:tcBorders>
            <w:shd w:val="clear" w:color="auto" w:fill="FFFFFF"/>
            <w:vAlign w:val="top"/>
          </w:tcPr>
          <w:p>
            <w:pPr>
              <w:spacing w:line="600" w:lineRule="auto"/>
              <w:jc w:val="center"/>
              <w:rPr>
                <w:rFonts w:hint="default" w:ascii="Times New Roman" w:hAnsi="Times New Roman" w:eastAsia="仿宋_GB2312" w:cs="Times New Roman"/>
                <w:kern w:val="2"/>
                <w:sz w:val="30"/>
                <w:szCs w:val="24"/>
                <w:highlight w:val="none"/>
                <w:lang w:val="en-US" w:eastAsia="zh-CN" w:bidi="ar-SA"/>
              </w:rPr>
            </w:pPr>
            <w:r>
              <w:rPr>
                <w:rFonts w:hint="eastAsia"/>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highlight w:val="none"/>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highlight w:val="none"/>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立项程序</w:t>
            </w:r>
          </w:p>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default" w:eastAsia="仿宋_GB2312"/>
                <w:highlight w:val="none"/>
                <w:lang w:val="en-US" w:eastAsia="zh-CN"/>
              </w:rPr>
            </w:pPr>
            <w:r>
              <w:rPr>
                <w:rFonts w:hint="eastAsia"/>
                <w:highlight w:val="none"/>
                <w:lang w:val="en-US" w:eastAsia="zh-CN"/>
              </w:rPr>
              <w:t>4</w:t>
            </w:r>
          </w:p>
        </w:tc>
        <w:tc>
          <w:tcPr>
            <w:tcW w:w="874" w:type="dxa"/>
            <w:shd w:val="clear" w:color="auto" w:fill="FFFFFF"/>
            <w:vAlign w:val="top"/>
          </w:tcPr>
          <w:p>
            <w:pPr>
              <w:spacing w:line="600" w:lineRule="auto"/>
              <w:jc w:val="center"/>
              <w:rPr>
                <w:rFonts w:hint="default" w:ascii="Times New Roman" w:hAnsi="Times New Roman" w:eastAsia="仿宋_GB2312" w:cs="Times New Roman"/>
                <w:kern w:val="2"/>
                <w:sz w:val="30"/>
                <w:szCs w:val="24"/>
                <w:highlight w:val="none"/>
                <w:lang w:val="en-US" w:eastAsia="zh-CN" w:bidi="ar-SA"/>
              </w:rPr>
            </w:pPr>
            <w:r>
              <w:rPr>
                <w:rFonts w:hint="eastAsia"/>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highlight w:val="none"/>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绩效目标</w:t>
            </w:r>
          </w:p>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default" w:eastAsia="仿宋_GB2312"/>
                <w:highlight w:val="none"/>
                <w:lang w:val="en-US" w:eastAsia="zh-CN"/>
              </w:rPr>
            </w:pPr>
            <w:r>
              <w:rPr>
                <w:rFonts w:hint="eastAsia"/>
                <w:highlight w:val="none"/>
                <w:lang w:val="en-US" w:eastAsia="zh-CN"/>
              </w:rPr>
              <w:t>3</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highlight w:val="none"/>
                <w:lang w:val="en-US" w:eastAsia="zh-CN" w:bidi="ar-SA"/>
              </w:rPr>
            </w:pPr>
            <w:r>
              <w:rPr>
                <w:rFonts w:hint="eastAsia"/>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highlight w:val="none"/>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highlight w:val="none"/>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绩效指标</w:t>
            </w:r>
          </w:p>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default" w:eastAsia="仿宋_GB2312"/>
                <w:highlight w:val="none"/>
                <w:lang w:val="en-US" w:eastAsia="zh-CN"/>
              </w:rPr>
            </w:pPr>
            <w:r>
              <w:rPr>
                <w:rFonts w:hint="eastAsia"/>
                <w:highlight w:val="none"/>
                <w:lang w:val="en-US" w:eastAsia="zh-CN"/>
              </w:rPr>
              <w:t>3</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highlight w:val="none"/>
                <w:lang w:val="en-US" w:eastAsia="zh-CN" w:bidi="ar-SA"/>
              </w:rPr>
            </w:pPr>
            <w:r>
              <w:rPr>
                <w:rFonts w:hint="eastAsia"/>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highlight w:val="none"/>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资金投入</w:t>
            </w:r>
          </w:p>
          <w:p>
            <w:pPr>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预算编制</w:t>
            </w:r>
          </w:p>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default" w:eastAsia="仿宋_GB2312"/>
                <w:highlight w:val="none"/>
                <w:lang w:val="en-US" w:eastAsia="zh-CN"/>
              </w:rPr>
            </w:pPr>
            <w:r>
              <w:rPr>
                <w:rFonts w:hint="eastAsia"/>
                <w:highlight w:val="none"/>
                <w:lang w:val="en-US" w:eastAsia="zh-CN"/>
              </w:rPr>
              <w:t>3</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highlight w:val="none"/>
                <w:lang w:val="en-US" w:eastAsia="zh-CN" w:bidi="ar-SA"/>
              </w:rPr>
            </w:pPr>
            <w:r>
              <w:rPr>
                <w:rFonts w:hint="eastAsia"/>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highlight w:val="none"/>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highlight w:val="none"/>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资金分配</w:t>
            </w:r>
          </w:p>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default" w:eastAsia="仿宋_GB2312"/>
                <w:highlight w:val="none"/>
                <w:lang w:val="en-US" w:eastAsia="zh-CN"/>
              </w:rPr>
            </w:pPr>
            <w:r>
              <w:rPr>
                <w:rFonts w:hint="eastAsia"/>
                <w:highlight w:val="none"/>
                <w:lang w:val="en-US" w:eastAsia="zh-CN"/>
              </w:rPr>
              <w:t>3</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highlight w:val="none"/>
                <w:lang w:val="en-US" w:eastAsia="zh-CN" w:bidi="ar-SA"/>
              </w:rPr>
            </w:pPr>
            <w:r>
              <w:rPr>
                <w:rFonts w:hint="eastAsia"/>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default" w:eastAsia="仿宋_GB2312"/>
                <w:highlight w:val="none"/>
                <w:lang w:val="en-US" w:eastAsia="zh-CN"/>
              </w:rPr>
            </w:pPr>
            <w:r>
              <w:rPr>
                <w:rFonts w:hint="eastAsia"/>
                <w:highlight w:val="none"/>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highlight w:val="none"/>
                <w:lang w:val="en-US" w:eastAsia="zh-CN" w:bidi="ar-SA"/>
              </w:rPr>
            </w:pPr>
            <w:r>
              <w:rPr>
                <w:rFonts w:hint="eastAsia"/>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highlight w:val="none"/>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highlight w:val="none"/>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default" w:eastAsia="仿宋_GB2312"/>
                <w:highlight w:val="none"/>
                <w:lang w:val="en-US" w:eastAsia="zh-CN"/>
              </w:rPr>
            </w:pPr>
            <w:r>
              <w:rPr>
                <w:rFonts w:hint="eastAsia"/>
                <w:highlight w:val="none"/>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highlight w:val="none"/>
                <w:lang w:val="en-US" w:eastAsia="zh-CN" w:bidi="ar-SA"/>
              </w:rPr>
            </w:pPr>
            <w:r>
              <w:rPr>
                <w:rFonts w:hint="eastAsia"/>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highlight w:val="none"/>
              </w:rPr>
            </w:pPr>
          </w:p>
        </w:tc>
        <w:tc>
          <w:tcPr>
            <w:tcW w:w="1478" w:type="dxa"/>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资金使用</w:t>
            </w:r>
          </w:p>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default" w:eastAsia="仿宋_GB2312"/>
                <w:highlight w:val="none"/>
                <w:lang w:val="en-US" w:eastAsia="zh-CN"/>
              </w:rPr>
            </w:pPr>
            <w:r>
              <w:rPr>
                <w:rFonts w:hint="eastAsia"/>
                <w:highlight w:val="none"/>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highlight w:val="none"/>
                <w:lang w:val="en-US" w:eastAsia="zh-CN" w:bidi="ar-SA"/>
              </w:rPr>
            </w:pPr>
            <w:r>
              <w:rPr>
                <w:rFonts w:hint="eastAsia"/>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highlight w:val="none"/>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组织实施</w:t>
            </w:r>
          </w:p>
          <w:p>
            <w:pPr>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管理制度</w:t>
            </w:r>
          </w:p>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default" w:eastAsia="仿宋_GB2312"/>
                <w:highlight w:val="none"/>
                <w:lang w:val="en-US" w:eastAsia="zh-CN"/>
              </w:rPr>
            </w:pPr>
            <w:r>
              <w:rPr>
                <w:rFonts w:hint="eastAsia"/>
                <w:highlight w:val="none"/>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highlight w:val="none"/>
                <w:lang w:val="en-US" w:eastAsia="zh-CN" w:bidi="ar-SA"/>
              </w:rPr>
            </w:pPr>
            <w:r>
              <w:rPr>
                <w:rFonts w:hint="eastAsia"/>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highlight w:val="none"/>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highlight w:val="none"/>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制度执行</w:t>
            </w:r>
          </w:p>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default" w:eastAsia="仿宋_GB2312"/>
                <w:highlight w:val="none"/>
                <w:lang w:val="en-US" w:eastAsia="zh-CN"/>
              </w:rPr>
            </w:pPr>
            <w:r>
              <w:rPr>
                <w:rFonts w:hint="eastAsia"/>
                <w:highlight w:val="none"/>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highlight w:val="none"/>
                <w:lang w:val="en-US" w:eastAsia="zh-CN" w:bidi="ar-SA"/>
              </w:rPr>
            </w:pPr>
            <w:r>
              <w:rPr>
                <w:rFonts w:hint="eastAsia"/>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highlight w:val="none"/>
                <w:lang w:val="en-US" w:eastAsia="zh-CN"/>
              </w:rPr>
            </w:pPr>
            <w:r>
              <w:rPr>
                <w:rFonts w:hint="eastAsia"/>
                <w:highlight w:val="none"/>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highlight w:val="none"/>
                <w:lang w:val="en-US" w:eastAsia="zh-CN" w:bidi="ar-SA"/>
              </w:rPr>
            </w:pPr>
            <w:r>
              <w:rPr>
                <w:rFonts w:hint="eastAsia"/>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highlight w:val="none"/>
              </w:rPr>
            </w:pPr>
          </w:p>
        </w:tc>
        <w:tc>
          <w:tcPr>
            <w:tcW w:w="1478" w:type="dxa"/>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highlight w:val="none"/>
                <w:lang w:val="en-US" w:eastAsia="zh-CN"/>
              </w:rPr>
            </w:pPr>
            <w:r>
              <w:rPr>
                <w:rFonts w:hint="eastAsia"/>
                <w:highlight w:val="none"/>
                <w:lang w:val="en-US" w:eastAsia="zh-CN"/>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highlight w:val="none"/>
                <w:lang w:val="en-US" w:eastAsia="zh-CN" w:bidi="ar-SA"/>
              </w:rPr>
            </w:pPr>
            <w:r>
              <w:rPr>
                <w:rFonts w:hint="eastAsia"/>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highlight w:val="none"/>
              </w:rPr>
            </w:pPr>
          </w:p>
        </w:tc>
        <w:tc>
          <w:tcPr>
            <w:tcW w:w="1478" w:type="dxa"/>
            <w:shd w:val="clear" w:color="auto" w:fill="FFFFFF"/>
            <w:vAlign w:val="center"/>
          </w:tcPr>
          <w:p>
            <w:pPr>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highlight w:val="none"/>
                <w:lang w:val="en-US" w:eastAsia="zh-CN"/>
              </w:rPr>
            </w:pPr>
            <w:r>
              <w:rPr>
                <w:rFonts w:hint="eastAsia"/>
                <w:highlight w:val="none"/>
                <w:lang w:val="en-US" w:eastAsia="zh-CN"/>
              </w:rPr>
              <w:t>5</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highlight w:val="none"/>
                <w:lang w:val="en-US" w:eastAsia="zh-CN" w:bidi="ar-SA"/>
              </w:rPr>
            </w:pPr>
            <w:r>
              <w:rPr>
                <w:rFonts w:hint="eastAsia"/>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highlight w:val="none"/>
              </w:rPr>
            </w:pPr>
          </w:p>
        </w:tc>
        <w:tc>
          <w:tcPr>
            <w:tcW w:w="1478" w:type="dxa"/>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highlight w:val="none"/>
                <w:lang w:val="en-US" w:eastAsia="zh-CN"/>
              </w:rPr>
            </w:pPr>
            <w:r>
              <w:rPr>
                <w:rFonts w:hint="eastAsia"/>
                <w:highlight w:val="none"/>
                <w:lang w:val="en-US" w:eastAsia="zh-CN"/>
              </w:rPr>
              <w:t>5</w:t>
            </w:r>
          </w:p>
        </w:tc>
        <w:tc>
          <w:tcPr>
            <w:tcW w:w="874" w:type="dxa"/>
            <w:shd w:val="clear" w:color="auto" w:fill="FFFFFF"/>
            <w:vAlign w:val="top"/>
          </w:tcPr>
          <w:p>
            <w:pPr>
              <w:spacing w:line="600" w:lineRule="auto"/>
              <w:jc w:val="center"/>
              <w:rPr>
                <w:rFonts w:hint="default" w:eastAsia="仿宋_GB2312"/>
                <w:highlight w:val="none"/>
                <w:lang w:val="en-US" w:eastAsia="zh-CN"/>
              </w:rPr>
            </w:pPr>
            <w:r>
              <w:rPr>
                <w:rFonts w:hint="eastAsia"/>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highlight w:val="none"/>
                <w:lang w:val="en-US" w:eastAsia="zh-CN"/>
              </w:rPr>
            </w:pPr>
            <w:r>
              <w:rPr>
                <w:rFonts w:hint="eastAsia"/>
                <w:highlight w:val="none"/>
                <w:lang w:val="en-US" w:eastAsia="zh-CN"/>
              </w:rPr>
              <w:t>15</w:t>
            </w:r>
          </w:p>
        </w:tc>
        <w:tc>
          <w:tcPr>
            <w:tcW w:w="874" w:type="dxa"/>
            <w:shd w:val="clear" w:color="auto" w:fill="FFFFFF"/>
          </w:tcPr>
          <w:p>
            <w:pPr>
              <w:spacing w:line="600" w:lineRule="auto"/>
              <w:jc w:val="center"/>
              <w:rPr>
                <w:rFonts w:hint="default" w:eastAsia="仿宋_GB2312"/>
                <w:highlight w:val="none"/>
                <w:lang w:val="en-US" w:eastAsia="zh-CN"/>
              </w:rPr>
            </w:pPr>
            <w:r>
              <w:rPr>
                <w:rFonts w:hint="eastAsia"/>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highlight w:val="none"/>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highlight w:val="none"/>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color w:val="000000"/>
                <w:kern w:val="0"/>
                <w:sz w:val="22"/>
                <w:highlight w:val="none"/>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highlight w:val="none"/>
                <w:lang w:val="en-US" w:eastAsia="zh-CN"/>
              </w:rPr>
            </w:pPr>
            <w:r>
              <w:rPr>
                <w:rFonts w:hint="eastAsia"/>
                <w:highlight w:val="none"/>
                <w:lang w:val="en-US" w:eastAsia="zh-CN"/>
              </w:rPr>
              <w:t>15</w:t>
            </w:r>
          </w:p>
        </w:tc>
        <w:tc>
          <w:tcPr>
            <w:tcW w:w="874" w:type="dxa"/>
            <w:shd w:val="clear" w:color="000000" w:fill="FFFFFF"/>
          </w:tcPr>
          <w:p>
            <w:pPr>
              <w:spacing w:line="600" w:lineRule="auto"/>
              <w:jc w:val="center"/>
              <w:rPr>
                <w:rFonts w:hint="default" w:eastAsia="仿宋_GB2312"/>
                <w:highlight w:val="none"/>
                <w:lang w:val="en-US" w:eastAsia="zh-CN"/>
              </w:rPr>
            </w:pPr>
            <w:r>
              <w:rPr>
                <w:rFonts w:hint="eastAsia"/>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highlight w:val="none"/>
              </w:rPr>
            </w:pPr>
            <w:r>
              <w:rPr>
                <w:rFonts w:hint="eastAsia" w:ascii="宋体" w:hAnsi="宋体" w:cs="宋体"/>
                <w:b/>
                <w:bCs/>
                <w:color w:val="000000"/>
                <w:kern w:val="0"/>
                <w:sz w:val="22"/>
                <w:highlight w:val="none"/>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highlight w:val="none"/>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highlight w:val="none"/>
                <w:lang w:val="en-US" w:eastAsia="zh-CN"/>
              </w:rPr>
            </w:pPr>
            <w:r>
              <w:rPr>
                <w:rFonts w:hint="eastAsia" w:ascii="宋体" w:hAnsi="宋体" w:cs="宋体"/>
                <w:color w:val="000000"/>
                <w:kern w:val="0"/>
                <w:sz w:val="22"/>
                <w:highlight w:val="none"/>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highlight w:val="none"/>
                <w:lang w:val="en-US" w:eastAsia="zh-CN"/>
              </w:rPr>
            </w:pPr>
            <w:r>
              <w:rPr>
                <w:rFonts w:hint="eastAsia" w:ascii="宋体" w:hAnsi="宋体" w:cs="宋体"/>
                <w:color w:val="000000"/>
                <w:kern w:val="0"/>
                <w:sz w:val="22"/>
                <w:highlight w:val="none"/>
                <w:lang w:val="en-US" w:eastAsia="zh-CN"/>
              </w:rPr>
              <w:t>100</w:t>
            </w:r>
          </w:p>
        </w:tc>
      </w:tr>
    </w:tbl>
    <w:p>
      <w:pPr>
        <w:rPr>
          <w:highlight w:val="none"/>
        </w:rPr>
        <w:sectPr>
          <w:pgSz w:w="11906" w:h="16838"/>
          <w:pgMar w:top="1928" w:right="1531" w:bottom="1701" w:left="1531" w:header="737" w:footer="851" w:gutter="0"/>
          <w:cols w:space="720" w:num="1"/>
          <w:docGrid w:type="lines" w:linePitch="408" w:charSpace="0"/>
        </w:sectPr>
      </w:pPr>
    </w:p>
    <w:p>
      <w:pPr>
        <w:spacing w:line="360" w:lineRule="auto"/>
        <w:rPr>
          <w:highlight w:val="none"/>
        </w:rPr>
      </w:pPr>
      <w:r>
        <w:rPr>
          <w:rFonts w:hint="eastAsia"/>
          <w:highlight w:val="none"/>
        </w:rPr>
        <w:t>3、评价方法</w:t>
      </w:r>
    </w:p>
    <w:p>
      <w:pPr>
        <w:spacing w:line="560" w:lineRule="exact"/>
        <w:ind w:firstLine="900" w:firstLineChars="300"/>
        <w:rPr>
          <w:rFonts w:hint="eastAsia" w:ascii="Times New Roman" w:hAnsi="Times New Roman" w:eastAsia="宋体" w:cs="Times New Roman"/>
          <w:color w:val="auto"/>
          <w:highlight w:val="none"/>
          <w:lang w:val="en-US" w:eastAsia="zh-CN"/>
        </w:rPr>
      </w:pPr>
      <w:r>
        <w:rPr>
          <w:rFonts w:hint="eastAsia" w:ascii="Times New Roman" w:hAnsi="Times New Roman" w:cs="Times New Roman"/>
          <w:color w:val="auto"/>
          <w:highlight w:val="none"/>
          <w:lang w:val="en-US" w:eastAsia="zh-CN"/>
        </w:rPr>
        <w:t>本次评价方法采用了</w:t>
      </w:r>
      <w:r>
        <w:rPr>
          <w:rFonts w:hint="eastAsia" w:ascii="Times New Roman" w:hAnsi="Times New Roman" w:cs="Times New Roman"/>
          <w:color w:val="auto"/>
          <w:highlight w:val="none"/>
        </w:rPr>
        <w:t>比较法</w:t>
      </w:r>
      <w:r>
        <w:rPr>
          <w:rFonts w:hint="eastAsia" w:ascii="Times New Roman" w:hAnsi="Times New Roman" w:cs="Times New Roman"/>
          <w:color w:val="auto"/>
          <w:highlight w:val="none"/>
          <w:lang w:val="en-US" w:eastAsia="zh-CN"/>
        </w:rPr>
        <w:t>和</w:t>
      </w:r>
      <w:r>
        <w:rPr>
          <w:rFonts w:hint="eastAsia" w:ascii="Times New Roman" w:hAnsi="Times New Roman" w:cs="Times New Roman"/>
          <w:color w:val="auto"/>
          <w:highlight w:val="none"/>
        </w:rPr>
        <w:t>因素分析法</w:t>
      </w:r>
      <w:r>
        <w:rPr>
          <w:rFonts w:hint="eastAsia" w:ascii="Times New Roman" w:hAnsi="Times New Roman" w:eastAsia="宋体" w:cs="Times New Roman"/>
          <w:color w:val="auto"/>
          <w:highlight w:val="none"/>
          <w:lang w:eastAsia="zh-CN"/>
        </w:rPr>
        <w:t>，</w:t>
      </w:r>
      <w:r>
        <w:rPr>
          <w:rFonts w:hint="eastAsia" w:ascii="Times New Roman" w:hAnsi="Times New Roman" w:cs="Times New Roman"/>
          <w:color w:val="auto"/>
          <w:highlight w:val="none"/>
          <w:lang w:val="en-US" w:eastAsia="zh-CN"/>
        </w:rPr>
        <w:t>原因</w:t>
      </w:r>
      <w:r>
        <w:rPr>
          <w:rFonts w:hint="eastAsia" w:cs="Times New Roman"/>
          <w:color w:val="auto"/>
          <w:highlight w:val="none"/>
          <w:lang w:val="en-US" w:eastAsia="zh-CN"/>
        </w:rPr>
        <w:t>是比</w:t>
      </w:r>
      <w:r>
        <w:rPr>
          <w:rFonts w:hint="eastAsia" w:ascii="Times New Roman" w:hAnsi="Times New Roman" w:cs="Times New Roman"/>
          <w:color w:val="auto"/>
          <w:highlight w:val="none"/>
        </w:rPr>
        <w:t>较法</w:t>
      </w:r>
      <w:r>
        <w:rPr>
          <w:rFonts w:hint="eastAsia" w:cs="Times New Roman"/>
          <w:color w:val="auto"/>
          <w:highlight w:val="none"/>
          <w:lang w:val="en-US" w:eastAsia="zh-CN"/>
        </w:rPr>
        <w:t>是</w:t>
      </w:r>
      <w:r>
        <w:rPr>
          <w:rFonts w:hint="eastAsia" w:ascii="Times New Roman" w:hAnsi="Times New Roman" w:cs="Times New Roman"/>
          <w:color w:val="auto"/>
          <w:highlight w:val="none"/>
        </w:rPr>
        <w:t>通过对绩效目标与实施效果、历史与当期情况，综合分析绩效目标实现程度。对项目最终验收情况与年度绩效目标对比、预算资金执行情况等相关因素进行比较。因素分析法</w:t>
      </w:r>
      <w:r>
        <w:rPr>
          <w:rFonts w:hint="eastAsia" w:cs="Times New Roman"/>
          <w:color w:val="auto"/>
          <w:highlight w:val="none"/>
          <w:lang w:val="en-US" w:eastAsia="zh-CN"/>
        </w:rPr>
        <w:t>是</w:t>
      </w:r>
      <w:r>
        <w:rPr>
          <w:rFonts w:hint="eastAsia" w:ascii="Times New Roman" w:hAnsi="Times New Roman" w:cs="Times New Roman"/>
          <w:color w:val="auto"/>
          <w:highlight w:val="none"/>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r>
        <w:rPr>
          <w:rFonts w:hint="eastAsia" w:cs="Times New Roman"/>
          <w:color w:val="auto"/>
          <w:highlight w:val="none"/>
          <w:lang w:val="en-US" w:eastAsia="zh-CN"/>
        </w:rPr>
        <w:t>这两种评价方法是完全符合本次项目的评价标准和</w:t>
      </w:r>
      <w:r>
        <w:rPr>
          <w:rFonts w:hint="eastAsia" w:ascii="Times New Roman" w:hAnsi="Times New Roman" w:cs="Times New Roman"/>
          <w:color w:val="auto"/>
          <w:highlight w:val="none"/>
        </w:rPr>
        <w:t>项目决策、项目过程、项目产出、项目效益四个维度进行评价</w:t>
      </w:r>
      <w:r>
        <w:rPr>
          <w:rFonts w:hint="eastAsia" w:cs="Times New Roman"/>
          <w:color w:val="auto"/>
          <w:highlight w:val="none"/>
          <w:lang w:val="en-US" w:eastAsia="zh-CN"/>
        </w:rPr>
        <w:t>等绩效评价的四个维度。</w:t>
      </w:r>
    </w:p>
    <w:p>
      <w:pPr>
        <w:spacing w:line="360" w:lineRule="auto"/>
        <w:rPr>
          <w:highlight w:val="yellow"/>
        </w:rPr>
      </w:pPr>
    </w:p>
    <w:p>
      <w:pPr>
        <w:spacing w:line="360" w:lineRule="auto"/>
        <w:rPr>
          <w:highlight w:val="none"/>
        </w:rPr>
      </w:pPr>
      <w:r>
        <w:rPr>
          <w:rFonts w:hint="eastAsia"/>
          <w:highlight w:val="none"/>
        </w:rPr>
        <w:t>4、评价标准</w:t>
      </w:r>
    </w:p>
    <w:p>
      <w:pPr>
        <w:spacing w:line="560" w:lineRule="exact"/>
        <w:ind w:firstLine="900" w:firstLineChars="300"/>
        <w:rPr>
          <w:rFonts w:hint="eastAsia" w:ascii="Times New Roman" w:hAnsi="Times New Roman" w:cs="Times New Roman"/>
          <w:color w:val="auto"/>
          <w:highlight w:val="none"/>
          <w:lang w:val="en-US" w:eastAsia="zh-CN"/>
        </w:rPr>
      </w:pPr>
      <w:bookmarkStart w:id="6" w:name="_Toc68703833"/>
      <w:r>
        <w:rPr>
          <w:rFonts w:hint="eastAsia" w:ascii="Times New Roman" w:hAnsi="Times New Roman" w:cs="Times New Roman"/>
          <w:color w:val="auto"/>
          <w:highlight w:val="none"/>
          <w:lang w:val="en-US" w:eastAsia="zh-CN"/>
        </w:rPr>
        <w:t>本次评价</w:t>
      </w:r>
      <w:r>
        <w:rPr>
          <w:rFonts w:hint="eastAsia" w:cs="Times New Roman"/>
          <w:color w:val="auto"/>
          <w:highlight w:val="none"/>
          <w:lang w:val="en-US" w:eastAsia="zh-CN"/>
        </w:rPr>
        <w:t>标准</w:t>
      </w:r>
      <w:r>
        <w:rPr>
          <w:rFonts w:hint="eastAsia" w:ascii="Times New Roman" w:hAnsi="Times New Roman" w:cs="Times New Roman"/>
          <w:color w:val="auto"/>
          <w:highlight w:val="none"/>
          <w:lang w:val="en-US" w:eastAsia="zh-CN"/>
        </w:rPr>
        <w:t>主要采用了计划标准和行业标准，原因是计划标准是制定</w:t>
      </w:r>
      <w:r>
        <w:rPr>
          <w:rFonts w:hint="eastAsia" w:ascii="Times New Roman" w:hAnsi="Times New Roman" w:cs="Times New Roman"/>
          <w:color w:val="auto"/>
          <w:highlight w:val="none"/>
        </w:rPr>
        <w:t>目标、计划、预算、定额等作为评价标准</w:t>
      </w:r>
      <w:r>
        <w:rPr>
          <w:rFonts w:hint="eastAsia" w:ascii="Times New Roman" w:hAnsi="Times New Roman" w:cs="Times New Roman"/>
          <w:color w:val="auto"/>
          <w:highlight w:val="none"/>
          <w:lang w:eastAsia="zh-CN"/>
        </w:rPr>
        <w:t>，此项目资金安排流程正式按此格式来完成的。</w:t>
      </w:r>
      <w:r>
        <w:rPr>
          <w:rFonts w:hint="eastAsia" w:ascii="Times New Roman" w:hAnsi="Times New Roman" w:cs="Times New Roman"/>
          <w:color w:val="auto"/>
          <w:highlight w:val="none"/>
        </w:rPr>
        <w:t>行业标准</w:t>
      </w:r>
      <w:r>
        <w:rPr>
          <w:rFonts w:hint="eastAsia" w:ascii="Times New Roman" w:hAnsi="Times New Roman" w:cs="Times New Roman"/>
          <w:color w:val="auto"/>
          <w:highlight w:val="none"/>
          <w:lang w:val="en-US" w:eastAsia="zh-CN"/>
        </w:rPr>
        <w:t>是</w:t>
      </w:r>
      <w:r>
        <w:rPr>
          <w:rFonts w:hint="eastAsia" w:ascii="Times New Roman" w:hAnsi="Times New Roman" w:cs="Times New Roman"/>
          <w:color w:val="auto"/>
          <w:highlight w:val="none"/>
        </w:rPr>
        <w:t>参照国家公布的行业指标数据制定的评价标准</w:t>
      </w:r>
      <w:r>
        <w:rPr>
          <w:rFonts w:hint="eastAsia" w:ascii="Times New Roman" w:hAnsi="Times New Roman" w:cs="Times New Roman"/>
          <w:color w:val="auto"/>
          <w:highlight w:val="none"/>
          <w:lang w:eastAsia="zh-CN"/>
        </w:rPr>
        <w:t>，是比较规范的能确保此项目的规范性和安全性。</w:t>
      </w:r>
    </w:p>
    <w:p>
      <w:pPr>
        <w:pStyle w:val="4"/>
        <w:spacing w:line="360" w:lineRule="auto"/>
        <w:rPr>
          <w:rFonts w:ascii="仿宋_GB2312" w:eastAsia="仿宋_GB2312"/>
          <w:b w:val="0"/>
          <w:bCs w:val="0"/>
          <w:highlight w:val="none"/>
        </w:rPr>
      </w:pPr>
      <w:r>
        <w:rPr>
          <w:rFonts w:hint="eastAsia" w:ascii="仿宋_GB2312" w:eastAsia="仿宋_GB2312"/>
          <w:b w:val="0"/>
          <w:bCs w:val="0"/>
          <w:highlight w:val="none"/>
        </w:rPr>
        <w:t>（三）绩效评价工作过程。</w:t>
      </w:r>
      <w:bookmarkEnd w:id="6"/>
    </w:p>
    <w:p>
      <w:pPr>
        <w:spacing w:line="360" w:lineRule="auto"/>
        <w:rPr>
          <w:highlight w:val="none"/>
        </w:rPr>
      </w:pPr>
      <w:r>
        <w:rPr>
          <w:rFonts w:hint="eastAsia"/>
          <w:highlight w:val="none"/>
        </w:rPr>
        <w:t>1、前期准备：</w:t>
      </w:r>
    </w:p>
    <w:p>
      <w:pPr>
        <w:spacing w:line="360" w:lineRule="auto"/>
        <w:ind w:firstLine="600" w:firstLineChars="200"/>
        <w:rPr>
          <w:color w:val="auto"/>
          <w:highlight w:val="none"/>
        </w:rPr>
      </w:pPr>
      <w:r>
        <w:rPr>
          <w:rFonts w:hint="eastAsia"/>
          <w:color w:val="auto"/>
          <w:highlight w:val="none"/>
        </w:rPr>
        <w:t>2</w:t>
      </w:r>
      <w:r>
        <w:rPr>
          <w:color w:val="auto"/>
          <w:highlight w:val="none"/>
        </w:rPr>
        <w:t>02</w:t>
      </w:r>
      <w:r>
        <w:rPr>
          <w:rFonts w:hint="eastAsia"/>
          <w:color w:val="auto"/>
          <w:highlight w:val="none"/>
          <w:lang w:val="en-US" w:eastAsia="zh-CN"/>
        </w:rPr>
        <w:t>2</w:t>
      </w:r>
      <w:r>
        <w:rPr>
          <w:rFonts w:hint="eastAsia"/>
          <w:color w:val="auto"/>
          <w:highlight w:val="none"/>
        </w:rPr>
        <w:t xml:space="preserve">年 </w:t>
      </w:r>
      <w:r>
        <w:rPr>
          <w:rFonts w:hint="eastAsia"/>
          <w:color w:val="auto"/>
          <w:highlight w:val="none"/>
          <w:lang w:val="en-US" w:eastAsia="zh-CN"/>
        </w:rPr>
        <w:t>3</w:t>
      </w:r>
      <w:r>
        <w:rPr>
          <w:color w:val="auto"/>
          <w:highlight w:val="none"/>
        </w:rPr>
        <w:t xml:space="preserve"> </w:t>
      </w:r>
      <w:r>
        <w:rPr>
          <w:rFonts w:hint="eastAsia"/>
          <w:color w:val="auto"/>
          <w:highlight w:val="none"/>
        </w:rPr>
        <w:t>月</w:t>
      </w:r>
      <w:r>
        <w:rPr>
          <w:rFonts w:hint="eastAsia"/>
          <w:color w:val="auto"/>
          <w:highlight w:val="none"/>
          <w:lang w:val="en-US" w:eastAsia="zh-CN"/>
        </w:rPr>
        <w:t>1</w:t>
      </w:r>
      <w:r>
        <w:rPr>
          <w:rFonts w:hint="eastAsia"/>
          <w:color w:val="auto"/>
          <w:highlight w:val="none"/>
        </w:rPr>
        <w:t>日，</w:t>
      </w:r>
      <w:r>
        <w:rPr>
          <w:rFonts w:hint="eastAsia" w:ascii="仿宋_GB2312"/>
          <w:color w:val="auto"/>
          <w:highlight w:val="none"/>
          <w:lang w:val="zh-CN"/>
        </w:rPr>
        <w:t>开始前期准备工作，评价组通过前期调研</w:t>
      </w:r>
      <w:r>
        <w:rPr>
          <w:rFonts w:hint="eastAsia"/>
          <w:color w:val="auto"/>
          <w:highlight w:val="none"/>
        </w:rPr>
        <w:t>确定绩效评价对象和范围，</w:t>
      </w:r>
      <w:r>
        <w:rPr>
          <w:rFonts w:hint="eastAsia" w:ascii="仿宋_GB2312"/>
          <w:color w:val="auto"/>
          <w:highlight w:val="none"/>
          <w:lang w:val="zh-CN"/>
        </w:rPr>
        <w:t>确定了评价的目的、方法以及评价的原则，根据项目的内容和特征制定了评价指标体系及评价标准以及评价实施方案，修正并确定所需资料清单，最终确定</w:t>
      </w:r>
      <w:r>
        <w:rPr>
          <w:rFonts w:hint="eastAsia"/>
          <w:color w:val="auto"/>
          <w:highlight w:val="none"/>
        </w:rPr>
        <w:t>绩效评价工作方案；</w:t>
      </w:r>
    </w:p>
    <w:p>
      <w:pPr>
        <w:spacing w:line="360" w:lineRule="auto"/>
        <w:rPr>
          <w:highlight w:val="none"/>
        </w:rPr>
      </w:pPr>
      <w:r>
        <w:rPr>
          <w:highlight w:val="none"/>
        </w:rPr>
        <w:t>2</w:t>
      </w:r>
      <w:r>
        <w:rPr>
          <w:rFonts w:hint="eastAsia"/>
          <w:highlight w:val="none"/>
        </w:rPr>
        <w:t>、组织实施：</w:t>
      </w:r>
    </w:p>
    <w:p>
      <w:pPr>
        <w:spacing w:line="360" w:lineRule="auto"/>
        <w:ind w:firstLine="600" w:firstLineChars="200"/>
        <w:rPr>
          <w:color w:val="auto"/>
          <w:highlight w:val="none"/>
        </w:rPr>
      </w:pPr>
      <w:r>
        <w:rPr>
          <w:rFonts w:hint="eastAsia"/>
          <w:color w:val="auto"/>
          <w:highlight w:val="none"/>
        </w:rPr>
        <w:t>2</w:t>
      </w:r>
      <w:r>
        <w:rPr>
          <w:color w:val="auto"/>
          <w:highlight w:val="none"/>
        </w:rPr>
        <w:t>02</w:t>
      </w:r>
      <w:r>
        <w:rPr>
          <w:rFonts w:hint="eastAsia"/>
          <w:color w:val="auto"/>
          <w:highlight w:val="none"/>
          <w:lang w:val="en-US" w:eastAsia="zh-CN"/>
        </w:rPr>
        <w:t>2</w:t>
      </w:r>
      <w:r>
        <w:rPr>
          <w:rFonts w:hint="eastAsia"/>
          <w:color w:val="auto"/>
          <w:highlight w:val="none"/>
        </w:rPr>
        <w:t>年</w:t>
      </w:r>
      <w:r>
        <w:rPr>
          <w:rFonts w:hint="eastAsia"/>
          <w:color w:val="auto"/>
          <w:highlight w:val="none"/>
          <w:lang w:val="en-US" w:eastAsia="zh-CN"/>
        </w:rPr>
        <w:t>03</w:t>
      </w:r>
      <w:r>
        <w:rPr>
          <w:rFonts w:hint="eastAsia"/>
          <w:color w:val="auto"/>
          <w:highlight w:val="none"/>
        </w:rPr>
        <w:t>月</w:t>
      </w:r>
      <w:r>
        <w:rPr>
          <w:rFonts w:hint="eastAsia"/>
          <w:color w:val="auto"/>
          <w:highlight w:val="none"/>
          <w:lang w:val="en-US" w:eastAsia="zh-CN"/>
        </w:rPr>
        <w:t>10</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20</w:t>
      </w:r>
      <w:r>
        <w:rPr>
          <w:rFonts w:hint="eastAsia"/>
          <w:color w:val="auto"/>
          <w:highlight w:val="none"/>
        </w:rPr>
        <w:t xml:space="preserve"> 日，</w:t>
      </w:r>
      <w:r>
        <w:rPr>
          <w:rFonts w:hint="eastAsia" w:ascii="仿宋_GB2312"/>
          <w:color w:val="auto"/>
          <w:highlight w:val="none"/>
        </w:rPr>
        <w:t>评价工作进入实施阶段，评价组</w:t>
      </w:r>
      <w:r>
        <w:rPr>
          <w:rFonts w:hint="eastAsia"/>
          <w:color w:val="auto"/>
          <w:highlight w:val="none"/>
        </w:rPr>
        <w:t>收集绩效评价相关数据资料，进行现场调研、座谈；并</w:t>
      </w:r>
      <w:r>
        <w:rPr>
          <w:rFonts w:hint="eastAsia" w:ascii="仿宋_GB2312"/>
          <w:color w:val="auto"/>
          <w:highlight w:val="none"/>
        </w:rPr>
        <w:t>与项目实施负责人沟通，了解资金的内容、操作流程、管理机制、资金使用方向等情况</w:t>
      </w:r>
      <w:r>
        <w:rPr>
          <w:rFonts w:hint="eastAsia"/>
          <w:color w:val="auto"/>
          <w:highlight w:val="none"/>
        </w:rPr>
        <w:t>，</w:t>
      </w:r>
      <w:r>
        <w:rPr>
          <w:color w:val="auto"/>
          <w:highlight w:val="none"/>
        </w:rPr>
        <w:t>分析</w:t>
      </w:r>
      <w:r>
        <w:rPr>
          <w:rFonts w:hint="eastAsia"/>
          <w:color w:val="auto"/>
          <w:highlight w:val="none"/>
        </w:rPr>
        <w:t>形成初步结论。</w:t>
      </w:r>
      <w:r>
        <w:rPr>
          <w:color w:val="auto"/>
          <w:highlight w:val="none"/>
        </w:rPr>
        <w:t xml:space="preserve"> </w:t>
      </w:r>
    </w:p>
    <w:p>
      <w:pPr>
        <w:spacing w:line="360" w:lineRule="auto"/>
        <w:rPr>
          <w:color w:val="auto"/>
          <w:highlight w:val="none"/>
        </w:rPr>
      </w:pPr>
      <w:r>
        <w:rPr>
          <w:rFonts w:hint="eastAsia"/>
          <w:color w:val="auto"/>
          <w:highlight w:val="none"/>
        </w:rPr>
        <w:t>3、分析评价：</w:t>
      </w:r>
    </w:p>
    <w:p>
      <w:pPr>
        <w:spacing w:line="360" w:lineRule="auto"/>
        <w:ind w:firstLine="600" w:firstLineChars="200"/>
        <w:rPr>
          <w:rFonts w:ascii="仿宋_GB2312"/>
          <w:color w:val="auto"/>
          <w:highlight w:val="none"/>
        </w:rPr>
      </w:pPr>
      <w:r>
        <w:rPr>
          <w:rFonts w:hint="eastAsia"/>
          <w:color w:val="auto"/>
          <w:highlight w:val="none"/>
        </w:rPr>
        <w:t>202</w:t>
      </w:r>
      <w:r>
        <w:rPr>
          <w:rFonts w:hint="eastAsia"/>
          <w:color w:val="auto"/>
          <w:highlight w:val="none"/>
          <w:lang w:val="en-US" w:eastAsia="zh-CN"/>
        </w:rPr>
        <w:t>1</w:t>
      </w:r>
      <w:r>
        <w:rPr>
          <w:rFonts w:hint="eastAsia"/>
          <w:color w:val="auto"/>
          <w:highlight w:val="none"/>
        </w:rPr>
        <w:t>年</w:t>
      </w:r>
      <w:r>
        <w:rPr>
          <w:color w:val="auto"/>
          <w:highlight w:val="none"/>
        </w:rPr>
        <w:t xml:space="preserve"> </w:t>
      </w:r>
      <w:r>
        <w:rPr>
          <w:rFonts w:hint="eastAsia"/>
          <w:color w:val="auto"/>
          <w:highlight w:val="none"/>
          <w:lang w:val="en-US" w:eastAsia="zh-CN"/>
        </w:rPr>
        <w:t>3月21</w:t>
      </w:r>
      <w:r>
        <w:rPr>
          <w:rFonts w:hint="eastAsia"/>
          <w:color w:val="auto"/>
          <w:highlight w:val="none"/>
        </w:rPr>
        <w:t>日-</w:t>
      </w:r>
      <w:r>
        <w:rPr>
          <w:color w:val="auto"/>
          <w:highlight w:val="none"/>
        </w:rPr>
        <w:t xml:space="preserve"> </w:t>
      </w:r>
      <w:r>
        <w:rPr>
          <w:rFonts w:hint="eastAsia"/>
          <w:color w:val="auto"/>
          <w:highlight w:val="none"/>
          <w:lang w:val="en-US" w:eastAsia="zh-CN"/>
        </w:rPr>
        <w:t>3</w:t>
      </w:r>
      <w:r>
        <w:rPr>
          <w:color w:val="auto"/>
          <w:highlight w:val="none"/>
        </w:rPr>
        <w:t xml:space="preserve"> </w:t>
      </w:r>
      <w:r>
        <w:rPr>
          <w:rFonts w:hint="eastAsia"/>
          <w:color w:val="auto"/>
          <w:highlight w:val="none"/>
        </w:rPr>
        <w:t>月</w:t>
      </w:r>
      <w:r>
        <w:rPr>
          <w:rFonts w:hint="eastAsia"/>
          <w:color w:val="auto"/>
          <w:highlight w:val="none"/>
          <w:lang w:val="en-US" w:eastAsia="zh-CN"/>
        </w:rPr>
        <w:t>31</w:t>
      </w:r>
      <w:r>
        <w:rPr>
          <w:rFonts w:hint="eastAsia"/>
          <w:color w:val="auto"/>
          <w:highlight w:val="none"/>
        </w:rPr>
        <w:t>日，评价组按照绩效评价的原则和规范，对取得的资料进行审查核实，对采集的数据进行分析，按照绩效评价指标评分表逐项进行打分、分析，汇总各方评价结果，综合分析并形成评价结论。</w:t>
      </w:r>
    </w:p>
    <w:p>
      <w:pPr>
        <w:pStyle w:val="3"/>
        <w:spacing w:line="360" w:lineRule="auto"/>
        <w:rPr>
          <w:rFonts w:ascii="宋体" w:hAnsi="宋体" w:eastAsia="宋体"/>
          <w:sz w:val="32"/>
          <w:szCs w:val="32"/>
          <w:highlight w:val="none"/>
        </w:rPr>
      </w:pPr>
      <w:bookmarkStart w:id="7" w:name="_Toc68703834"/>
      <w:r>
        <w:rPr>
          <w:rFonts w:hint="eastAsia" w:ascii="宋体" w:hAnsi="宋体" w:eastAsia="宋体"/>
          <w:sz w:val="32"/>
          <w:szCs w:val="32"/>
          <w:highlight w:val="none"/>
        </w:rPr>
        <w:t>三、综合评价情况及评价结论</w:t>
      </w:r>
      <w:bookmarkEnd w:id="7"/>
    </w:p>
    <w:p>
      <w:pPr>
        <w:pStyle w:val="4"/>
        <w:spacing w:line="360" w:lineRule="auto"/>
        <w:rPr>
          <w:rFonts w:ascii="仿宋_GB2312" w:eastAsia="仿宋_GB2312"/>
          <w:b w:val="0"/>
          <w:bCs w:val="0"/>
          <w:highlight w:val="none"/>
        </w:rPr>
      </w:pPr>
      <w:bookmarkStart w:id="8" w:name="_Toc68703835"/>
      <w:r>
        <w:rPr>
          <w:rFonts w:hint="eastAsia" w:ascii="仿宋_GB2312" w:eastAsia="仿宋_GB2312"/>
          <w:b w:val="0"/>
          <w:bCs w:val="0"/>
          <w:highlight w:val="none"/>
        </w:rPr>
        <w:t>（一）综合评价情况</w:t>
      </w:r>
      <w:bookmarkEnd w:id="8"/>
    </w:p>
    <w:p>
      <w:pPr>
        <w:spacing w:line="360" w:lineRule="auto"/>
        <w:ind w:firstLine="600" w:firstLineChars="200"/>
        <w:rPr>
          <w:color w:val="auto"/>
          <w:highlight w:val="none"/>
        </w:rPr>
      </w:pPr>
      <w:r>
        <w:rPr>
          <w:rFonts w:hint="eastAsia"/>
          <w:color w:val="auto"/>
          <w:highlight w:val="none"/>
        </w:rPr>
        <w:t>本项目严格按照</w:t>
      </w:r>
      <w:r>
        <w:rPr>
          <w:rFonts w:hint="eastAsia" w:ascii="仿宋_GB2312"/>
          <w:bCs/>
          <w:color w:val="auto"/>
          <w:kern w:val="0"/>
          <w:sz w:val="32"/>
          <w:szCs w:val="32"/>
          <w:highlight w:val="none"/>
        </w:rPr>
        <w:t>科学公正、统筹兼顾、激励约束、公开透明的</w:t>
      </w:r>
      <w:r>
        <w:rPr>
          <w:rFonts w:hint="eastAsia"/>
          <w:color w:val="auto"/>
          <w:highlight w:val="none"/>
        </w:rPr>
        <w:t>绩效评价原则，采用</w:t>
      </w:r>
      <w:r>
        <w:rPr>
          <w:rFonts w:hint="eastAsia"/>
          <w:color w:val="auto"/>
          <w:highlight w:val="none"/>
          <w:lang w:eastAsia="zh-CN"/>
        </w:rPr>
        <w:t>比较法、</w:t>
      </w:r>
      <w:r>
        <w:rPr>
          <w:rFonts w:hint="eastAsia"/>
          <w:color w:val="auto"/>
          <w:highlight w:val="none"/>
          <w:lang w:val="en-US" w:eastAsia="zh-CN"/>
        </w:rPr>
        <w:t>因素分析法</w:t>
      </w:r>
      <w:r>
        <w:rPr>
          <w:rFonts w:hint="eastAsia"/>
          <w:color w:val="auto"/>
          <w:highlight w:val="none"/>
        </w:rPr>
        <w:t>，坚持</w:t>
      </w:r>
      <w:r>
        <w:rPr>
          <w:rFonts w:hint="eastAsia"/>
          <w:bCs/>
          <w:color w:val="auto"/>
          <w:sz w:val="32"/>
          <w:szCs w:val="32"/>
          <w:highlight w:val="none"/>
        </w:rPr>
        <w:t>计划</w:t>
      </w:r>
      <w:r>
        <w:rPr>
          <w:rFonts w:hint="eastAsia"/>
          <w:bCs/>
          <w:color w:val="auto"/>
          <w:sz w:val="32"/>
          <w:szCs w:val="32"/>
          <w:highlight w:val="none"/>
          <w:lang w:eastAsia="zh-CN"/>
        </w:rPr>
        <w:t>标准</w:t>
      </w:r>
      <w:r>
        <w:rPr>
          <w:rFonts w:hint="eastAsia"/>
          <w:bCs/>
          <w:color w:val="auto"/>
          <w:sz w:val="32"/>
          <w:szCs w:val="32"/>
          <w:highlight w:val="none"/>
        </w:rPr>
        <w:t>、</w:t>
      </w:r>
      <w:r>
        <w:rPr>
          <w:rFonts w:hint="eastAsia"/>
          <w:bCs/>
          <w:color w:val="auto"/>
          <w:sz w:val="32"/>
          <w:szCs w:val="32"/>
          <w:highlight w:val="none"/>
          <w:lang w:eastAsia="zh-CN"/>
        </w:rPr>
        <w:t>行业标准</w:t>
      </w:r>
      <w:r>
        <w:rPr>
          <w:rFonts w:hint="eastAsia"/>
          <w:color w:val="auto"/>
          <w:highlight w:val="none"/>
        </w:rPr>
        <w:t>对本项目的立项、项绩效目标、资金投入、资金管理、组织实施、产出数量、产出质量、产出时效、产出成本、项目效益进行了综合评价。</w:t>
      </w:r>
    </w:p>
    <w:p>
      <w:pPr>
        <w:spacing w:line="360" w:lineRule="auto"/>
        <w:ind w:firstLine="600" w:firstLineChars="200"/>
        <w:jc w:val="both"/>
        <w:rPr>
          <w:color w:val="auto"/>
          <w:highlight w:val="none"/>
        </w:rPr>
      </w:pPr>
      <w:r>
        <w:rPr>
          <w:rFonts w:hint="eastAsia"/>
          <w:color w:val="auto"/>
          <w:highlight w:val="none"/>
        </w:rPr>
        <w:t>伊犁州特克斯县全域旅游基础设施建设项目评价得分情况</w:t>
      </w:r>
    </w:p>
    <w:tbl>
      <w:tblPr>
        <w:tblStyle w:val="7"/>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highlight w:val="none"/>
              </w:rPr>
            </w:pPr>
            <w:r>
              <w:rPr>
                <w:rFonts w:hint="eastAsia"/>
                <w:b/>
                <w:bCs/>
                <w:color w:val="00000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highlight w:val="none"/>
              </w:rPr>
            </w:pPr>
            <w:r>
              <w:rPr>
                <w:rFonts w:hint="eastAsia"/>
                <w:b/>
                <w:bCs/>
                <w:color w:val="00000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highlight w:val="none"/>
              </w:rPr>
            </w:pPr>
            <w:r>
              <w:rPr>
                <w:rFonts w:hint="eastAsia"/>
                <w:b/>
                <w:bCs/>
                <w:color w:val="000000"/>
                <w:sz w:val="22"/>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000000"/>
                <w:sz w:val="22"/>
                <w:highlight w:val="none"/>
                <w:lang w:val="en-US" w:eastAsia="zh-CN"/>
              </w:rPr>
            </w:pPr>
            <w:r>
              <w:rPr>
                <w:rFonts w:hint="eastAsia"/>
                <w:color w:val="000000"/>
                <w:sz w:val="2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000000"/>
                <w:sz w:val="22"/>
                <w:highlight w:val="none"/>
                <w:lang w:val="en-US" w:eastAsia="zh-CN"/>
              </w:rPr>
            </w:pPr>
            <w:r>
              <w:rPr>
                <w:rFonts w:hint="eastAsia"/>
                <w:color w:val="000000"/>
                <w:sz w:val="2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highlight w:val="none"/>
              </w:rPr>
            </w:pPr>
            <w:r>
              <w:rPr>
                <w:rFonts w:hint="eastAsia" w:cs="宋体"/>
                <w:b/>
                <w:bCs/>
                <w:color w:val="00000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highlight w:val="none"/>
                <w:lang w:val="en-US" w:eastAsia="zh-CN"/>
              </w:rPr>
            </w:pPr>
            <w:r>
              <w:rPr>
                <w:rFonts w:hint="eastAsia"/>
                <w:b/>
                <w:bCs/>
                <w:color w:val="000000"/>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highlight w:val="none"/>
                <w:lang w:val="en-US" w:eastAsia="zh-CN"/>
              </w:rPr>
            </w:pPr>
            <w:r>
              <w:rPr>
                <w:rFonts w:hint="eastAsia"/>
                <w:b/>
                <w:bCs/>
                <w:color w:val="000000"/>
                <w:sz w:val="22"/>
                <w:highlight w:val="none"/>
                <w:lang w:val="en-US" w:eastAsia="zh-CN"/>
              </w:rPr>
              <w:t>100</w:t>
            </w:r>
          </w:p>
        </w:tc>
      </w:tr>
    </w:tbl>
    <w:p>
      <w:pPr>
        <w:pStyle w:val="4"/>
        <w:spacing w:line="360" w:lineRule="auto"/>
        <w:rPr>
          <w:rFonts w:ascii="仿宋_GB2312" w:eastAsia="仿宋_GB2312"/>
          <w:b w:val="0"/>
          <w:bCs w:val="0"/>
          <w:highlight w:val="none"/>
        </w:rPr>
      </w:pPr>
      <w:bookmarkStart w:id="9" w:name="_Toc68703836"/>
      <w:r>
        <w:rPr>
          <w:rFonts w:hint="eastAsia" w:ascii="仿宋_GB2312" w:eastAsia="仿宋_GB2312"/>
          <w:b w:val="0"/>
          <w:bCs w:val="0"/>
          <w:highlight w:val="none"/>
        </w:rPr>
        <w:t>（二）评价结论</w:t>
      </w:r>
      <w:bookmarkEnd w:id="9"/>
    </w:p>
    <w:p>
      <w:pPr>
        <w:spacing w:line="360" w:lineRule="auto"/>
        <w:ind w:firstLine="600" w:firstLineChars="200"/>
        <w:rPr>
          <w:rFonts w:hint="eastAsia" w:ascii="Times New Roman" w:hAnsi="Times New Roman" w:eastAsia="仿宋_GB2312" w:cs="Times New Roman"/>
          <w:color w:val="auto"/>
          <w:highlight w:val="none"/>
          <w:lang w:eastAsia="zh-CN"/>
        </w:rPr>
      </w:pPr>
      <w:r>
        <w:rPr>
          <w:rFonts w:hint="eastAsia"/>
          <w:color w:val="auto"/>
          <w:highlight w:val="none"/>
        </w:rPr>
        <w:t>本项目的项目决策、项目过程、项目产出、项目效益达到了预期要求，最终得分为</w:t>
      </w:r>
      <w:r>
        <w:rPr>
          <w:rFonts w:hint="eastAsia"/>
          <w:color w:val="auto"/>
          <w:highlight w:val="none"/>
          <w:lang w:val="en-US" w:eastAsia="zh-CN"/>
        </w:rPr>
        <w:t>100</w:t>
      </w:r>
      <w:r>
        <w:rPr>
          <w:rFonts w:hint="eastAsia"/>
          <w:color w:val="auto"/>
          <w:highlight w:val="none"/>
        </w:rPr>
        <w:t>分，项目达成年度指标</w:t>
      </w:r>
      <w:r>
        <w:rPr>
          <w:rFonts w:hint="eastAsia"/>
          <w:color w:val="auto"/>
          <w:highlight w:val="none"/>
          <w:lang w:eastAsia="zh-CN"/>
        </w:rPr>
        <w:t>。</w:t>
      </w:r>
    </w:p>
    <w:p>
      <w:pPr>
        <w:pStyle w:val="3"/>
        <w:spacing w:line="360" w:lineRule="auto"/>
        <w:rPr>
          <w:rFonts w:ascii="宋体" w:hAnsi="宋体" w:eastAsia="宋体"/>
          <w:sz w:val="32"/>
          <w:szCs w:val="32"/>
          <w:highlight w:val="none"/>
        </w:rPr>
      </w:pPr>
      <w:bookmarkStart w:id="10" w:name="_Toc68703837"/>
      <w:r>
        <w:rPr>
          <w:rFonts w:hint="eastAsia" w:ascii="宋体" w:hAnsi="宋体" w:eastAsia="宋体"/>
          <w:sz w:val="32"/>
          <w:szCs w:val="32"/>
          <w:highlight w:val="none"/>
        </w:rPr>
        <w:t>四、绩效评价指标分析</w:t>
      </w:r>
      <w:bookmarkEnd w:id="10"/>
    </w:p>
    <w:p>
      <w:pPr>
        <w:pStyle w:val="4"/>
        <w:spacing w:line="360" w:lineRule="auto"/>
        <w:rPr>
          <w:rFonts w:hint="eastAsia" w:ascii="仿宋_GB2312" w:eastAsia="仿宋_GB2312"/>
          <w:b w:val="0"/>
          <w:bCs w:val="0"/>
          <w:highlight w:val="none"/>
        </w:rPr>
      </w:pPr>
      <w:bookmarkStart w:id="11" w:name="_Toc68703838"/>
      <w:r>
        <w:rPr>
          <w:rFonts w:hint="eastAsia" w:ascii="仿宋_GB2312" w:eastAsia="仿宋_GB2312"/>
          <w:b w:val="0"/>
          <w:bCs w:val="0"/>
          <w:highlight w:val="none"/>
        </w:rPr>
        <w:t>（一）项目决策情况。</w:t>
      </w:r>
      <w:bookmarkEnd w:id="11"/>
    </w:p>
    <w:p>
      <w:pPr>
        <w:spacing w:line="360" w:lineRule="auto"/>
        <w:ind w:firstLine="600" w:firstLineChars="200"/>
        <w:rPr>
          <w:rFonts w:hint="eastAsia"/>
          <w:color w:val="auto"/>
          <w:highlight w:val="none"/>
        </w:rPr>
      </w:pPr>
      <w:r>
        <w:rPr>
          <w:rFonts w:hint="eastAsia"/>
          <w:color w:val="auto"/>
          <w:highlight w:val="none"/>
        </w:rPr>
        <w:t>项目立项依据《</w:t>
      </w:r>
      <w:r>
        <w:rPr>
          <w:rFonts w:hint="eastAsia"/>
          <w:color w:val="auto"/>
          <w:highlight w:val="none"/>
          <w:lang w:eastAsia="zh-CN"/>
        </w:rPr>
        <w:t>特克斯县发展和改革委员会文件</w:t>
      </w:r>
      <w:r>
        <w:rPr>
          <w:rFonts w:hint="eastAsia"/>
          <w:color w:val="auto"/>
          <w:highlight w:val="none"/>
        </w:rPr>
        <w:t>》</w:t>
      </w:r>
      <w:r>
        <w:rPr>
          <w:rFonts w:hint="eastAsia"/>
          <w:color w:val="auto"/>
          <w:highlight w:val="none"/>
          <w:lang w:eastAsia="zh-CN"/>
        </w:rPr>
        <w:t>关于伊犁州特克斯县全域旅游基础设施建设项目可行性研究报告；</w:t>
      </w:r>
      <w:r>
        <w:rPr>
          <w:rFonts w:hint="eastAsia"/>
          <w:color w:val="auto"/>
          <w:highlight w:val="none"/>
        </w:rPr>
        <w:t>项目立项符合行业发展规划和政策要求；项目立项与部门职责范围相符，属于部门履职所需；项目属于公共财政支持范围，符合中央、地方事权支出责任划分原则；项目</w:t>
      </w:r>
      <w:r>
        <w:rPr>
          <w:rFonts w:hint="eastAsia"/>
          <w:color w:val="auto"/>
          <w:highlight w:val="none"/>
          <w:lang w:val="en-US" w:eastAsia="zh-CN"/>
        </w:rPr>
        <w:t>不</w:t>
      </w:r>
      <w:r>
        <w:rPr>
          <w:rFonts w:hint="eastAsia"/>
          <w:color w:val="auto"/>
          <w:highlight w:val="none"/>
        </w:rPr>
        <w:t>与相关部门同类项目或部门内部相关项目重复。</w:t>
      </w:r>
    </w:p>
    <w:p>
      <w:pPr>
        <w:rPr>
          <w:highlight w:val="none"/>
        </w:rPr>
      </w:pPr>
    </w:p>
    <w:p>
      <w:pPr>
        <w:spacing w:line="360" w:lineRule="auto"/>
        <w:rPr>
          <w:highlight w:val="none"/>
        </w:rPr>
      </w:pPr>
      <w:r>
        <w:rPr>
          <w:rFonts w:hint="eastAsia"/>
          <w:highlight w:val="none"/>
        </w:rPr>
        <w:t>2、立项程序规范性</w:t>
      </w:r>
    </w:p>
    <w:p>
      <w:pPr>
        <w:spacing w:line="360" w:lineRule="auto"/>
        <w:ind w:firstLine="60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项目是按照规定的程序申请设立；审批文件、材料符合相关要求；事前已经过必要的可行性研究、专家论证、风险评估、绩效评估、集体决策。</w:t>
      </w:r>
    </w:p>
    <w:p>
      <w:pPr>
        <w:spacing w:line="360" w:lineRule="auto"/>
        <w:rPr>
          <w:color w:val="000000" w:themeColor="text1"/>
          <w:highlight w:val="none"/>
          <w14:textFill>
            <w14:solidFill>
              <w14:schemeClr w14:val="tx1"/>
            </w14:solidFill>
          </w14:textFill>
        </w:rPr>
      </w:pPr>
      <w:r>
        <w:rPr>
          <w:rFonts w:hint="eastAsia"/>
          <w:highlight w:val="none"/>
        </w:rPr>
        <w:t>3、绩效目标合理性</w:t>
      </w:r>
    </w:p>
    <w:p>
      <w:pPr>
        <w:spacing w:line="360" w:lineRule="auto"/>
        <w:ind w:firstLine="600" w:firstLineChars="20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伊犁州特克斯县全域旅游基础建设项目设立了项目绩效目标，与项目建设内容喀拉峻景区沿线提升及景区电力改造</w:t>
      </w:r>
      <w:r>
        <w:rPr>
          <w:rFonts w:hint="eastAsia" w:cs="Times New Roman"/>
          <w:color w:val="auto"/>
          <w:highlight w:val="none"/>
          <w:lang w:val="en-US" w:eastAsia="zh-CN"/>
        </w:rPr>
        <w:t>；布拉克门票站—遗产展示馆沿途改造；骆驼驿站加固及运营；喀拉峻景区道路建设项目新建景区道路60.9公里；喀拉峻景区旅游厕所及停车场（停靠站）建项目新建3A级旅游厕所、生态停车场、游客休憩廊庭厅、停靠点等基础设施建设，及相关配套附属设施建设。喀拉峻景区安全设施建设项目停景区内观景平台、停车场等基础服务设施遮阳避雨廊亭等设施建设及相关配套附属设施。</w:t>
      </w:r>
      <w:r>
        <w:rPr>
          <w:rFonts w:hint="eastAsia" w:ascii="Times New Roman" w:hAnsi="Times New Roman" w:cs="Times New Roman"/>
          <w:color w:val="auto"/>
          <w:highlight w:val="none"/>
          <w:lang w:val="en-US" w:eastAsia="zh-CN"/>
        </w:rPr>
        <w:t>具有相关性，项目的预期产出效益和效果也均能符合正常的业绩水平，并且与预算确定的项目投资额或资金量相匹配。</w:t>
      </w:r>
    </w:p>
    <w:p>
      <w:pPr>
        <w:spacing w:line="360" w:lineRule="auto"/>
        <w:rPr>
          <w:highlight w:val="none"/>
        </w:rPr>
      </w:pPr>
      <w:r>
        <w:rPr>
          <w:rFonts w:hint="eastAsia"/>
          <w:highlight w:val="none"/>
        </w:rPr>
        <w:t>4、绩效指标明确性</w:t>
      </w:r>
    </w:p>
    <w:p>
      <w:pPr>
        <w:spacing w:line="360" w:lineRule="auto"/>
        <w:ind w:firstLine="600" w:firstLineChars="200"/>
        <w:rPr>
          <w:rFonts w:hint="eastAsia" w:ascii="Times New Roman" w:hAnsi="Times New Roman" w:cs="Times New Roman"/>
          <w:color w:val="auto"/>
          <w:highlight w:val="none"/>
          <w:lang w:val="en-US" w:eastAsia="zh-CN"/>
        </w:rPr>
      </w:pPr>
      <w:bookmarkStart w:id="12" w:name="_Hlk68699917"/>
      <w:r>
        <w:rPr>
          <w:rFonts w:hint="eastAsia" w:ascii="Times New Roman" w:hAnsi="Times New Roman" w:cs="Times New Roman"/>
          <w:color w:val="auto"/>
          <w:highlight w:val="none"/>
          <w:lang w:val="en-US" w:eastAsia="zh-CN"/>
        </w:rPr>
        <w:t>伊犁州特克斯县全域旅游基础建设项目将项目绩效目标细化分解为具体的绩效指标，一级指标共3条，二级指标共7条，三级指标共14条，其中量化指标条数共</w:t>
      </w:r>
      <w:r>
        <w:rPr>
          <w:rFonts w:hint="eastAsia" w:cs="Times New Roman"/>
          <w:color w:val="auto"/>
          <w:highlight w:val="none"/>
          <w:lang w:val="en-US" w:eastAsia="zh-CN"/>
        </w:rPr>
        <w:t>11</w:t>
      </w:r>
      <w:r>
        <w:rPr>
          <w:rFonts w:hint="eastAsia" w:ascii="Times New Roman" w:hAnsi="Times New Roman" w:cs="Times New Roman"/>
          <w:color w:val="auto"/>
          <w:highlight w:val="none"/>
          <w:lang w:val="en-US" w:eastAsia="zh-CN"/>
        </w:rPr>
        <w:t>条，所有绩效指标均通过清晰、可衡量的指标值予以体现，并且做到了与项目目标任务数或计划数相对应。</w:t>
      </w:r>
      <w:bookmarkEnd w:id="12"/>
    </w:p>
    <w:p>
      <w:pPr>
        <w:spacing w:line="360" w:lineRule="auto"/>
        <w:rPr>
          <w:highlight w:val="none"/>
        </w:rPr>
      </w:pPr>
      <w:r>
        <w:rPr>
          <w:rFonts w:hint="eastAsia"/>
          <w:highlight w:val="none"/>
        </w:rPr>
        <w:t>5、预算编制科学性</w:t>
      </w:r>
    </w:p>
    <w:p>
      <w:pPr>
        <w:spacing w:line="360" w:lineRule="auto"/>
        <w:ind w:firstLine="600" w:firstLineChars="200"/>
        <w:rPr>
          <w:color w:val="auto"/>
          <w:highlight w:val="none"/>
        </w:rPr>
      </w:pPr>
      <w:r>
        <w:rPr>
          <w:rFonts w:hint="eastAsia"/>
          <w:color w:val="auto"/>
          <w:highlight w:val="none"/>
        </w:rPr>
        <w:t>预算编制经过科学论证</w:t>
      </w:r>
      <w:r>
        <w:rPr>
          <w:rFonts w:hint="eastAsia"/>
          <w:color w:val="auto"/>
          <w:highlight w:val="none"/>
          <w:lang w:eastAsia="zh-CN"/>
        </w:rPr>
        <w:t>，</w:t>
      </w:r>
      <w:r>
        <w:rPr>
          <w:rFonts w:hint="eastAsia"/>
          <w:color w:val="auto"/>
          <w:highlight w:val="none"/>
        </w:rPr>
        <w:t>预算内容与项目内容匹配</w:t>
      </w:r>
      <w:r>
        <w:rPr>
          <w:rFonts w:hint="eastAsia"/>
          <w:color w:val="auto"/>
          <w:highlight w:val="none"/>
          <w:lang w:eastAsia="zh-CN"/>
        </w:rPr>
        <w:t>，</w:t>
      </w:r>
      <w:r>
        <w:rPr>
          <w:rFonts w:hint="eastAsia"/>
          <w:color w:val="auto"/>
          <w:highlight w:val="none"/>
        </w:rPr>
        <w:t>预算额度测算依据充分，是按照标准编制</w:t>
      </w:r>
      <w:r>
        <w:rPr>
          <w:rFonts w:hint="eastAsia"/>
          <w:color w:val="auto"/>
          <w:highlight w:val="none"/>
          <w:lang w:eastAsia="zh-CN"/>
        </w:rPr>
        <w:t>，</w:t>
      </w:r>
      <w:r>
        <w:rPr>
          <w:rFonts w:hint="eastAsia"/>
          <w:color w:val="auto"/>
          <w:highlight w:val="none"/>
        </w:rPr>
        <w:t>预算确定的项目资金量与工作任务相匹配。</w:t>
      </w:r>
    </w:p>
    <w:p>
      <w:pPr>
        <w:spacing w:line="360" w:lineRule="auto"/>
        <w:rPr>
          <w:highlight w:val="none"/>
        </w:rPr>
      </w:pPr>
      <w:r>
        <w:rPr>
          <w:rFonts w:hint="eastAsia"/>
          <w:highlight w:val="none"/>
        </w:rPr>
        <w:t>6、资金分配合理性</w:t>
      </w:r>
    </w:p>
    <w:p>
      <w:pPr>
        <w:spacing w:line="360" w:lineRule="auto"/>
        <w:ind w:firstLine="900" w:firstLineChars="300"/>
        <w:rPr>
          <w:rFonts w:hint="eastAsia" w:eastAsia="仿宋_GB2312"/>
          <w:color w:val="FF0000"/>
          <w:highlight w:val="none"/>
          <w:lang w:eastAsia="zh-CN"/>
        </w:rPr>
      </w:pPr>
      <w:r>
        <w:rPr>
          <w:rFonts w:hint="eastAsia"/>
          <w:color w:val="auto"/>
          <w:highlight w:val="none"/>
        </w:rPr>
        <w:t>预算资金分配依据充分</w:t>
      </w:r>
      <w:r>
        <w:rPr>
          <w:rFonts w:hint="eastAsia"/>
          <w:color w:val="auto"/>
          <w:highlight w:val="none"/>
          <w:lang w:eastAsia="zh-CN"/>
        </w:rPr>
        <w:t>，</w:t>
      </w:r>
      <w:r>
        <w:rPr>
          <w:rFonts w:hint="eastAsia"/>
          <w:color w:val="auto"/>
          <w:highlight w:val="none"/>
        </w:rPr>
        <w:t>资金分配额度合理，与地方实际相适应</w:t>
      </w:r>
      <w:r>
        <w:rPr>
          <w:rFonts w:hint="eastAsia"/>
          <w:color w:val="auto"/>
          <w:highlight w:val="none"/>
          <w:lang w:eastAsia="zh-CN"/>
        </w:rPr>
        <w:t>。</w:t>
      </w:r>
    </w:p>
    <w:p>
      <w:pPr>
        <w:pStyle w:val="4"/>
        <w:spacing w:line="360" w:lineRule="auto"/>
        <w:rPr>
          <w:rFonts w:ascii="仿宋_GB2312" w:eastAsia="仿宋_GB2312"/>
          <w:b w:val="0"/>
          <w:bCs w:val="0"/>
          <w:highlight w:val="none"/>
        </w:rPr>
      </w:pPr>
      <w:bookmarkStart w:id="13" w:name="_Toc68703839"/>
      <w:r>
        <w:rPr>
          <w:rFonts w:hint="eastAsia" w:ascii="仿宋_GB2312" w:eastAsia="仿宋_GB2312"/>
          <w:b w:val="0"/>
          <w:bCs w:val="0"/>
          <w:highlight w:val="none"/>
        </w:rPr>
        <w:t>（二）项目过程情况。</w:t>
      </w:r>
      <w:bookmarkEnd w:id="13"/>
    </w:p>
    <w:p>
      <w:pPr>
        <w:spacing w:line="360" w:lineRule="auto"/>
        <w:rPr>
          <w:highlight w:val="none"/>
        </w:rPr>
      </w:pPr>
      <w:r>
        <w:rPr>
          <w:rFonts w:hint="eastAsia"/>
          <w:highlight w:val="none"/>
        </w:rPr>
        <w:t>1、资金到位率：</w:t>
      </w:r>
    </w:p>
    <w:p>
      <w:pPr>
        <w:spacing w:line="360" w:lineRule="auto"/>
        <w:ind w:firstLine="600" w:firstLineChars="200"/>
        <w:rPr>
          <w:rFonts w:hint="default" w:eastAsia="仿宋_GB2312"/>
          <w:color w:val="auto"/>
          <w:highlight w:val="none"/>
          <w:lang w:val="en-US" w:eastAsia="zh-CN"/>
        </w:rPr>
      </w:pPr>
      <w:r>
        <w:rPr>
          <w:rFonts w:hint="eastAsia"/>
          <w:color w:val="auto"/>
          <w:highlight w:val="none"/>
        </w:rPr>
        <w:t>预算资金</w:t>
      </w:r>
      <w:r>
        <w:rPr>
          <w:rFonts w:hint="eastAsia"/>
          <w:color w:val="auto"/>
          <w:highlight w:val="none"/>
          <w:lang w:val="en-US" w:eastAsia="zh-CN"/>
        </w:rPr>
        <w:t>12000</w:t>
      </w:r>
      <w:r>
        <w:rPr>
          <w:rFonts w:hint="eastAsia"/>
          <w:color w:val="auto"/>
          <w:highlight w:val="none"/>
        </w:rPr>
        <w:t>万元，实际到位资金</w:t>
      </w:r>
      <w:r>
        <w:rPr>
          <w:rFonts w:hint="eastAsia"/>
          <w:color w:val="auto"/>
          <w:highlight w:val="none"/>
          <w:lang w:val="en-US" w:eastAsia="zh-CN"/>
        </w:rPr>
        <w:t>12000</w:t>
      </w:r>
      <w:r>
        <w:rPr>
          <w:color w:val="auto"/>
          <w:highlight w:val="none"/>
        </w:rPr>
        <w:t xml:space="preserve"> </w:t>
      </w:r>
      <w:r>
        <w:rPr>
          <w:rFonts w:hint="eastAsia"/>
          <w:color w:val="auto"/>
          <w:highlight w:val="none"/>
        </w:rPr>
        <w:t>万元，资金到位率</w:t>
      </w:r>
      <w:r>
        <w:rPr>
          <w:rFonts w:hint="eastAsia"/>
          <w:color w:val="auto"/>
          <w:highlight w:val="none"/>
          <w:lang w:val="en-US" w:eastAsia="zh-CN"/>
        </w:rPr>
        <w:t>100</w:t>
      </w:r>
      <w:r>
        <w:rPr>
          <w:color w:val="auto"/>
          <w:highlight w:val="none"/>
        </w:rPr>
        <w:t>.</w:t>
      </w:r>
      <w:r>
        <w:rPr>
          <w:rFonts w:hint="eastAsia"/>
          <w:color w:val="auto"/>
          <w:highlight w:val="none"/>
          <w:lang w:val="en-US" w:eastAsia="zh-CN"/>
        </w:rPr>
        <w:t>00</w:t>
      </w:r>
      <w:r>
        <w:rPr>
          <w:rFonts w:hint="eastAsia"/>
          <w:color w:val="auto"/>
          <w:highlight w:val="none"/>
        </w:rPr>
        <w:t>%。</w:t>
      </w:r>
    </w:p>
    <w:p>
      <w:pPr>
        <w:spacing w:line="360" w:lineRule="auto"/>
        <w:rPr>
          <w:highlight w:val="none"/>
        </w:rPr>
      </w:pPr>
      <w:r>
        <w:rPr>
          <w:rFonts w:hint="eastAsia"/>
          <w:highlight w:val="none"/>
        </w:rPr>
        <w:t>2、预算执行率</w:t>
      </w:r>
    </w:p>
    <w:p>
      <w:pPr>
        <w:spacing w:line="360" w:lineRule="auto"/>
        <w:ind w:firstLine="600" w:firstLineChars="200"/>
        <w:rPr>
          <w:rFonts w:hint="eastAsia" w:eastAsia="仿宋_GB2312"/>
          <w:color w:val="auto"/>
          <w:highlight w:val="none"/>
          <w:lang w:eastAsia="zh-CN"/>
        </w:rPr>
      </w:pPr>
      <w:r>
        <w:rPr>
          <w:rFonts w:hint="eastAsia"/>
          <w:color w:val="auto"/>
          <w:highlight w:val="none"/>
        </w:rPr>
        <w:t>年初预算数</w:t>
      </w:r>
      <w:r>
        <w:rPr>
          <w:rFonts w:hint="eastAsia"/>
          <w:color w:val="auto"/>
          <w:highlight w:val="none"/>
          <w:lang w:val="en-US" w:eastAsia="zh-CN"/>
        </w:rPr>
        <w:t>12000</w:t>
      </w:r>
      <w:r>
        <w:rPr>
          <w:rFonts w:hint="eastAsia"/>
          <w:color w:val="auto"/>
          <w:highlight w:val="none"/>
        </w:rPr>
        <w:t>万元，全年预算数</w:t>
      </w:r>
      <w:r>
        <w:rPr>
          <w:rFonts w:hint="eastAsia"/>
          <w:color w:val="auto"/>
          <w:highlight w:val="none"/>
          <w:lang w:val="en-US" w:eastAsia="zh-CN"/>
        </w:rPr>
        <w:t>12000</w:t>
      </w:r>
      <w:r>
        <w:rPr>
          <w:rFonts w:hint="eastAsia"/>
          <w:color w:val="auto"/>
          <w:highlight w:val="none"/>
        </w:rPr>
        <w:t xml:space="preserve">万元，全年执行数 </w:t>
      </w:r>
      <w:r>
        <w:rPr>
          <w:rFonts w:hint="eastAsia"/>
          <w:color w:val="auto"/>
          <w:highlight w:val="none"/>
          <w:lang w:val="en-US" w:eastAsia="zh-CN"/>
        </w:rPr>
        <w:t>12000</w:t>
      </w:r>
      <w:r>
        <w:rPr>
          <w:rFonts w:hint="eastAsia"/>
          <w:color w:val="auto"/>
          <w:highlight w:val="none"/>
        </w:rPr>
        <w:t>万元，预算执行率为</w:t>
      </w:r>
      <w:r>
        <w:rPr>
          <w:rFonts w:hint="eastAsia"/>
          <w:color w:val="auto"/>
          <w:highlight w:val="none"/>
          <w:lang w:val="en-US" w:eastAsia="zh-CN"/>
        </w:rPr>
        <w:t>100</w:t>
      </w:r>
      <w:r>
        <w:rPr>
          <w:color w:val="auto"/>
          <w:highlight w:val="none"/>
        </w:rPr>
        <w:t>.</w:t>
      </w:r>
      <w:r>
        <w:rPr>
          <w:rFonts w:hint="eastAsia"/>
          <w:color w:val="auto"/>
          <w:highlight w:val="none"/>
          <w:lang w:val="en-US" w:eastAsia="zh-CN"/>
        </w:rPr>
        <w:t>00</w:t>
      </w:r>
      <w:r>
        <w:rPr>
          <w:rFonts w:hint="eastAsia"/>
          <w:color w:val="auto"/>
          <w:highlight w:val="none"/>
        </w:rPr>
        <w:t>%</w:t>
      </w:r>
      <w:r>
        <w:rPr>
          <w:rFonts w:hint="eastAsia"/>
          <w:color w:val="auto"/>
          <w:highlight w:val="none"/>
          <w:lang w:eastAsia="zh-CN"/>
        </w:rPr>
        <w:t>。</w:t>
      </w:r>
    </w:p>
    <w:p>
      <w:pPr>
        <w:spacing w:line="360" w:lineRule="auto"/>
        <w:rPr>
          <w:highlight w:val="none"/>
        </w:rPr>
      </w:pPr>
      <w:r>
        <w:rPr>
          <w:rFonts w:hint="eastAsia"/>
          <w:highlight w:val="none"/>
        </w:rPr>
        <w:t>3、资金使用合规性</w:t>
      </w:r>
    </w:p>
    <w:p>
      <w:pPr>
        <w:spacing w:line="360" w:lineRule="auto"/>
        <w:ind w:firstLine="900" w:firstLineChars="300"/>
        <w:rPr>
          <w:rFonts w:hint="eastAsia"/>
          <w:color w:val="auto"/>
          <w:highlight w:val="none"/>
        </w:rPr>
      </w:pPr>
      <w:r>
        <w:rPr>
          <w:rFonts w:hint="eastAsia"/>
          <w:color w:val="auto"/>
          <w:highlight w:val="none"/>
        </w:rPr>
        <w:t>符合国家财经法规和财务管理制度以及有关专项资金管理办法的规定；资金的拨付有完整的审批程序和手续；符合项目预算批复或合同规定的用途；</w:t>
      </w:r>
      <w:r>
        <w:rPr>
          <w:rFonts w:hint="eastAsia"/>
          <w:color w:val="auto"/>
          <w:highlight w:val="none"/>
          <w:lang w:eastAsia="zh-CN"/>
        </w:rPr>
        <w:t>不</w:t>
      </w:r>
      <w:r>
        <w:rPr>
          <w:rFonts w:hint="eastAsia"/>
          <w:color w:val="auto"/>
          <w:highlight w:val="none"/>
        </w:rPr>
        <w:t>存在截留、挤占、挪用、虚列支出等情况。</w:t>
      </w:r>
    </w:p>
    <w:p>
      <w:pPr>
        <w:spacing w:line="360" w:lineRule="auto"/>
        <w:rPr>
          <w:highlight w:val="none"/>
        </w:rPr>
      </w:pPr>
      <w:r>
        <w:rPr>
          <w:rFonts w:hint="eastAsia"/>
          <w:highlight w:val="none"/>
        </w:rPr>
        <w:t>4、管理制度健全性</w:t>
      </w:r>
    </w:p>
    <w:p>
      <w:pPr>
        <w:spacing w:line="360" w:lineRule="auto"/>
        <w:ind w:firstLine="900" w:firstLineChars="300"/>
        <w:rPr>
          <w:rFonts w:hint="eastAsia" w:ascii="Times New Roman" w:hAnsi="Times New Roman" w:cs="Times New Roman"/>
          <w:highlight w:val="none"/>
        </w:rPr>
      </w:pPr>
      <w:r>
        <w:rPr>
          <w:rFonts w:hint="eastAsia" w:ascii="Times New Roman" w:hAnsi="Times New Roman" w:cs="Times New Roman"/>
          <w:highlight w:val="none"/>
        </w:rPr>
        <w:t>已具有相应的财务和业务管理制度；财务和业务管理制度合法、合规、完整。</w:t>
      </w:r>
    </w:p>
    <w:p>
      <w:pPr>
        <w:spacing w:line="360" w:lineRule="auto"/>
        <w:rPr>
          <w:highlight w:val="none"/>
        </w:rPr>
      </w:pPr>
      <w:r>
        <w:rPr>
          <w:rFonts w:hint="eastAsia"/>
          <w:highlight w:val="none"/>
        </w:rPr>
        <w:t>5、制度执行有效性</w:t>
      </w:r>
    </w:p>
    <w:p>
      <w:pPr>
        <w:spacing w:line="360" w:lineRule="auto"/>
        <w:ind w:firstLine="900" w:firstLineChars="300"/>
        <w:rPr>
          <w:color w:val="auto"/>
          <w:highlight w:val="none"/>
        </w:rPr>
      </w:pPr>
      <w:r>
        <w:rPr>
          <w:rFonts w:hint="eastAsia"/>
          <w:color w:val="auto"/>
          <w:highlight w:val="none"/>
        </w:rPr>
        <w:t>遵守相关法律法规和相关管理规定；项目调整及支出调整手续</w:t>
      </w:r>
      <w:r>
        <w:rPr>
          <w:rFonts w:hint="eastAsia"/>
          <w:color w:val="auto"/>
          <w:highlight w:val="none"/>
          <w:lang w:eastAsia="zh-CN"/>
        </w:rPr>
        <w:t>已</w:t>
      </w:r>
      <w:r>
        <w:rPr>
          <w:rFonts w:hint="eastAsia"/>
          <w:color w:val="auto"/>
          <w:highlight w:val="none"/>
        </w:rPr>
        <w:t>完备；项目合同书、技术鉴定等资料齐全并及时归档；项目实施的人员条件、场地设备、信息支撑等落实到位。</w:t>
      </w:r>
    </w:p>
    <w:p>
      <w:pPr>
        <w:pStyle w:val="4"/>
        <w:spacing w:line="360" w:lineRule="auto"/>
        <w:rPr>
          <w:rFonts w:ascii="仿宋_GB2312" w:eastAsia="仿宋_GB2312"/>
          <w:b w:val="0"/>
          <w:bCs w:val="0"/>
          <w:highlight w:val="none"/>
        </w:rPr>
      </w:pPr>
      <w:bookmarkStart w:id="14" w:name="_Toc68703840"/>
      <w:r>
        <w:rPr>
          <w:rFonts w:hint="eastAsia" w:ascii="仿宋_GB2312" w:eastAsia="仿宋_GB2312"/>
          <w:b w:val="0"/>
          <w:bCs w:val="0"/>
          <w:highlight w:val="none"/>
        </w:rPr>
        <w:t>（三）项目产出情况。</w:t>
      </w:r>
      <w:bookmarkEnd w:id="14"/>
    </w:p>
    <w:p>
      <w:pPr>
        <w:spacing w:line="360" w:lineRule="auto"/>
        <w:ind w:firstLine="600" w:firstLineChars="200"/>
        <w:rPr>
          <w:rFonts w:hint="eastAsia" w:eastAsia="仿宋_GB2312"/>
          <w:color w:val="auto"/>
          <w:highlight w:val="none"/>
          <w:lang w:val="en-US" w:eastAsia="zh-CN"/>
        </w:rPr>
      </w:pPr>
      <w:r>
        <w:rPr>
          <w:rFonts w:hint="eastAsia"/>
          <w:color w:val="auto"/>
          <w:highlight w:val="none"/>
        </w:rPr>
        <w:t>1、数量指标：指标1：</w:t>
      </w:r>
      <w:r>
        <w:rPr>
          <w:rFonts w:hint="eastAsia"/>
          <w:color w:val="auto"/>
          <w:highlight w:val="none"/>
          <w:lang w:eastAsia="zh-CN"/>
        </w:rPr>
        <w:t>公路长度</w:t>
      </w:r>
      <w:r>
        <w:rPr>
          <w:rFonts w:hint="eastAsia"/>
          <w:color w:val="auto"/>
          <w:highlight w:val="none"/>
        </w:rPr>
        <w:t>，指标值： ≥60.9公里，实际完成值 60.9公里，指标完成率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 xml:space="preserve">%；指标2：喀拉峻景区阔克段苏电力敷设，指标值：≥20公里，实际完成值 </w:t>
      </w:r>
      <w:r>
        <w:rPr>
          <w:rFonts w:hint="eastAsia"/>
          <w:color w:val="auto"/>
          <w:highlight w:val="none"/>
          <w:lang w:val="en-US" w:eastAsia="zh-CN"/>
        </w:rPr>
        <w:t>20公里</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w:t>
      </w:r>
      <w:r>
        <w:rPr>
          <w:rFonts w:hint="eastAsia"/>
          <w:color w:val="auto"/>
          <w:highlight w:val="none"/>
          <w:lang w:eastAsia="zh-CN"/>
        </w:rPr>
        <w:t>；</w:t>
      </w:r>
      <w:r>
        <w:rPr>
          <w:rFonts w:hint="eastAsia"/>
          <w:color w:val="auto"/>
          <w:highlight w:val="none"/>
        </w:rPr>
        <w:t>指标</w:t>
      </w:r>
      <w:r>
        <w:rPr>
          <w:rFonts w:hint="eastAsia"/>
          <w:color w:val="auto"/>
          <w:highlight w:val="none"/>
          <w:lang w:val="en-US" w:eastAsia="zh-CN"/>
        </w:rPr>
        <w:t>3：新建停车场，</w:t>
      </w:r>
      <w:r>
        <w:rPr>
          <w:rFonts w:hint="eastAsia"/>
          <w:color w:val="auto"/>
          <w:highlight w:val="none"/>
        </w:rPr>
        <w:t>指标值：≥</w:t>
      </w:r>
      <w:r>
        <w:rPr>
          <w:rFonts w:hint="eastAsia"/>
          <w:color w:val="auto"/>
          <w:highlight w:val="none"/>
          <w:lang w:val="en-US" w:eastAsia="zh-CN"/>
        </w:rPr>
        <w:t>3个，</w:t>
      </w:r>
      <w:r>
        <w:rPr>
          <w:rFonts w:hint="eastAsia"/>
          <w:color w:val="auto"/>
          <w:highlight w:val="none"/>
        </w:rPr>
        <w:t>实际完成值</w:t>
      </w:r>
      <w:r>
        <w:rPr>
          <w:rFonts w:hint="eastAsia"/>
          <w:color w:val="auto"/>
          <w:highlight w:val="none"/>
          <w:lang w:val="en-US" w:eastAsia="zh-CN"/>
        </w:rPr>
        <w:t>3个</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%；指标</w:t>
      </w:r>
      <w:r>
        <w:rPr>
          <w:rFonts w:hint="eastAsia"/>
          <w:color w:val="auto"/>
          <w:highlight w:val="none"/>
          <w:lang w:val="en-US" w:eastAsia="zh-CN"/>
        </w:rPr>
        <w:t>4</w:t>
      </w:r>
      <w:r>
        <w:rPr>
          <w:rFonts w:hint="eastAsia"/>
          <w:color w:val="auto"/>
          <w:highlight w:val="none"/>
        </w:rPr>
        <w:t>：喀拉峻景区沿线改造</w:t>
      </w:r>
      <w:r>
        <w:rPr>
          <w:rFonts w:hint="eastAsia"/>
          <w:color w:val="auto"/>
          <w:highlight w:val="none"/>
          <w:lang w:eastAsia="zh-CN"/>
        </w:rPr>
        <w:t>，</w:t>
      </w:r>
      <w:r>
        <w:rPr>
          <w:rFonts w:hint="eastAsia"/>
          <w:color w:val="auto"/>
          <w:highlight w:val="none"/>
        </w:rPr>
        <w:t>数指标值：≥</w:t>
      </w:r>
      <w:r>
        <w:rPr>
          <w:rFonts w:hint="eastAsia"/>
          <w:color w:val="auto"/>
          <w:highlight w:val="none"/>
          <w:lang w:val="en-US" w:eastAsia="zh-CN"/>
        </w:rPr>
        <w:t>40</w:t>
      </w:r>
      <w:r>
        <w:rPr>
          <w:rFonts w:hint="eastAsia"/>
          <w:color w:val="auto"/>
          <w:highlight w:val="none"/>
        </w:rPr>
        <w:t>公里，实际完成值</w:t>
      </w:r>
      <w:r>
        <w:rPr>
          <w:rFonts w:hint="eastAsia"/>
          <w:color w:val="auto"/>
          <w:highlight w:val="none"/>
          <w:lang w:val="en-US" w:eastAsia="zh-CN"/>
        </w:rPr>
        <w:t>40</w:t>
      </w:r>
      <w:r>
        <w:rPr>
          <w:rFonts w:hint="eastAsia"/>
          <w:color w:val="auto"/>
          <w:highlight w:val="none"/>
        </w:rPr>
        <w:t>公里</w:t>
      </w:r>
      <w:r>
        <w:rPr>
          <w:rFonts w:hint="eastAsia"/>
          <w:color w:val="auto"/>
          <w:highlight w:val="none"/>
          <w:lang w:eastAsia="zh-CN"/>
        </w:rPr>
        <w:t>。</w:t>
      </w:r>
    </w:p>
    <w:p>
      <w:pPr>
        <w:spacing w:line="360" w:lineRule="auto"/>
        <w:ind w:firstLine="600" w:firstLineChars="200"/>
        <w:rPr>
          <w:rFonts w:hint="eastAsia"/>
          <w:color w:val="auto"/>
          <w:highlight w:val="none"/>
          <w:lang w:eastAsia="zh-CN"/>
        </w:rPr>
      </w:pPr>
      <w:r>
        <w:rPr>
          <w:color w:val="auto"/>
          <w:highlight w:val="none"/>
        </w:rPr>
        <w:t>2</w:t>
      </w:r>
      <w:r>
        <w:rPr>
          <w:rFonts w:hint="eastAsia"/>
          <w:color w:val="auto"/>
          <w:highlight w:val="none"/>
        </w:rPr>
        <w:t>、质量指标：指标1：工程质量验收合格率，指标值： =100% ，实际完成值</w:t>
      </w:r>
      <w:r>
        <w:rPr>
          <w:rFonts w:hint="eastAsia"/>
          <w:color w:val="auto"/>
          <w:highlight w:val="none"/>
          <w:lang w:val="en-US" w:eastAsia="zh-CN"/>
        </w:rPr>
        <w:t>100%</w:t>
      </w:r>
      <w:r>
        <w:rPr>
          <w:color w:val="auto"/>
          <w:highlight w:val="none"/>
        </w:rPr>
        <w:t xml:space="preserve"> </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w:t>
      </w:r>
      <w:r>
        <w:rPr>
          <w:rFonts w:hint="eastAsia"/>
          <w:color w:val="auto"/>
          <w:highlight w:val="none"/>
          <w:lang w:eastAsia="zh-CN"/>
        </w:rPr>
        <w:t>。</w:t>
      </w:r>
    </w:p>
    <w:p>
      <w:pPr>
        <w:spacing w:line="360" w:lineRule="auto"/>
        <w:ind w:firstLine="600" w:firstLineChars="200"/>
        <w:rPr>
          <w:rFonts w:hint="eastAsia" w:eastAsia="仿宋_GB2312"/>
          <w:color w:val="auto"/>
          <w:highlight w:val="none"/>
          <w:lang w:val="en-US" w:eastAsia="zh-CN"/>
        </w:rPr>
      </w:pPr>
      <w:r>
        <w:rPr>
          <w:rFonts w:hint="eastAsia"/>
          <w:color w:val="auto"/>
          <w:highlight w:val="none"/>
        </w:rPr>
        <w:t>3、时效指标：指标1：项目开工时间</w:t>
      </w:r>
      <w:r>
        <w:rPr>
          <w:rFonts w:hint="eastAsia"/>
          <w:color w:val="auto"/>
          <w:highlight w:val="none"/>
          <w:lang w:eastAsia="zh-CN"/>
        </w:rPr>
        <w:t>，</w:t>
      </w:r>
      <w:r>
        <w:rPr>
          <w:rFonts w:hint="eastAsia"/>
          <w:color w:val="auto"/>
          <w:highlight w:val="none"/>
        </w:rPr>
        <w:t>指标值：2021</w:t>
      </w:r>
      <w:r>
        <w:rPr>
          <w:rFonts w:hint="eastAsia"/>
          <w:color w:val="auto"/>
          <w:highlight w:val="none"/>
          <w:lang w:eastAsia="zh-CN"/>
        </w:rPr>
        <w:t>年</w:t>
      </w:r>
      <w:r>
        <w:rPr>
          <w:rFonts w:hint="eastAsia"/>
          <w:color w:val="auto"/>
          <w:highlight w:val="none"/>
          <w:lang w:val="en-US" w:eastAsia="zh-CN"/>
        </w:rPr>
        <w:t>5月1日，</w:t>
      </w:r>
      <w:r>
        <w:rPr>
          <w:rFonts w:hint="eastAsia"/>
          <w:color w:val="auto"/>
          <w:highlight w:val="none"/>
        </w:rPr>
        <w:t>实际完成值</w:t>
      </w:r>
      <w:r>
        <w:rPr>
          <w:rFonts w:hint="eastAsia"/>
          <w:color w:val="auto"/>
          <w:highlight w:val="none"/>
          <w:lang w:eastAsia="zh-CN"/>
        </w:rPr>
        <w:t>：</w:t>
      </w:r>
      <w:r>
        <w:rPr>
          <w:rFonts w:hint="eastAsia"/>
          <w:color w:val="auto"/>
          <w:highlight w:val="none"/>
        </w:rPr>
        <w:t>2021</w:t>
      </w:r>
      <w:r>
        <w:rPr>
          <w:rFonts w:hint="eastAsia"/>
          <w:color w:val="auto"/>
          <w:highlight w:val="none"/>
          <w:lang w:eastAsia="zh-CN"/>
        </w:rPr>
        <w:t>年</w:t>
      </w:r>
      <w:r>
        <w:rPr>
          <w:rFonts w:hint="eastAsia"/>
          <w:color w:val="auto"/>
          <w:highlight w:val="none"/>
          <w:lang w:val="en-US" w:eastAsia="zh-CN"/>
        </w:rPr>
        <w:t>5月1日，</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w:t>
      </w:r>
      <w:r>
        <w:rPr>
          <w:rFonts w:hint="eastAsia"/>
          <w:color w:val="auto"/>
          <w:highlight w:val="none"/>
          <w:lang w:eastAsia="zh-CN"/>
        </w:rPr>
        <w:t>。；</w:t>
      </w:r>
      <w:r>
        <w:rPr>
          <w:rFonts w:hint="eastAsia"/>
          <w:color w:val="auto"/>
          <w:highlight w:val="none"/>
        </w:rPr>
        <w:t>指标</w:t>
      </w:r>
      <w:r>
        <w:rPr>
          <w:rFonts w:hint="eastAsia"/>
          <w:color w:val="auto"/>
          <w:highlight w:val="none"/>
          <w:lang w:val="en-US" w:eastAsia="zh-CN"/>
        </w:rPr>
        <w:t>2：项目完工时间，</w:t>
      </w:r>
      <w:r>
        <w:rPr>
          <w:rFonts w:hint="eastAsia"/>
          <w:color w:val="auto"/>
          <w:highlight w:val="none"/>
        </w:rPr>
        <w:t>指标值：202</w:t>
      </w:r>
      <w:r>
        <w:rPr>
          <w:rFonts w:hint="eastAsia"/>
          <w:color w:val="auto"/>
          <w:highlight w:val="none"/>
          <w:lang w:val="en-US" w:eastAsia="zh-CN"/>
        </w:rPr>
        <w:t>2</w:t>
      </w:r>
      <w:r>
        <w:rPr>
          <w:rFonts w:hint="eastAsia"/>
          <w:color w:val="auto"/>
          <w:highlight w:val="none"/>
          <w:lang w:eastAsia="zh-CN"/>
        </w:rPr>
        <w:t>年</w:t>
      </w:r>
      <w:r>
        <w:rPr>
          <w:rFonts w:hint="eastAsia"/>
          <w:color w:val="auto"/>
          <w:highlight w:val="none"/>
          <w:lang w:val="en-US" w:eastAsia="zh-CN"/>
        </w:rPr>
        <w:t>11月1日，</w:t>
      </w:r>
      <w:r>
        <w:rPr>
          <w:rFonts w:hint="eastAsia"/>
          <w:color w:val="auto"/>
          <w:highlight w:val="none"/>
        </w:rPr>
        <w:t>实际完成值</w:t>
      </w:r>
      <w:r>
        <w:rPr>
          <w:rFonts w:hint="eastAsia"/>
          <w:color w:val="auto"/>
          <w:highlight w:val="none"/>
          <w:lang w:eastAsia="zh-CN"/>
        </w:rPr>
        <w:t>：</w:t>
      </w:r>
      <w:r>
        <w:rPr>
          <w:rFonts w:hint="eastAsia"/>
          <w:color w:val="auto"/>
          <w:highlight w:val="none"/>
        </w:rPr>
        <w:t>2021</w:t>
      </w:r>
      <w:r>
        <w:rPr>
          <w:rFonts w:hint="eastAsia"/>
          <w:color w:val="auto"/>
          <w:highlight w:val="none"/>
          <w:lang w:eastAsia="zh-CN"/>
        </w:rPr>
        <w:t>年</w:t>
      </w:r>
      <w:r>
        <w:rPr>
          <w:rFonts w:hint="eastAsia"/>
          <w:color w:val="auto"/>
          <w:highlight w:val="none"/>
          <w:lang w:val="en-US" w:eastAsia="zh-CN"/>
        </w:rPr>
        <w:t>10月1日，</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w:t>
      </w:r>
      <w:r>
        <w:rPr>
          <w:rFonts w:hint="eastAsia"/>
          <w:color w:val="auto"/>
          <w:highlight w:val="none"/>
        </w:rPr>
        <w:t>指标</w:t>
      </w:r>
      <w:r>
        <w:rPr>
          <w:rFonts w:hint="eastAsia"/>
          <w:color w:val="auto"/>
          <w:highlight w:val="none"/>
          <w:lang w:val="en-US" w:eastAsia="zh-CN"/>
        </w:rPr>
        <w:t>3：项目完成及时率：，指标值</w:t>
      </w:r>
      <w:r>
        <w:rPr>
          <w:rFonts w:hint="eastAsia"/>
          <w:color w:val="auto"/>
          <w:highlight w:val="none"/>
        </w:rPr>
        <w:t>=100% ，实际完成值</w:t>
      </w:r>
      <w:r>
        <w:rPr>
          <w:rFonts w:hint="eastAsia"/>
          <w:color w:val="auto"/>
          <w:highlight w:val="none"/>
          <w:lang w:val="en-US" w:eastAsia="zh-CN"/>
        </w:rPr>
        <w:t>100%</w:t>
      </w:r>
      <w:r>
        <w:rPr>
          <w:color w:val="auto"/>
          <w:highlight w:val="none"/>
        </w:rPr>
        <w:t xml:space="preserve"> </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w:t>
      </w:r>
      <w:r>
        <w:rPr>
          <w:rFonts w:hint="eastAsia"/>
          <w:color w:val="auto"/>
          <w:highlight w:val="none"/>
          <w:lang w:eastAsia="zh-CN"/>
        </w:rPr>
        <w:t>。</w:t>
      </w:r>
    </w:p>
    <w:p>
      <w:pPr>
        <w:spacing w:line="360" w:lineRule="auto"/>
        <w:ind w:firstLine="600" w:firstLineChars="200"/>
        <w:rPr>
          <w:rFonts w:hint="eastAsia"/>
          <w:color w:val="auto"/>
          <w:highlight w:val="none"/>
          <w:lang w:eastAsia="zh-CN"/>
        </w:rPr>
      </w:pPr>
      <w:r>
        <w:rPr>
          <w:rFonts w:hint="eastAsia"/>
          <w:color w:val="auto"/>
          <w:highlight w:val="none"/>
        </w:rPr>
        <w:t>4、成本指标</w:t>
      </w:r>
      <w:r>
        <w:rPr>
          <w:rFonts w:hint="eastAsia"/>
          <w:color w:val="auto"/>
          <w:highlight w:val="none"/>
          <w:lang w:eastAsia="zh-CN"/>
        </w:rPr>
        <w:t>：</w:t>
      </w:r>
      <w:r>
        <w:rPr>
          <w:rFonts w:hint="eastAsia"/>
          <w:color w:val="auto"/>
          <w:highlight w:val="none"/>
        </w:rPr>
        <w:t>指标1：预算控制率</w:t>
      </w:r>
      <w:r>
        <w:rPr>
          <w:rFonts w:hint="eastAsia"/>
          <w:color w:val="auto"/>
          <w:highlight w:val="none"/>
          <w:lang w:eastAsia="zh-CN"/>
        </w:rPr>
        <w:t>，</w:t>
      </w:r>
      <w:r>
        <w:rPr>
          <w:rFonts w:hint="eastAsia"/>
          <w:color w:val="auto"/>
          <w:highlight w:val="none"/>
        </w:rPr>
        <w:t xml:space="preserve">指标值： </w:t>
      </w:r>
      <w:r>
        <w:rPr>
          <w:rFonts w:hint="eastAsia"/>
          <w:color w:val="auto"/>
          <w:highlight w:val="none"/>
          <w:lang w:eastAsia="zh-CN"/>
        </w:rPr>
        <w:t>≤</w:t>
      </w:r>
      <w:r>
        <w:rPr>
          <w:rFonts w:hint="eastAsia"/>
          <w:color w:val="auto"/>
          <w:highlight w:val="none"/>
        </w:rPr>
        <w:t>100% ，实际完成值</w:t>
      </w:r>
      <w:r>
        <w:rPr>
          <w:rFonts w:hint="eastAsia"/>
          <w:color w:val="auto"/>
          <w:highlight w:val="none"/>
          <w:lang w:val="en-US" w:eastAsia="zh-CN"/>
        </w:rPr>
        <w:t>100%</w:t>
      </w:r>
      <w:r>
        <w:rPr>
          <w:color w:val="auto"/>
          <w:highlight w:val="none"/>
        </w:rPr>
        <w:t xml:space="preserve"> </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w:t>
      </w:r>
      <w:r>
        <w:rPr>
          <w:rFonts w:hint="eastAsia"/>
          <w:color w:val="auto"/>
          <w:highlight w:val="none"/>
          <w:lang w:eastAsia="zh-CN"/>
        </w:rPr>
        <w:t>。</w:t>
      </w:r>
    </w:p>
    <w:p>
      <w:pPr>
        <w:spacing w:line="360" w:lineRule="auto"/>
        <w:ind w:firstLine="600" w:firstLineChars="200"/>
        <w:rPr>
          <w:rFonts w:hint="eastAsia" w:eastAsia="仿宋_GB2312"/>
          <w:highlight w:val="none"/>
          <w:lang w:eastAsia="zh-CN"/>
        </w:rPr>
      </w:pPr>
    </w:p>
    <w:p>
      <w:pPr>
        <w:pStyle w:val="4"/>
        <w:spacing w:line="360" w:lineRule="auto"/>
        <w:rPr>
          <w:rFonts w:ascii="仿宋_GB2312" w:eastAsia="仿宋_GB2312"/>
          <w:b w:val="0"/>
          <w:bCs w:val="0"/>
          <w:highlight w:val="none"/>
        </w:rPr>
      </w:pPr>
      <w:bookmarkStart w:id="15" w:name="_Toc68703841"/>
      <w:r>
        <w:rPr>
          <w:rFonts w:hint="eastAsia" w:ascii="仿宋_GB2312" w:eastAsia="仿宋_GB2312"/>
          <w:b w:val="0"/>
          <w:bCs w:val="0"/>
          <w:highlight w:val="none"/>
        </w:rPr>
        <w:t>（四）项目效益情况。</w:t>
      </w:r>
      <w:bookmarkEnd w:id="15"/>
    </w:p>
    <w:p>
      <w:pPr>
        <w:spacing w:line="360" w:lineRule="auto"/>
        <w:ind w:firstLine="600" w:firstLineChars="200"/>
        <w:rPr>
          <w:rFonts w:hint="default" w:eastAsia="仿宋_GB2312"/>
          <w:color w:val="auto"/>
          <w:highlight w:val="none"/>
          <w:lang w:val="en-US" w:eastAsia="zh-CN"/>
        </w:rPr>
      </w:pPr>
      <w:r>
        <w:rPr>
          <w:rFonts w:hint="eastAsia"/>
          <w:color w:val="auto"/>
          <w:highlight w:val="none"/>
          <w:lang w:val="en-US" w:eastAsia="zh-CN"/>
        </w:rPr>
        <w:t>1</w:t>
      </w:r>
      <w:r>
        <w:rPr>
          <w:rFonts w:hint="eastAsia"/>
          <w:color w:val="auto"/>
          <w:highlight w:val="none"/>
        </w:rPr>
        <w:t>、社会效益指标：</w:t>
      </w:r>
      <w:r>
        <w:rPr>
          <w:rFonts w:hint="eastAsia"/>
          <w:color w:val="auto"/>
          <w:highlight w:val="none"/>
          <w:lang w:eastAsia="zh-CN"/>
        </w:rPr>
        <w:t>指标</w:t>
      </w:r>
      <w:r>
        <w:rPr>
          <w:rFonts w:hint="eastAsia"/>
          <w:color w:val="auto"/>
          <w:highlight w:val="none"/>
          <w:lang w:val="en-US" w:eastAsia="zh-CN"/>
        </w:rPr>
        <w:t>1</w:t>
      </w:r>
      <w:r>
        <w:rPr>
          <w:rFonts w:hint="eastAsia"/>
          <w:color w:val="auto"/>
          <w:highlight w:val="none"/>
          <w:lang w:eastAsia="zh-CN"/>
        </w:rPr>
        <w:t>：提升</w:t>
      </w:r>
      <w:r>
        <w:rPr>
          <w:rFonts w:hint="eastAsia"/>
          <w:color w:val="auto"/>
          <w:highlight w:val="none"/>
        </w:rPr>
        <w:t>特克斯县旅游品牌</w:t>
      </w:r>
      <w:r>
        <w:rPr>
          <w:rFonts w:hint="eastAsia"/>
          <w:color w:val="auto"/>
          <w:highlight w:val="none"/>
          <w:lang w:eastAsia="zh-CN"/>
        </w:rPr>
        <w:t>，</w:t>
      </w:r>
      <w:r>
        <w:rPr>
          <w:rFonts w:hint="eastAsia"/>
          <w:color w:val="auto"/>
          <w:highlight w:val="none"/>
        </w:rPr>
        <w:t>指标值：有效提升</w:t>
      </w:r>
      <w:r>
        <w:rPr>
          <w:rFonts w:hint="eastAsia"/>
          <w:color w:val="auto"/>
          <w:highlight w:val="none"/>
          <w:lang w:eastAsia="zh-CN"/>
        </w:rPr>
        <w:t>，</w:t>
      </w:r>
      <w:r>
        <w:rPr>
          <w:rFonts w:hint="eastAsia"/>
          <w:color w:val="auto"/>
          <w:highlight w:val="none"/>
        </w:rPr>
        <w:t>实际完成值</w:t>
      </w:r>
      <w:r>
        <w:rPr>
          <w:rFonts w:hint="eastAsia"/>
          <w:color w:val="auto"/>
          <w:highlight w:val="none"/>
          <w:lang w:eastAsia="zh-CN"/>
        </w:rPr>
        <w:t>：</w:t>
      </w:r>
      <w:r>
        <w:rPr>
          <w:rFonts w:hint="eastAsia"/>
          <w:color w:val="auto"/>
          <w:highlight w:val="none"/>
        </w:rPr>
        <w:t>有效提升</w:t>
      </w:r>
      <w:r>
        <w:rPr>
          <w:rFonts w:hint="eastAsia"/>
          <w:color w:val="auto"/>
          <w:highlight w:val="none"/>
          <w:lang w:eastAsia="zh-CN"/>
        </w:rPr>
        <w:t>；指标</w:t>
      </w:r>
      <w:r>
        <w:rPr>
          <w:rFonts w:hint="eastAsia"/>
          <w:color w:val="auto"/>
          <w:highlight w:val="none"/>
          <w:lang w:val="en-US" w:eastAsia="zh-CN"/>
        </w:rPr>
        <w:t>2</w:t>
      </w:r>
      <w:r>
        <w:rPr>
          <w:rFonts w:hint="eastAsia"/>
          <w:color w:val="auto"/>
          <w:highlight w:val="none"/>
          <w:lang w:eastAsia="zh-CN"/>
        </w:rPr>
        <w:t>：提供就业岗位，</w:t>
      </w:r>
      <w:r>
        <w:rPr>
          <w:rFonts w:hint="eastAsia"/>
          <w:color w:val="auto"/>
          <w:highlight w:val="none"/>
        </w:rPr>
        <w:t>指标值：≥50个</w:t>
      </w:r>
      <w:r>
        <w:rPr>
          <w:rFonts w:hint="eastAsia"/>
          <w:color w:val="auto"/>
          <w:highlight w:val="none"/>
          <w:lang w:eastAsia="zh-CN"/>
        </w:rPr>
        <w:t>，</w:t>
      </w:r>
      <w:r>
        <w:rPr>
          <w:rFonts w:hint="eastAsia"/>
          <w:color w:val="auto"/>
          <w:highlight w:val="none"/>
        </w:rPr>
        <w:t>实际完成值</w:t>
      </w:r>
      <w:r>
        <w:rPr>
          <w:rFonts w:hint="eastAsia"/>
          <w:color w:val="auto"/>
          <w:highlight w:val="none"/>
          <w:lang w:eastAsia="zh-CN"/>
        </w:rPr>
        <w:t>：提供就业岗位</w:t>
      </w:r>
      <w:r>
        <w:rPr>
          <w:rFonts w:hint="eastAsia"/>
          <w:color w:val="auto"/>
          <w:highlight w:val="none"/>
          <w:lang w:val="en-US" w:eastAsia="zh-CN"/>
        </w:rPr>
        <w:t>50个，指标完成率：100%。</w:t>
      </w:r>
    </w:p>
    <w:p>
      <w:pPr>
        <w:spacing w:line="360" w:lineRule="auto"/>
        <w:ind w:firstLine="600" w:firstLineChars="200"/>
        <w:rPr>
          <w:rFonts w:hint="default" w:eastAsia="仿宋_GB2312"/>
          <w:color w:val="auto"/>
          <w:highlight w:val="none"/>
          <w:lang w:val="en-US" w:eastAsia="zh-CN"/>
        </w:rPr>
      </w:pPr>
      <w:r>
        <w:rPr>
          <w:rFonts w:hint="eastAsia"/>
          <w:color w:val="auto"/>
          <w:highlight w:val="none"/>
          <w:lang w:val="en-US" w:eastAsia="zh-CN"/>
        </w:rPr>
        <w:t>2</w:t>
      </w:r>
      <w:r>
        <w:rPr>
          <w:rFonts w:hint="eastAsia"/>
          <w:color w:val="auto"/>
          <w:highlight w:val="none"/>
        </w:rPr>
        <w:t>、可持续影响指标：</w:t>
      </w:r>
      <w:r>
        <w:rPr>
          <w:rFonts w:hint="eastAsia"/>
          <w:color w:val="auto"/>
          <w:highlight w:val="none"/>
          <w:lang w:eastAsia="zh-CN"/>
        </w:rPr>
        <w:t>指标</w:t>
      </w:r>
      <w:r>
        <w:rPr>
          <w:rFonts w:hint="eastAsia"/>
          <w:color w:val="auto"/>
          <w:highlight w:val="none"/>
          <w:lang w:val="en-US" w:eastAsia="zh-CN"/>
        </w:rPr>
        <w:t>1</w:t>
      </w:r>
      <w:r>
        <w:rPr>
          <w:rFonts w:hint="eastAsia"/>
          <w:color w:val="auto"/>
          <w:highlight w:val="none"/>
          <w:lang w:eastAsia="zh-CN"/>
        </w:rPr>
        <w:t>：项目使用年限，</w:t>
      </w:r>
      <w:r>
        <w:rPr>
          <w:rFonts w:hint="eastAsia"/>
          <w:color w:val="auto"/>
          <w:highlight w:val="none"/>
        </w:rPr>
        <w:t>指标值：≥20年</w:t>
      </w:r>
      <w:r>
        <w:rPr>
          <w:rFonts w:hint="eastAsia"/>
          <w:color w:val="auto"/>
          <w:highlight w:val="none"/>
          <w:lang w:eastAsia="zh-CN"/>
        </w:rPr>
        <w:t>，</w:t>
      </w:r>
      <w:r>
        <w:rPr>
          <w:rFonts w:hint="eastAsia"/>
          <w:color w:val="auto"/>
          <w:highlight w:val="none"/>
        </w:rPr>
        <w:t>实际完成值</w:t>
      </w:r>
      <w:r>
        <w:rPr>
          <w:rFonts w:hint="eastAsia"/>
          <w:color w:val="auto"/>
          <w:highlight w:val="none"/>
          <w:lang w:eastAsia="zh-CN"/>
        </w:rPr>
        <w:t>：</w:t>
      </w:r>
      <w:r>
        <w:rPr>
          <w:rFonts w:hint="eastAsia"/>
          <w:color w:val="auto"/>
          <w:highlight w:val="none"/>
          <w:lang w:val="en-US" w:eastAsia="zh-CN"/>
        </w:rPr>
        <w:t>20年，指标完成率：100%。</w:t>
      </w:r>
    </w:p>
    <w:p>
      <w:pPr>
        <w:spacing w:line="360" w:lineRule="auto"/>
        <w:ind w:firstLine="600" w:firstLineChars="200"/>
        <w:rPr>
          <w:rFonts w:hint="eastAsia" w:eastAsia="仿宋_GB2312"/>
          <w:color w:val="auto"/>
          <w:highlight w:val="none"/>
          <w:lang w:val="en-US" w:eastAsia="zh-CN"/>
        </w:rPr>
      </w:pPr>
      <w:r>
        <w:rPr>
          <w:rFonts w:hint="eastAsia"/>
          <w:color w:val="auto"/>
          <w:highlight w:val="none"/>
          <w:lang w:val="en-US" w:eastAsia="zh-CN"/>
        </w:rPr>
        <w:t>3</w:t>
      </w:r>
      <w:r>
        <w:rPr>
          <w:rFonts w:hint="eastAsia"/>
          <w:color w:val="auto"/>
          <w:highlight w:val="none"/>
        </w:rPr>
        <w:t>、满意度指标：</w:t>
      </w:r>
      <w:r>
        <w:rPr>
          <w:rFonts w:hint="eastAsia"/>
          <w:color w:val="auto"/>
          <w:highlight w:val="none"/>
          <w:lang w:eastAsia="zh-CN"/>
        </w:rPr>
        <w:t>指标</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游客满意度</w:t>
      </w:r>
      <w:r>
        <w:rPr>
          <w:rFonts w:hint="eastAsia"/>
          <w:color w:val="auto"/>
          <w:highlight w:val="none"/>
          <w:lang w:eastAsia="zh-CN"/>
        </w:rPr>
        <w:t>，</w:t>
      </w:r>
      <w:r>
        <w:rPr>
          <w:rFonts w:hint="eastAsia"/>
          <w:color w:val="auto"/>
          <w:highlight w:val="none"/>
        </w:rPr>
        <w:t>指标值：≥95%</w:t>
      </w:r>
      <w:r>
        <w:rPr>
          <w:rFonts w:hint="eastAsia"/>
          <w:color w:val="auto"/>
          <w:highlight w:val="none"/>
          <w:lang w:eastAsia="zh-CN"/>
        </w:rPr>
        <w:t>，</w:t>
      </w:r>
      <w:r>
        <w:rPr>
          <w:rFonts w:hint="eastAsia"/>
          <w:color w:val="auto"/>
          <w:highlight w:val="none"/>
        </w:rPr>
        <w:t>实际完成值</w:t>
      </w:r>
      <w:r>
        <w:rPr>
          <w:rFonts w:hint="eastAsia"/>
          <w:color w:val="auto"/>
          <w:highlight w:val="none"/>
          <w:lang w:eastAsia="zh-CN"/>
        </w:rPr>
        <w:t>：</w:t>
      </w:r>
      <w:r>
        <w:rPr>
          <w:rFonts w:hint="eastAsia"/>
          <w:color w:val="auto"/>
          <w:highlight w:val="none"/>
          <w:lang w:val="en-US" w:eastAsia="zh-CN"/>
        </w:rPr>
        <w:t>95</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指标完成率：100%</w:t>
      </w:r>
      <w:r>
        <w:rPr>
          <w:rFonts w:hint="eastAsia"/>
          <w:color w:val="auto"/>
          <w:highlight w:val="none"/>
          <w:lang w:eastAsia="zh-CN"/>
        </w:rPr>
        <w:t>；指标</w:t>
      </w:r>
      <w:r>
        <w:rPr>
          <w:rFonts w:hint="eastAsia"/>
          <w:color w:val="auto"/>
          <w:highlight w:val="none"/>
          <w:lang w:val="en-US" w:eastAsia="zh-CN"/>
        </w:rPr>
        <w:t>2：</w:t>
      </w:r>
      <w:r>
        <w:rPr>
          <w:rFonts w:hint="eastAsia"/>
          <w:color w:val="auto"/>
          <w:highlight w:val="none"/>
          <w:lang w:eastAsia="zh-CN"/>
        </w:rPr>
        <w:t>当地居民满意度，</w:t>
      </w:r>
      <w:r>
        <w:rPr>
          <w:rFonts w:hint="eastAsia"/>
          <w:color w:val="auto"/>
          <w:highlight w:val="none"/>
        </w:rPr>
        <w:t>指标值：≥95%</w:t>
      </w:r>
      <w:r>
        <w:rPr>
          <w:rFonts w:hint="eastAsia"/>
          <w:color w:val="auto"/>
          <w:highlight w:val="none"/>
          <w:lang w:eastAsia="zh-CN"/>
        </w:rPr>
        <w:t>，</w:t>
      </w:r>
      <w:r>
        <w:rPr>
          <w:rFonts w:hint="eastAsia"/>
          <w:color w:val="auto"/>
          <w:highlight w:val="none"/>
        </w:rPr>
        <w:t>实际完成值</w:t>
      </w:r>
      <w:r>
        <w:rPr>
          <w:rFonts w:hint="eastAsia"/>
          <w:color w:val="auto"/>
          <w:highlight w:val="none"/>
          <w:lang w:eastAsia="zh-CN"/>
        </w:rPr>
        <w:t>：</w:t>
      </w:r>
      <w:r>
        <w:rPr>
          <w:rFonts w:hint="eastAsia"/>
          <w:color w:val="auto"/>
          <w:highlight w:val="none"/>
          <w:lang w:val="en-US" w:eastAsia="zh-CN"/>
        </w:rPr>
        <w:t>95</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指标完成率：100%</w:t>
      </w:r>
      <w:r>
        <w:rPr>
          <w:rFonts w:hint="eastAsia"/>
          <w:color w:val="auto"/>
          <w:highlight w:val="none"/>
          <w:lang w:eastAsia="zh-CN"/>
        </w:rPr>
        <w:t>。</w:t>
      </w:r>
    </w:p>
    <w:p>
      <w:pPr>
        <w:pStyle w:val="3"/>
        <w:spacing w:line="360" w:lineRule="auto"/>
        <w:rPr>
          <w:rFonts w:ascii="宋体" w:hAnsi="宋体" w:eastAsia="宋体"/>
          <w:sz w:val="32"/>
          <w:szCs w:val="32"/>
          <w:highlight w:val="none"/>
        </w:rPr>
      </w:pPr>
      <w:bookmarkStart w:id="16" w:name="_Toc68703842"/>
      <w:r>
        <w:rPr>
          <w:rFonts w:hint="eastAsia" w:ascii="宋体" w:hAnsi="宋体" w:eastAsia="宋体"/>
          <w:sz w:val="32"/>
          <w:szCs w:val="32"/>
          <w:highlight w:val="none"/>
        </w:rPr>
        <w:t>五、主要经验及做法、存在的问题及原因分析</w:t>
      </w:r>
      <w:bookmarkEnd w:id="16"/>
    </w:p>
    <w:p>
      <w:pPr>
        <w:pStyle w:val="4"/>
        <w:spacing w:line="360" w:lineRule="auto"/>
        <w:rPr>
          <w:rFonts w:ascii="仿宋_GB2312" w:eastAsia="仿宋_GB2312"/>
          <w:b w:val="0"/>
          <w:bCs w:val="0"/>
          <w:highlight w:val="none"/>
        </w:rPr>
      </w:pPr>
      <w:bookmarkStart w:id="17" w:name="_Toc68703843"/>
      <w:r>
        <w:rPr>
          <w:rFonts w:hint="eastAsia" w:ascii="仿宋_GB2312" w:eastAsia="仿宋_GB2312"/>
          <w:b w:val="0"/>
          <w:bCs w:val="0"/>
          <w:highlight w:val="none"/>
        </w:rPr>
        <w:t>（一）主要经验及做法</w:t>
      </w:r>
      <w:bookmarkEnd w:id="17"/>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color w:val="auto"/>
          <w:sz w:val="32"/>
          <w:szCs w:val="32"/>
          <w:highlight w:val="none"/>
        </w:rPr>
      </w:pPr>
      <w:bookmarkStart w:id="18" w:name="_Toc68703844"/>
      <w:r>
        <w:rPr>
          <w:rFonts w:hint="eastAsia" w:ascii="仿宋_GB2312" w:hAnsi="仿宋_GB2312" w:eastAsia="仿宋_GB2312" w:cs="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line="560" w:lineRule="exact"/>
        <w:ind w:firstLine="640" w:firstLineChars="200"/>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4"/>
        <w:spacing w:line="360" w:lineRule="auto"/>
        <w:rPr>
          <w:rFonts w:ascii="仿宋_GB2312" w:eastAsia="仿宋_GB2312"/>
          <w:b w:val="0"/>
          <w:bCs w:val="0"/>
          <w:highlight w:val="none"/>
        </w:rPr>
      </w:pPr>
      <w:r>
        <w:rPr>
          <w:rFonts w:hint="eastAsia" w:ascii="仿宋_GB2312" w:eastAsia="仿宋_GB2312"/>
          <w:b w:val="0"/>
          <w:bCs w:val="0"/>
          <w:highlight w:val="none"/>
        </w:rPr>
        <w:t>（二）存在的问题及原因分析</w:t>
      </w:r>
      <w:bookmarkEnd w:id="18"/>
    </w:p>
    <w:p>
      <w:pPr>
        <w:spacing w:line="540" w:lineRule="exact"/>
        <w:ind w:firstLine="600" w:firstLineChars="200"/>
        <w:jc w:val="left"/>
        <w:rPr>
          <w:rFonts w:hint="eastAsia" w:ascii="仿宋_GB2312" w:hAnsi="仿宋_GB2312" w:eastAsia="仿宋_GB2312" w:cs="仿宋_GB2312"/>
          <w:sz w:val="28"/>
          <w:szCs w:val="28"/>
          <w:highlight w:val="none"/>
        </w:rPr>
      </w:pPr>
      <w:bookmarkStart w:id="21" w:name="_GoBack"/>
      <w:bookmarkStart w:id="19" w:name="_Toc68703845"/>
      <w:r>
        <w:rPr>
          <w:rFonts w:hint="eastAsia" w:ascii="仿宋_GB2312" w:hAnsi="仿宋_GB2312" w:eastAsia="仿宋_GB2312" w:cs="仿宋_GB2312"/>
          <w:b w:val="0"/>
          <w:bCs w:val="0"/>
          <w:color w:val="auto"/>
          <w:kern w:val="2"/>
          <w:highlight w:val="none"/>
        </w:rPr>
        <w:t>1、存在的问题</w:t>
      </w:r>
      <w:r>
        <w:rPr>
          <w:rFonts w:hint="eastAsia" w:ascii="仿宋_GB2312" w:hAnsi="仿宋_GB2312" w:eastAsia="仿宋_GB2312" w:cs="仿宋_GB2312"/>
          <w:b w:val="0"/>
          <w:bCs w:val="0"/>
          <w:color w:val="auto"/>
          <w:kern w:val="2"/>
          <w:highlight w:val="none"/>
          <w:lang w:eastAsia="zh-CN"/>
        </w:rPr>
        <w:t>：</w:t>
      </w:r>
      <w:r>
        <w:rPr>
          <w:rFonts w:hint="eastAsia" w:ascii="仿宋_GB2312" w:hAnsi="仿宋_GB2312" w:cs="仿宋_GB2312"/>
          <w:b w:val="0"/>
          <w:bCs w:val="0"/>
          <w:color w:val="auto"/>
          <w:kern w:val="2"/>
          <w:highlight w:val="none"/>
          <w:lang w:val="en-US" w:eastAsia="zh-CN"/>
        </w:rPr>
        <w:t xml:space="preserve">    此项目</w:t>
      </w:r>
      <w:r>
        <w:rPr>
          <w:rFonts w:hint="eastAsia" w:ascii="仿宋_GB2312" w:hAnsi="仿宋_GB2312" w:eastAsia="仿宋_GB2312" w:cs="仿宋_GB2312"/>
          <w:sz w:val="28"/>
          <w:szCs w:val="28"/>
          <w:highlight w:val="none"/>
        </w:rPr>
        <w:t>绩效指标</w:t>
      </w:r>
      <w:r>
        <w:rPr>
          <w:rFonts w:hint="eastAsia" w:ascii="仿宋_GB2312" w:hAnsi="仿宋_GB2312" w:eastAsia="仿宋_GB2312" w:cs="仿宋_GB2312"/>
          <w:sz w:val="28"/>
          <w:szCs w:val="28"/>
          <w:highlight w:val="none"/>
          <w:lang w:val="en-US" w:eastAsia="zh-CN"/>
        </w:rPr>
        <w:t>没有</w:t>
      </w:r>
      <w:r>
        <w:rPr>
          <w:rFonts w:hint="eastAsia" w:ascii="仿宋_GB2312" w:hAnsi="仿宋_GB2312" w:eastAsia="仿宋_GB2312" w:cs="仿宋_GB2312"/>
          <w:sz w:val="28"/>
          <w:szCs w:val="28"/>
          <w:highlight w:val="none"/>
        </w:rPr>
        <w:t>产生偏差</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资金管理方面</w:t>
      </w:r>
      <w:r>
        <w:rPr>
          <w:rFonts w:hint="eastAsia" w:ascii="仿宋_GB2312" w:hAnsi="仿宋_GB2312" w:eastAsia="仿宋_GB2312" w:cs="仿宋_GB2312"/>
          <w:sz w:val="28"/>
          <w:szCs w:val="28"/>
          <w:highlight w:val="none"/>
          <w:lang w:val="en-US" w:eastAsia="zh-CN"/>
        </w:rPr>
        <w:t>也没有出现问题。</w:t>
      </w:r>
      <w:r>
        <w:rPr>
          <w:rFonts w:hint="eastAsia" w:ascii="仿宋_GB2312" w:hAnsi="仿宋_GB2312" w:eastAsia="仿宋_GB2312" w:cs="仿宋_GB2312"/>
          <w:sz w:val="28"/>
          <w:szCs w:val="28"/>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line="600" w:lineRule="exact"/>
        <w:ind w:firstLine="560" w:firstLineChars="200"/>
        <w:jc w:val="left"/>
        <w:rPr>
          <w:rFonts w:hint="eastAsia" w:ascii="仿宋_GB2312" w:hAnsi="仿宋_GB2312" w:eastAsia="仿宋_GB2312" w:cs="仿宋_GB2312"/>
          <w:b w:val="0"/>
          <w:bCs w:val="0"/>
          <w:kern w:val="2"/>
          <w:sz w:val="28"/>
          <w:szCs w:val="28"/>
          <w:highlight w:val="none"/>
        </w:rPr>
      </w:pPr>
      <w:r>
        <w:rPr>
          <w:rFonts w:hint="eastAsia" w:ascii="仿宋_GB2312" w:hAnsi="仿宋_GB2312" w:eastAsia="仿宋_GB2312" w:cs="仿宋_GB2312"/>
          <w:b w:val="0"/>
          <w:bCs w:val="0"/>
          <w:kern w:val="2"/>
          <w:sz w:val="28"/>
          <w:szCs w:val="28"/>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rPr>
          <w:rFonts w:hint="default" w:eastAsia="仿宋_GB2312"/>
          <w:highlight w:val="none"/>
          <w:lang w:val="en-US" w:eastAsia="zh-CN"/>
        </w:rPr>
      </w:pPr>
    </w:p>
    <w:p>
      <w:pPr>
        <w:pStyle w:val="2"/>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color w:val="auto"/>
          <w:kern w:val="2"/>
          <w:highlight w:val="none"/>
        </w:rPr>
      </w:pPr>
    </w:p>
    <w:bookmarkEnd w:id="21"/>
    <w:p>
      <w:pPr>
        <w:pStyle w:val="3"/>
        <w:numPr>
          <w:ilvl w:val="0"/>
          <w:numId w:val="3"/>
        </w:numPr>
        <w:spacing w:line="360" w:lineRule="auto"/>
        <w:rPr>
          <w:rFonts w:hint="eastAsia" w:ascii="宋体" w:hAnsi="宋体" w:eastAsia="宋体"/>
          <w:sz w:val="32"/>
          <w:szCs w:val="32"/>
          <w:highlight w:val="none"/>
        </w:rPr>
      </w:pPr>
      <w:r>
        <w:rPr>
          <w:rFonts w:hint="eastAsia" w:ascii="宋体" w:hAnsi="宋体" w:eastAsia="宋体"/>
          <w:sz w:val="32"/>
          <w:szCs w:val="32"/>
          <w:highlight w:val="none"/>
        </w:rPr>
        <w:t>有关建议</w:t>
      </w:r>
      <w:bookmarkEnd w:id="19"/>
    </w:p>
    <w:p>
      <w:pPr>
        <w:pageBreakBefore w:val="0"/>
        <w:numPr>
          <w:ilvl w:val="0"/>
          <w:numId w:val="4"/>
        </w:numPr>
        <w:kinsoku/>
        <w:wordWrap/>
        <w:overflowPunct/>
        <w:topLinePunct w:val="0"/>
        <w:autoSpaceDE/>
        <w:autoSpaceDN/>
        <w:bidi w:val="0"/>
        <w:adjustRightInd/>
        <w:snapToGrid/>
        <w:spacing w:line="560" w:lineRule="exact"/>
        <w:ind w:firstLine="641"/>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4"/>
        </w:numPr>
        <w:kinsoku/>
        <w:wordWrap/>
        <w:overflowPunct/>
        <w:topLinePunct w:val="0"/>
        <w:autoSpaceDE/>
        <w:autoSpaceDN/>
        <w:bidi w:val="0"/>
        <w:adjustRightInd/>
        <w:snapToGrid/>
        <w:spacing w:line="560" w:lineRule="exact"/>
        <w:ind w:firstLine="641"/>
        <w:rPr>
          <w:highlight w:val="none"/>
        </w:rPr>
      </w:pPr>
      <w:r>
        <w:rPr>
          <w:rFonts w:hint="eastAsia" w:ascii="仿宋_GB2312" w:hAnsi="仿宋_GB2312" w:eastAsia="仿宋_GB2312" w:cs="仿宋_GB2312"/>
          <w:color w:val="auto"/>
          <w:sz w:val="32"/>
          <w:szCs w:val="32"/>
          <w:highlight w:val="none"/>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Style w:val="3"/>
        <w:spacing w:line="360" w:lineRule="auto"/>
        <w:rPr>
          <w:rFonts w:ascii="宋体" w:hAnsi="宋体" w:eastAsia="宋体"/>
          <w:sz w:val="32"/>
          <w:szCs w:val="32"/>
          <w:highlight w:val="none"/>
        </w:rPr>
      </w:pPr>
      <w:bookmarkStart w:id="20" w:name="_Toc68703846"/>
      <w:r>
        <w:rPr>
          <w:rFonts w:hint="eastAsia" w:ascii="宋体" w:hAnsi="宋体" w:eastAsia="宋体"/>
          <w:sz w:val="32"/>
          <w:szCs w:val="32"/>
          <w:highlight w:val="none"/>
        </w:rPr>
        <w:t>七、其他需要说明的问题</w:t>
      </w:r>
      <w:bookmarkEnd w:id="20"/>
    </w:p>
    <w:p>
      <w:pPr>
        <w:ind w:firstLine="600" w:firstLineChars="200"/>
        <w:rPr>
          <w:color w:val="auto"/>
        </w:rPr>
      </w:pPr>
      <w:r>
        <w:rPr>
          <w:rFonts w:hint="eastAsia"/>
          <w:color w:val="auto"/>
        </w:rPr>
        <w:t>无</w:t>
      </w:r>
    </w:p>
    <w:p>
      <w:pPr>
        <w:spacing w:line="360" w:lineRule="auto"/>
      </w:pP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4BB6DE"/>
    <w:multiLevelType w:val="singleLevel"/>
    <w:tmpl w:val="FF4BB6DE"/>
    <w:lvl w:ilvl="0" w:tentative="0">
      <w:start w:val="1"/>
      <w:numFmt w:val="decimal"/>
      <w:suff w:val="nothing"/>
      <w:lvlText w:val="%1、"/>
      <w:lvlJc w:val="left"/>
    </w:lvl>
  </w:abstractNum>
  <w:abstractNum w:abstractNumId="1">
    <w:nsid w:val="16D0030C"/>
    <w:multiLevelType w:val="singleLevel"/>
    <w:tmpl w:val="16D0030C"/>
    <w:lvl w:ilvl="0" w:tentative="0">
      <w:start w:val="1"/>
      <w:numFmt w:val="decimal"/>
      <w:suff w:val="nothing"/>
      <w:lvlText w:val="%1、"/>
      <w:lvlJc w:val="left"/>
    </w:lvl>
  </w:abstractNum>
  <w:abstractNum w:abstractNumId="2">
    <w:nsid w:val="4B7DE7CD"/>
    <w:multiLevelType w:val="singleLevel"/>
    <w:tmpl w:val="4B7DE7CD"/>
    <w:lvl w:ilvl="0" w:tentative="0">
      <w:start w:val="1"/>
      <w:numFmt w:val="decimal"/>
      <w:suff w:val="nothing"/>
      <w:lvlText w:val="%1、"/>
      <w:lvlJc w:val="left"/>
    </w:lvl>
  </w:abstractNum>
  <w:abstractNum w:abstractNumId="3">
    <w:nsid w:val="661E1061"/>
    <w:multiLevelType w:val="singleLevel"/>
    <w:tmpl w:val="661E1061"/>
    <w:lvl w:ilvl="0" w:tentative="0">
      <w:start w:val="6"/>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9C5"/>
    <w:rsid w:val="005B64E8"/>
    <w:rsid w:val="00614288"/>
    <w:rsid w:val="00792CFE"/>
    <w:rsid w:val="007D49C5"/>
    <w:rsid w:val="008C631D"/>
    <w:rsid w:val="00B24331"/>
    <w:rsid w:val="087D527E"/>
    <w:rsid w:val="09FE57CE"/>
    <w:rsid w:val="0C2F3DE4"/>
    <w:rsid w:val="132D0440"/>
    <w:rsid w:val="16850913"/>
    <w:rsid w:val="355E3F1D"/>
    <w:rsid w:val="423E2620"/>
    <w:rsid w:val="44042B31"/>
    <w:rsid w:val="56A724F3"/>
    <w:rsid w:val="5F1731F6"/>
    <w:rsid w:val="61345C9C"/>
    <w:rsid w:val="63FE52C8"/>
    <w:rsid w:val="70074645"/>
    <w:rsid w:val="78F44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6">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标题 1 字符"/>
    <w:basedOn w:val="8"/>
    <w:link w:val="3"/>
    <w:qFormat/>
    <w:uiPriority w:val="9"/>
    <w:rPr>
      <w:rFonts w:ascii="Times New Roman" w:hAnsi="Times New Roman" w:eastAsia="仿宋_GB2312" w:cs="Times New Roman"/>
      <w:b/>
      <w:bCs/>
      <w:kern w:val="44"/>
      <w:sz w:val="44"/>
      <w:szCs w:val="44"/>
    </w:rPr>
  </w:style>
  <w:style w:type="character" w:customStyle="1" w:styleId="11">
    <w:name w:val="标题 2 字符"/>
    <w:basedOn w:val="8"/>
    <w:link w:val="4"/>
    <w:qFormat/>
    <w:uiPriority w:val="9"/>
    <w:rPr>
      <w:rFonts w:asciiTheme="majorHAnsi" w:hAnsiTheme="majorHAnsi" w:eastAsiaTheme="majorEastAsia" w:cstheme="majorBidi"/>
      <w:b/>
      <w:bCs/>
      <w:sz w:val="32"/>
      <w:szCs w:val="32"/>
    </w:rPr>
  </w:style>
  <w:style w:type="paragraph" w:customStyle="1" w:styleId="12">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5887</Words>
  <Characters>6103</Characters>
  <Lines>38</Lines>
  <Paragraphs>10</Paragraphs>
  <TotalTime>0</TotalTime>
  <ScaleCrop>false</ScaleCrop>
  <LinksUpToDate>false</LinksUpToDate>
  <CharactersWithSpaces>6169</CharactersWithSpaces>
  <Application>WPS Office_11.1.0.11622_F1E327BC-269C-435d-A152-05C5408002CA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A.X</cp:lastModifiedBy>
  <dcterms:modified xsi:type="dcterms:W3CDTF">2022-04-20T10:00:19Z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2052-11.1.0.11622</vt:lpwstr>
  </property>
  <property fmtid="{D5CDD505-2E9C-101B-9397-08002B2CF9AE}" pid="3" name="ICV">
    <vt:lpwstr>6FED815A4A0340069E6EB79CA6F57111</vt:lpwstr>
  </property>
</Properties>
</file>