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560" w:lineRule="exact"/>
        <w:ind w:firstLine="964" w:firstLineChars="200"/>
        <w:jc w:val="center"/>
        <w:textAlignment w:val="auto"/>
        <w:rPr>
          <w:rFonts w:ascii="宋体" w:hAnsi="宋体" w:eastAsia="宋体" w:cs="Arial"/>
          <w:b/>
          <w:bCs/>
          <w:color w:val="auto"/>
          <w:sz w:val="48"/>
          <w:szCs w:val="48"/>
        </w:rPr>
      </w:pPr>
    </w:p>
    <w:p>
      <w:pPr>
        <w:pageBreakBefore w:val="0"/>
        <w:kinsoku/>
        <w:wordWrap/>
        <w:overflowPunct/>
        <w:topLinePunct w:val="0"/>
        <w:autoSpaceDE/>
        <w:autoSpaceDN/>
        <w:bidi w:val="0"/>
        <w:adjustRightInd/>
        <w:snapToGrid/>
        <w:spacing w:line="560" w:lineRule="exact"/>
        <w:ind w:firstLine="964" w:firstLineChars="200"/>
        <w:jc w:val="center"/>
        <w:textAlignment w:val="auto"/>
        <w:rPr>
          <w:rFonts w:ascii="宋体" w:hAnsi="宋体" w:eastAsia="宋体" w:cs="Arial"/>
          <w:b/>
          <w:bCs/>
          <w:color w:val="auto"/>
          <w:sz w:val="48"/>
          <w:szCs w:val="48"/>
        </w:rPr>
      </w:pPr>
    </w:p>
    <w:p>
      <w:pPr>
        <w:pageBreakBefore w:val="0"/>
        <w:kinsoku/>
        <w:wordWrap/>
        <w:overflowPunct/>
        <w:topLinePunct w:val="0"/>
        <w:autoSpaceDE/>
        <w:autoSpaceDN/>
        <w:bidi w:val="0"/>
        <w:adjustRightInd/>
        <w:snapToGrid/>
        <w:spacing w:line="560" w:lineRule="exact"/>
        <w:ind w:firstLine="964" w:firstLineChars="200"/>
        <w:jc w:val="center"/>
        <w:textAlignment w:val="auto"/>
        <w:rPr>
          <w:rFonts w:ascii="宋体" w:hAnsi="宋体" w:eastAsia="宋体" w:cs="Arial"/>
          <w:b/>
          <w:bCs/>
          <w:color w:val="auto"/>
          <w:sz w:val="48"/>
          <w:szCs w:val="48"/>
        </w:rPr>
      </w:pPr>
    </w:p>
    <w:p>
      <w:pPr>
        <w:pageBreakBefore w:val="0"/>
        <w:kinsoku/>
        <w:wordWrap/>
        <w:overflowPunct/>
        <w:topLinePunct w:val="0"/>
        <w:autoSpaceDE/>
        <w:autoSpaceDN/>
        <w:bidi w:val="0"/>
        <w:adjustRightInd/>
        <w:snapToGrid/>
        <w:spacing w:line="560" w:lineRule="exact"/>
        <w:ind w:firstLine="1044" w:firstLineChars="200"/>
        <w:jc w:val="center"/>
        <w:textAlignment w:val="auto"/>
        <w:rPr>
          <w:rFonts w:ascii="宋体" w:hAnsi="宋体" w:eastAsia="宋体" w:cs="Arial"/>
          <w:b/>
          <w:bCs/>
          <w:color w:val="auto"/>
          <w:sz w:val="52"/>
          <w:szCs w:val="52"/>
        </w:rPr>
      </w:pPr>
      <w:r>
        <w:rPr>
          <w:rFonts w:hint="eastAsia" w:ascii="宋体" w:hAnsi="宋体" w:eastAsia="宋体" w:cs="Arial"/>
          <w:b/>
          <w:bCs/>
          <w:color w:val="auto"/>
          <w:sz w:val="52"/>
          <w:szCs w:val="52"/>
        </w:rPr>
        <w:t>项目支出绩效评价报告</w:t>
      </w:r>
    </w:p>
    <w:p>
      <w:pPr>
        <w:pageBreakBefore w:val="0"/>
        <w:kinsoku/>
        <w:wordWrap/>
        <w:overflowPunct/>
        <w:topLinePunct w:val="0"/>
        <w:autoSpaceDE/>
        <w:autoSpaceDN/>
        <w:bidi w:val="0"/>
        <w:adjustRightInd/>
        <w:snapToGrid/>
        <w:spacing w:line="560" w:lineRule="exact"/>
        <w:ind w:firstLine="964" w:firstLineChars="200"/>
        <w:jc w:val="center"/>
        <w:textAlignment w:val="auto"/>
        <w:rPr>
          <w:rFonts w:ascii="宋体" w:hAnsi="宋体" w:eastAsia="宋体" w:cs="Arial"/>
          <w:b/>
          <w:bCs/>
          <w:color w:val="auto"/>
          <w:sz w:val="48"/>
          <w:szCs w:val="48"/>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宋体" w:hAnsi="宋体" w:eastAsia="宋体" w:cs="宋体"/>
          <w:color w:val="auto"/>
          <w:kern w:val="0"/>
          <w:sz w:val="32"/>
          <w:szCs w:val="32"/>
          <w:lang w:val="en-US" w:eastAsia="zh-CN"/>
        </w:rPr>
      </w:pPr>
      <w:r>
        <w:rPr>
          <w:rFonts w:hint="eastAsia" w:ascii="宋体" w:hAnsi="宋体" w:eastAsia="宋体" w:cs="宋体"/>
          <w:color w:val="auto"/>
          <w:kern w:val="0"/>
          <w:sz w:val="32"/>
          <w:szCs w:val="32"/>
          <w:lang w:val="en-US" w:eastAsia="zh-CN"/>
        </w:rPr>
        <w:t>（2021年度）</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color w:val="auto"/>
          <w:kern w:val="0"/>
          <w:sz w:val="32"/>
          <w:szCs w:val="32"/>
          <w:lang w:val="en-US" w:eastAsia="zh-CN"/>
        </w:rPr>
      </w:pPr>
    </w:p>
    <w:p>
      <w:pPr>
        <w:pageBreakBefore w:val="0"/>
        <w:kinsoku/>
        <w:wordWrap/>
        <w:overflowPunct/>
        <w:topLinePunct w:val="0"/>
        <w:autoSpaceDE/>
        <w:autoSpaceDN/>
        <w:bidi w:val="0"/>
        <w:adjustRightInd/>
        <w:snapToGrid/>
        <w:spacing w:line="560" w:lineRule="exact"/>
        <w:ind w:firstLine="1004" w:firstLineChars="200"/>
        <w:jc w:val="both"/>
        <w:textAlignment w:val="auto"/>
        <w:rPr>
          <w:rFonts w:ascii="仿宋_GB2312" w:hAnsi="仿宋_GB2312" w:cs="仿宋_GB2312"/>
          <w:b/>
          <w:color w:val="auto"/>
          <w:kern w:val="0"/>
          <w:sz w:val="50"/>
          <w:szCs w:val="50"/>
          <w:lang w:bidi="en-US"/>
        </w:rPr>
      </w:pPr>
    </w:p>
    <w:p>
      <w:pPr>
        <w:pageBreakBefore w:val="0"/>
        <w:kinsoku/>
        <w:wordWrap/>
        <w:overflowPunct/>
        <w:topLinePunct w:val="0"/>
        <w:autoSpaceDE/>
        <w:autoSpaceDN/>
        <w:bidi w:val="0"/>
        <w:adjustRightInd/>
        <w:snapToGrid/>
        <w:spacing w:line="560" w:lineRule="exact"/>
        <w:ind w:firstLine="1004" w:firstLineChars="200"/>
        <w:jc w:val="center"/>
        <w:textAlignment w:val="auto"/>
        <w:rPr>
          <w:rFonts w:ascii="仿宋_GB2312" w:hAnsi="仿宋_GB2312" w:cs="仿宋_GB2312"/>
          <w:b/>
          <w:color w:val="auto"/>
          <w:kern w:val="0"/>
          <w:sz w:val="50"/>
          <w:szCs w:val="50"/>
          <w:lang w:bidi="en-US"/>
        </w:rPr>
      </w:pPr>
    </w:p>
    <w:p>
      <w:pPr>
        <w:pageBreakBefore w:val="0"/>
        <w:kinsoku/>
        <w:wordWrap/>
        <w:overflowPunct/>
        <w:topLinePunct w:val="0"/>
        <w:autoSpaceDE/>
        <w:autoSpaceDN/>
        <w:bidi w:val="0"/>
        <w:adjustRightInd/>
        <w:snapToGrid/>
        <w:spacing w:line="560" w:lineRule="exact"/>
        <w:ind w:firstLine="1004" w:firstLineChars="200"/>
        <w:jc w:val="center"/>
        <w:textAlignment w:val="auto"/>
        <w:rPr>
          <w:rFonts w:ascii="仿宋_GB2312" w:hAnsi="仿宋_GB2312" w:cs="仿宋_GB2312"/>
          <w:b/>
          <w:color w:val="auto"/>
          <w:kern w:val="0"/>
          <w:sz w:val="50"/>
          <w:szCs w:val="50"/>
          <w:lang w:bidi="en-US"/>
        </w:rPr>
      </w:pPr>
    </w:p>
    <w:p>
      <w:pPr>
        <w:pageBreakBefore w:val="0"/>
        <w:kinsoku/>
        <w:wordWrap/>
        <w:overflowPunct/>
        <w:topLinePunct w:val="0"/>
        <w:autoSpaceDE/>
        <w:autoSpaceDN/>
        <w:bidi w:val="0"/>
        <w:adjustRightInd/>
        <w:snapToGrid/>
        <w:spacing w:line="560" w:lineRule="exact"/>
        <w:ind w:firstLine="1004" w:firstLineChars="200"/>
        <w:jc w:val="center"/>
        <w:textAlignment w:val="auto"/>
        <w:rPr>
          <w:rFonts w:ascii="仿宋_GB2312" w:hAnsi="仿宋_GB2312" w:cs="仿宋_GB2312"/>
          <w:b/>
          <w:color w:val="auto"/>
          <w:kern w:val="0"/>
          <w:sz w:val="50"/>
          <w:szCs w:val="50"/>
          <w:lang w:bidi="en-US"/>
        </w:rPr>
      </w:pPr>
    </w:p>
    <w:p>
      <w:pPr>
        <w:pageBreakBefore w:val="0"/>
        <w:kinsoku/>
        <w:wordWrap/>
        <w:overflowPunct/>
        <w:topLinePunct w:val="0"/>
        <w:autoSpaceDE/>
        <w:autoSpaceDN/>
        <w:bidi w:val="0"/>
        <w:adjustRightInd/>
        <w:snapToGrid/>
        <w:spacing w:line="560" w:lineRule="exact"/>
        <w:ind w:firstLine="643" w:firstLineChars="200"/>
        <w:textAlignment w:val="auto"/>
        <w:rPr>
          <w:rFonts w:ascii="宋体" w:hAnsi="宋体" w:eastAsia="宋体" w:cs="宋体"/>
          <w:color w:val="auto"/>
          <w:kern w:val="0"/>
          <w:sz w:val="32"/>
          <w:szCs w:val="32"/>
        </w:rPr>
      </w:pPr>
      <w:r>
        <w:rPr>
          <w:rFonts w:hint="eastAsia" w:ascii="宋体" w:hAnsi="宋体" w:eastAsia="宋体" w:cs="仿宋_GB2312"/>
          <w:b/>
          <w:bCs/>
          <w:color w:val="auto"/>
          <w:kern w:val="0"/>
          <w:sz w:val="32"/>
          <w:szCs w:val="32"/>
        </w:rPr>
        <w:t>项目名称：医疗服务与保障能力提升（医疗卫生机构能力建设）补助资金</w:t>
      </w:r>
      <w:r>
        <w:rPr>
          <w:rFonts w:ascii="宋体" w:hAnsi="宋体" w:eastAsia="宋体" w:cs="宋体"/>
          <w:color w:val="auto"/>
          <w:kern w:val="0"/>
          <w:sz w:val="32"/>
          <w:szCs w:val="32"/>
        </w:rPr>
        <w:t xml:space="preserve"> </w:t>
      </w:r>
    </w:p>
    <w:p>
      <w:pPr>
        <w:pageBreakBefore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仿宋_GB2312"/>
          <w:b/>
          <w:bCs/>
          <w:color w:val="auto"/>
          <w:kern w:val="0"/>
          <w:sz w:val="32"/>
          <w:szCs w:val="32"/>
          <w:lang w:val="en-US" w:eastAsia="zh-CN"/>
        </w:rPr>
      </w:pPr>
      <w:r>
        <w:rPr>
          <w:rFonts w:hint="eastAsia" w:ascii="宋体" w:hAnsi="宋体" w:eastAsia="宋体" w:cs="仿宋_GB2312"/>
          <w:b/>
          <w:bCs/>
          <w:color w:val="auto"/>
          <w:kern w:val="0"/>
          <w:sz w:val="32"/>
          <w:szCs w:val="32"/>
        </w:rPr>
        <w:t xml:space="preserve">实施单位（公章）： </w:t>
      </w:r>
      <w:r>
        <w:rPr>
          <w:rFonts w:hint="eastAsia" w:ascii="宋体" w:hAnsi="宋体" w:eastAsia="宋体" w:cs="仿宋_GB2312"/>
          <w:b/>
          <w:bCs/>
          <w:color w:val="auto"/>
          <w:kern w:val="0"/>
          <w:sz w:val="32"/>
          <w:szCs w:val="32"/>
          <w:lang w:val="en-US" w:eastAsia="zh-CN"/>
        </w:rPr>
        <w:t>特克斯县疾病预防控制中心</w:t>
      </w:r>
    </w:p>
    <w:p>
      <w:pPr>
        <w:pageBreakBefore w:val="0"/>
        <w:kinsoku/>
        <w:wordWrap/>
        <w:overflowPunct/>
        <w:topLinePunct w:val="0"/>
        <w:autoSpaceDE/>
        <w:autoSpaceDN/>
        <w:bidi w:val="0"/>
        <w:adjustRightInd/>
        <w:snapToGrid/>
        <w:spacing w:line="560" w:lineRule="exact"/>
        <w:ind w:firstLine="643" w:firstLineChars="200"/>
        <w:textAlignment w:val="auto"/>
        <w:rPr>
          <w:rFonts w:hint="default" w:ascii="宋体" w:hAnsi="宋体" w:eastAsia="宋体" w:cs="宋体"/>
          <w:color w:val="auto"/>
          <w:kern w:val="0"/>
          <w:sz w:val="32"/>
          <w:szCs w:val="32"/>
          <w:lang w:val="en-US" w:eastAsia="zh-CN"/>
        </w:rPr>
      </w:pPr>
      <w:r>
        <w:rPr>
          <w:rFonts w:hint="eastAsia" w:ascii="宋体" w:hAnsi="宋体" w:eastAsia="宋体" w:cs="仿宋_GB2312"/>
          <w:b/>
          <w:bCs/>
          <w:color w:val="auto"/>
          <w:kern w:val="0"/>
          <w:sz w:val="32"/>
          <w:szCs w:val="32"/>
        </w:rPr>
        <w:t>主管部门（公章）：</w:t>
      </w:r>
      <w:r>
        <w:rPr>
          <w:rFonts w:ascii="宋体" w:hAnsi="宋体" w:eastAsia="宋体" w:cs="宋体"/>
          <w:color w:val="auto"/>
          <w:kern w:val="0"/>
          <w:sz w:val="32"/>
          <w:szCs w:val="32"/>
        </w:rPr>
        <w:t xml:space="preserve"> </w:t>
      </w:r>
      <w:r>
        <w:rPr>
          <w:rFonts w:hint="eastAsia" w:ascii="宋体" w:hAnsi="宋体" w:eastAsia="宋体" w:cs="仿宋_GB2312"/>
          <w:b/>
          <w:bCs/>
          <w:color w:val="auto"/>
          <w:kern w:val="0"/>
          <w:sz w:val="32"/>
          <w:szCs w:val="32"/>
          <w:lang w:val="en-US" w:eastAsia="zh-CN"/>
        </w:rPr>
        <w:t>特克斯县卫生健康委员会</w:t>
      </w:r>
    </w:p>
    <w:p>
      <w:pPr>
        <w:pageBreakBefore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color w:val="auto"/>
          <w:kern w:val="0"/>
          <w:sz w:val="32"/>
          <w:szCs w:val="32"/>
          <w:lang w:val="en-US" w:eastAsia="zh-CN"/>
        </w:rPr>
      </w:pPr>
      <w:r>
        <w:rPr>
          <w:rFonts w:hint="eastAsia" w:ascii="宋体" w:hAnsi="宋体" w:eastAsia="宋体" w:cs="仿宋_GB2312"/>
          <w:b/>
          <w:bCs/>
          <w:color w:val="auto"/>
          <w:kern w:val="0"/>
          <w:sz w:val="32"/>
          <w:szCs w:val="32"/>
        </w:rPr>
        <w:t>项目负责人（签章）：</w:t>
      </w:r>
      <w:bookmarkStart w:id="21" w:name="_GoBack"/>
      <w:r>
        <w:rPr>
          <w:rFonts w:hint="eastAsia" w:ascii="宋体" w:hAnsi="宋体" w:eastAsia="宋体" w:cs="仿宋_GB2312"/>
          <w:b/>
          <w:bCs/>
          <w:color w:val="auto"/>
          <w:kern w:val="0"/>
          <w:sz w:val="32"/>
          <w:szCs w:val="32"/>
          <w:lang w:val="en-US" w:eastAsia="zh-CN"/>
        </w:rPr>
        <w:t xml:space="preserve"> 李栋锋</w:t>
      </w:r>
      <w:bookmarkEnd w:id="21"/>
    </w:p>
    <w:p>
      <w:pPr>
        <w:pageBreakBefore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仿宋_GB2312"/>
          <w:color w:val="auto"/>
          <w:kern w:val="0"/>
          <w:sz w:val="32"/>
          <w:szCs w:val="32"/>
        </w:rPr>
      </w:pPr>
      <w:r>
        <w:rPr>
          <w:rFonts w:hint="eastAsia" w:ascii="宋体" w:hAnsi="宋体" w:eastAsia="宋体" w:cs="仿宋_GB2312"/>
          <w:b/>
          <w:bCs/>
          <w:color w:val="auto"/>
          <w:kern w:val="0"/>
          <w:sz w:val="32"/>
          <w:szCs w:val="32"/>
        </w:rPr>
        <w:t>填报时间：</w:t>
      </w:r>
      <w:r>
        <w:rPr>
          <w:rFonts w:hint="eastAsia" w:ascii="宋体" w:hAnsi="宋体" w:eastAsia="宋体" w:cs="仿宋_GB2312"/>
          <w:color w:val="auto"/>
          <w:kern w:val="0"/>
          <w:sz w:val="32"/>
          <w:szCs w:val="32"/>
        </w:rPr>
        <w:t>202</w:t>
      </w:r>
      <w:r>
        <w:rPr>
          <w:rFonts w:ascii="宋体" w:hAnsi="宋体" w:eastAsia="宋体" w:cs="仿宋_GB2312"/>
          <w:color w:val="auto"/>
          <w:kern w:val="0"/>
          <w:sz w:val="32"/>
          <w:szCs w:val="32"/>
        </w:rPr>
        <w:t>2</w:t>
      </w:r>
      <w:r>
        <w:rPr>
          <w:rFonts w:hint="eastAsia" w:ascii="宋体" w:hAnsi="宋体" w:eastAsia="宋体" w:cs="仿宋_GB2312"/>
          <w:color w:val="auto"/>
          <w:kern w:val="0"/>
          <w:sz w:val="32"/>
          <w:szCs w:val="32"/>
        </w:rPr>
        <w:t>年</w:t>
      </w:r>
      <w:r>
        <w:rPr>
          <w:rFonts w:hint="eastAsia" w:ascii="宋体" w:hAnsi="宋体" w:eastAsia="宋体" w:cs="仿宋_GB2312"/>
          <w:color w:val="auto"/>
          <w:kern w:val="0"/>
          <w:sz w:val="32"/>
          <w:szCs w:val="32"/>
          <w:lang w:val="en-US" w:eastAsia="zh-CN"/>
        </w:rPr>
        <w:t>4</w:t>
      </w:r>
      <w:r>
        <w:rPr>
          <w:rFonts w:hint="eastAsia" w:ascii="宋体" w:hAnsi="宋体" w:eastAsia="宋体" w:cs="仿宋_GB2312"/>
          <w:color w:val="auto"/>
          <w:kern w:val="0"/>
          <w:sz w:val="32"/>
          <w:szCs w:val="32"/>
        </w:rPr>
        <w:t>月</w:t>
      </w:r>
      <w:r>
        <w:rPr>
          <w:rFonts w:hint="eastAsia" w:ascii="宋体" w:hAnsi="宋体" w:eastAsia="宋体" w:cs="仿宋_GB2312"/>
          <w:color w:val="auto"/>
          <w:kern w:val="0"/>
          <w:sz w:val="32"/>
          <w:szCs w:val="32"/>
          <w:lang w:val="en-US" w:eastAsia="zh-CN"/>
        </w:rPr>
        <w:t>12</w:t>
      </w:r>
      <w:r>
        <w:rPr>
          <w:rFonts w:hint="eastAsia" w:ascii="宋体" w:hAnsi="宋体" w:eastAsia="宋体" w:cs="仿宋_GB2312"/>
          <w:color w:val="auto"/>
          <w:kern w:val="0"/>
          <w:sz w:val="32"/>
          <w:szCs w:val="32"/>
        </w:rPr>
        <w:t>日</w:t>
      </w:r>
    </w:p>
    <w:p>
      <w:pPr>
        <w:pageBreakBefore w:val="0"/>
        <w:widowControl/>
        <w:kinsoku/>
        <w:wordWrap/>
        <w:overflowPunct/>
        <w:topLinePunct w:val="0"/>
        <w:autoSpaceDE/>
        <w:autoSpaceDN/>
        <w:bidi w:val="0"/>
        <w:adjustRightInd/>
        <w:snapToGrid/>
        <w:spacing w:line="560" w:lineRule="exact"/>
        <w:ind w:firstLine="723" w:firstLineChars="200"/>
        <w:jc w:val="left"/>
        <w:textAlignment w:val="auto"/>
        <w:rPr>
          <w:rFonts w:ascii="宋体" w:hAnsi="宋体" w:eastAsia="宋体" w:cs="Arial"/>
          <w:b/>
          <w:bCs/>
          <w:color w:val="auto"/>
          <w:sz w:val="36"/>
          <w:szCs w:val="36"/>
        </w:rPr>
      </w:pPr>
      <w:r>
        <w:rPr>
          <w:rFonts w:ascii="宋体" w:hAnsi="宋体" w:eastAsia="宋体" w:cs="Arial"/>
          <w:b/>
          <w:bCs/>
          <w:color w:val="auto"/>
          <w:sz w:val="36"/>
          <w:szCs w:val="36"/>
        </w:rPr>
        <w:br w:type="page"/>
      </w:r>
    </w:p>
    <w:p>
      <w:pPr>
        <w:pageBreakBefore w:val="0"/>
        <w:kinsoku/>
        <w:wordWrap/>
        <w:overflowPunct/>
        <w:topLinePunct w:val="0"/>
        <w:autoSpaceDE/>
        <w:autoSpaceDN/>
        <w:bidi w:val="0"/>
        <w:adjustRightInd/>
        <w:snapToGrid/>
        <w:spacing w:line="560" w:lineRule="exact"/>
        <w:ind w:firstLine="723" w:firstLineChars="200"/>
        <w:jc w:val="center"/>
        <w:textAlignment w:val="auto"/>
        <w:rPr>
          <w:rFonts w:ascii="Arial" w:hAnsi="Arial" w:eastAsia="宋体" w:cs="Arial"/>
          <w:b/>
          <w:bCs/>
          <w:color w:val="auto"/>
          <w:sz w:val="36"/>
          <w:szCs w:val="36"/>
        </w:rPr>
      </w:pPr>
      <w:r>
        <w:rPr>
          <w:rFonts w:hint="eastAsia" w:ascii="宋体" w:hAnsi="宋体" w:eastAsia="宋体" w:cs="Arial"/>
          <w:b/>
          <w:bCs/>
          <w:color w:val="auto"/>
          <w:sz w:val="36"/>
          <w:szCs w:val="36"/>
        </w:rPr>
        <w:t>项目支出</w:t>
      </w:r>
      <w:r>
        <w:rPr>
          <w:rFonts w:ascii="宋体" w:hAnsi="宋体" w:eastAsia="宋体" w:cs="Arial"/>
          <w:b/>
          <w:bCs/>
          <w:color w:val="auto"/>
          <w:sz w:val="36"/>
          <w:szCs w:val="36"/>
        </w:rPr>
        <w:t>绩效</w:t>
      </w:r>
      <w:r>
        <w:rPr>
          <w:rFonts w:hint="eastAsia" w:ascii="宋体" w:hAnsi="宋体" w:eastAsia="宋体" w:cs="Arial"/>
          <w:b/>
          <w:bCs/>
          <w:color w:val="auto"/>
          <w:sz w:val="36"/>
          <w:szCs w:val="36"/>
        </w:rPr>
        <w:t>评价报告</w:t>
      </w:r>
    </w:p>
    <w:p>
      <w:pPr>
        <w:pageBreakBefore w:val="0"/>
        <w:kinsoku/>
        <w:wordWrap/>
        <w:overflowPunct/>
        <w:topLinePunct w:val="0"/>
        <w:autoSpaceDE/>
        <w:autoSpaceDN/>
        <w:bidi w:val="0"/>
        <w:adjustRightInd/>
        <w:snapToGrid/>
        <w:spacing w:line="560" w:lineRule="exact"/>
        <w:ind w:firstLine="600" w:firstLineChars="200"/>
        <w:jc w:val="center"/>
        <w:textAlignment w:val="auto"/>
        <w:rPr>
          <w:rFonts w:ascii="仿宋_GB2312"/>
          <w:color w:val="auto"/>
          <w:szCs w:val="30"/>
        </w:rPr>
      </w:pPr>
    </w:p>
    <w:p>
      <w:pPr>
        <w:pStyle w:val="2"/>
        <w:pageBreakBefore w:val="0"/>
        <w:kinsoku/>
        <w:wordWrap/>
        <w:overflowPunct/>
        <w:topLinePunct w:val="0"/>
        <w:autoSpaceDE/>
        <w:autoSpaceDN/>
        <w:bidi w:val="0"/>
        <w:adjustRightInd/>
        <w:snapToGrid/>
        <w:spacing w:before="0" w:after="0" w:line="560" w:lineRule="exact"/>
        <w:ind w:firstLine="643" w:firstLineChars="200"/>
        <w:textAlignment w:val="auto"/>
        <w:rPr>
          <w:rFonts w:ascii="宋体" w:hAnsi="宋体" w:eastAsia="宋体"/>
          <w:color w:val="auto"/>
          <w:sz w:val="32"/>
          <w:szCs w:val="32"/>
        </w:rPr>
      </w:pPr>
      <w:bookmarkStart w:id="0" w:name="_Toc68703827"/>
      <w:r>
        <w:rPr>
          <w:rFonts w:hint="eastAsia" w:ascii="宋体" w:hAnsi="宋体" w:eastAsia="宋体"/>
          <w:color w:val="auto"/>
          <w:sz w:val="32"/>
          <w:szCs w:val="32"/>
        </w:rPr>
        <w:t>一、基本情况</w:t>
      </w:r>
      <w:bookmarkEnd w:id="0"/>
    </w:p>
    <w:p>
      <w:pPr>
        <w:pStyle w:val="3"/>
        <w:pageBreakBefore w:val="0"/>
        <w:kinsoku/>
        <w:wordWrap/>
        <w:overflowPunct/>
        <w:topLinePunct w:val="0"/>
        <w:autoSpaceDE/>
        <w:autoSpaceDN/>
        <w:bidi w:val="0"/>
        <w:adjustRightInd/>
        <w:snapToGrid/>
        <w:spacing w:before="0" w:after="0" w:line="560" w:lineRule="exact"/>
        <w:ind w:firstLine="640" w:firstLineChars="200"/>
        <w:textAlignment w:val="auto"/>
        <w:rPr>
          <w:color w:val="auto"/>
        </w:rPr>
      </w:pPr>
      <w:bookmarkStart w:id="1" w:name="_Toc68703828"/>
      <w:r>
        <w:rPr>
          <w:rFonts w:hint="eastAsia" w:ascii="仿宋_GB2312" w:eastAsia="仿宋_GB2312"/>
          <w:b w:val="0"/>
          <w:bCs w:val="0"/>
          <w:color w:val="auto"/>
        </w:rPr>
        <w:t>（一）项目概况。</w:t>
      </w:r>
      <w:bookmarkEnd w:id="1"/>
    </w:p>
    <w:p>
      <w:r>
        <w:t>1、项目背景</w:t>
      </w:r>
    </w:p>
    <w:p>
      <w:r>
        <w:t>为贯彻落实习近平总书记“要把全国疾控体系建设作为一项根本性建设来抓，加强各级防控人才、科研力量、立法等建设，推进疾控体系现代化”的重要指示，不断完善全省疾病预防控制体系，补足公共卫生及应急管理体系短板，提升疾控机构核心能力。</w:t>
      </w:r>
    </w:p>
    <w:p>
      <w:pPr>
        <w:pageBreakBefore w:val="0"/>
        <w:kinsoku/>
        <w:wordWrap/>
        <w:overflowPunct/>
        <w:topLinePunct w:val="0"/>
        <w:autoSpaceDE/>
        <w:autoSpaceDN/>
        <w:bidi w:val="0"/>
        <w:adjustRightInd/>
        <w:snapToGrid/>
        <w:spacing w:line="560" w:lineRule="exact"/>
        <w:ind w:firstLine="600" w:firstLineChars="200"/>
        <w:textAlignment w:val="auto"/>
        <w:rPr>
          <w:rFonts w:ascii="仿宋_GB2312"/>
          <w:color w:val="auto"/>
        </w:rPr>
      </w:pPr>
      <w:r>
        <w:rPr>
          <w:rFonts w:hint="eastAsia" w:ascii="仿宋_GB2312"/>
          <w:color w:val="auto"/>
        </w:rPr>
        <w:t>2、主要内容</w:t>
      </w:r>
      <w:r>
        <w:rPr>
          <w:rFonts w:hint="eastAsia"/>
          <w:color w:val="auto"/>
        </w:rPr>
        <w:t>及</w:t>
      </w:r>
      <w:r>
        <w:rPr>
          <w:rFonts w:hint="eastAsia" w:ascii="仿宋_GB2312"/>
          <w:color w:val="auto"/>
        </w:rPr>
        <w:t>实施情况</w:t>
      </w:r>
    </w:p>
    <w:p>
      <w:pPr>
        <w:ind w:firstLine="600" w:firstLineChars="200"/>
      </w:pPr>
      <w:r>
        <w:t>主要内容：完善特克斯县疾病预防控制中心PCR实验室建设，加强疾病预防控制机构检验检测能力，提升疾控机构实验室装备水平，提高人员队伍能力，全面提升疾控中心在疾病监测预警防范、健康危害因素分析评价，补齐疫情防控工作中存在的短板弱项，着力抓重点、攻难点、强弱项、补短板，提高项目覆盖地区传染病、地方病、慢性病、环境卫生、学校卫生等工作能力水平。</w:t>
      </w:r>
    </w:p>
    <w:p>
      <w:pPr>
        <w:ind w:firstLine="600" w:firstLineChars="200"/>
      </w:pPr>
      <w:r>
        <w:t>实施情况：将特克斯县疾病预防控制中心建设成符合地区功能定位和发展规划的县级实验室检定机构，特克斯县疾控实验室硬件设施配置到位，显著提升县级疾控中心检验检测能力。</w:t>
      </w:r>
    </w:p>
    <w:p>
      <w:pPr>
        <w:pageBreakBefore w:val="0"/>
        <w:kinsoku/>
        <w:wordWrap/>
        <w:overflowPunct/>
        <w:topLinePunct w:val="0"/>
        <w:autoSpaceDE/>
        <w:autoSpaceDN/>
        <w:bidi w:val="0"/>
        <w:adjustRightInd/>
        <w:snapToGrid/>
        <w:spacing w:line="560" w:lineRule="exact"/>
        <w:ind w:firstLine="600" w:firstLineChars="200"/>
        <w:textAlignment w:val="auto"/>
        <w:rPr>
          <w:rFonts w:ascii="仿宋_GB2312"/>
          <w:color w:val="auto"/>
        </w:rPr>
      </w:pPr>
      <w:r>
        <w:rPr>
          <w:rFonts w:ascii="仿宋_GB2312"/>
          <w:color w:val="auto"/>
        </w:rPr>
        <w:t>3</w:t>
      </w:r>
      <w:r>
        <w:rPr>
          <w:rFonts w:hint="eastAsia" w:ascii="仿宋_GB2312"/>
          <w:color w:val="auto"/>
        </w:rPr>
        <w:t>、资金投入和使用情况</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资金投入情况：该项目年初预算数</w:t>
      </w:r>
      <w:r>
        <w:rPr>
          <w:rFonts w:hint="eastAsia"/>
          <w:color w:val="auto"/>
          <w:lang w:val="en-US" w:eastAsia="zh-CN"/>
        </w:rPr>
        <w:t>200</w:t>
      </w:r>
      <w:r>
        <w:rPr>
          <w:rFonts w:hint="eastAsia"/>
          <w:color w:val="auto"/>
        </w:rPr>
        <w:t>万元，全年预算数</w:t>
      </w:r>
      <w:r>
        <w:rPr>
          <w:rFonts w:hint="eastAsia"/>
          <w:color w:val="auto"/>
          <w:lang w:val="en-US" w:eastAsia="zh-CN"/>
        </w:rPr>
        <w:t>200</w:t>
      </w:r>
      <w:r>
        <w:rPr>
          <w:rFonts w:hint="eastAsia"/>
          <w:color w:val="auto"/>
        </w:rPr>
        <w:t>万元，实际总投入</w:t>
      </w:r>
      <w:r>
        <w:rPr>
          <w:rFonts w:hint="eastAsia"/>
          <w:color w:val="auto"/>
          <w:lang w:val="en-US" w:eastAsia="zh-CN"/>
        </w:rPr>
        <w:t>200</w:t>
      </w:r>
      <w:r>
        <w:rPr>
          <w:rFonts w:hint="eastAsia"/>
          <w:color w:val="auto"/>
        </w:rPr>
        <w:t>万元，该项目资金已全部落实到位，资金来源为</w:t>
      </w:r>
      <w:r>
        <w:rPr>
          <w:rFonts w:hint="eastAsia"/>
          <w:color w:val="auto"/>
          <w:lang w:val="en-US" w:eastAsia="zh-CN"/>
        </w:rPr>
        <w:t>中央直达资金</w:t>
      </w:r>
      <w:r>
        <w:rPr>
          <w:rFonts w:hint="eastAsia"/>
          <w:color w:val="auto"/>
        </w:rPr>
        <w:t>。</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资金使用情况：该项目年初预算数</w:t>
      </w:r>
      <w:r>
        <w:rPr>
          <w:rFonts w:hint="eastAsia"/>
          <w:color w:val="auto"/>
          <w:lang w:val="en-US" w:eastAsia="zh-CN"/>
        </w:rPr>
        <w:t>200</w:t>
      </w:r>
      <w:r>
        <w:rPr>
          <w:rFonts w:hint="eastAsia"/>
          <w:color w:val="auto"/>
        </w:rPr>
        <w:t>万元，全年预算数</w:t>
      </w:r>
      <w:r>
        <w:rPr>
          <w:rFonts w:hint="eastAsia"/>
          <w:color w:val="auto"/>
          <w:lang w:val="en-US" w:eastAsia="zh-CN"/>
        </w:rPr>
        <w:t>200</w:t>
      </w:r>
      <w:r>
        <w:rPr>
          <w:rFonts w:hint="eastAsia"/>
          <w:color w:val="auto"/>
        </w:rPr>
        <w:t>万元，全年执行数</w:t>
      </w:r>
      <w:r>
        <w:rPr>
          <w:rFonts w:hint="eastAsia"/>
          <w:color w:val="auto"/>
          <w:lang w:val="en-US" w:eastAsia="zh-CN"/>
        </w:rPr>
        <w:t>200</w:t>
      </w:r>
      <w:r>
        <w:rPr>
          <w:rFonts w:hint="eastAsia"/>
          <w:color w:val="auto"/>
        </w:rPr>
        <w:t>万元，预算执行率为</w:t>
      </w:r>
      <w:r>
        <w:rPr>
          <w:rFonts w:hint="eastAsia"/>
          <w:color w:val="auto"/>
          <w:lang w:val="en-US" w:eastAsia="zh-CN"/>
        </w:rPr>
        <w:t>100</w:t>
      </w:r>
      <w:r>
        <w:rPr>
          <w:rFonts w:hint="eastAsia"/>
          <w:color w:val="auto"/>
        </w:rPr>
        <w:t>%，用于设备购置成本</w:t>
      </w:r>
      <w:r>
        <w:rPr>
          <w:rFonts w:hint="eastAsia"/>
          <w:color w:val="auto"/>
          <w:lang w:val="en-US" w:eastAsia="zh-CN"/>
        </w:rPr>
        <w:t>200</w:t>
      </w:r>
      <w:r>
        <w:rPr>
          <w:rFonts w:hint="eastAsia"/>
          <w:color w:val="auto"/>
        </w:rPr>
        <w:t>万元。</w:t>
      </w:r>
    </w:p>
    <w:p>
      <w:pPr>
        <w:pStyle w:val="3"/>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b w:val="0"/>
          <w:bCs w:val="0"/>
          <w:color w:val="auto"/>
        </w:rPr>
      </w:pPr>
      <w:bookmarkStart w:id="2" w:name="_Toc68703829"/>
      <w:r>
        <w:rPr>
          <w:rFonts w:hint="eastAsia" w:ascii="仿宋_GB2312" w:eastAsia="仿宋_GB2312"/>
          <w:b w:val="0"/>
          <w:bCs w:val="0"/>
          <w:color w:val="auto"/>
        </w:rPr>
        <w:t>（二）项目绩效目标。</w:t>
      </w:r>
      <w:bookmarkEnd w:id="2"/>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bCs/>
          <w:color w:val="auto"/>
          <w:sz w:val="32"/>
          <w:szCs w:val="32"/>
        </w:rPr>
      </w:pPr>
      <w:bookmarkStart w:id="3" w:name="_Toc68703830"/>
      <w:r>
        <w:rPr>
          <w:rFonts w:hint="eastAsia" w:ascii="仿宋_GB2312"/>
          <w:bCs/>
          <w:color w:val="auto"/>
          <w:sz w:val="32"/>
          <w:szCs w:val="32"/>
        </w:rPr>
        <w:t>1、总体目标：加强疾病预防控制机构能力建设。贯彻落实预防为主和以基层为重点的卫生健康工作方针。加强县级疾控机构能力建设，完善公共卫生实验室网络体系，提升疾控机构实验室装备水平，提高人员队伍能力，全面提升疾控中心在疾病监测预警防范、健康危害因素分析评价，补齐疫情防控工作中存在的短板弱项，着力抓重点、攻难点、强弱项、补短板，提高项目覆盖地区传染病、地方病、慢性病、环境卫生、学校卫生等工作能力水平。</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bCs/>
          <w:color w:val="auto"/>
          <w:sz w:val="32"/>
          <w:szCs w:val="32"/>
        </w:rPr>
      </w:pPr>
      <w:r>
        <w:rPr>
          <w:rFonts w:hint="eastAsia" w:ascii="仿宋_GB2312"/>
          <w:bCs/>
          <w:color w:val="auto"/>
          <w:sz w:val="32"/>
          <w:szCs w:val="32"/>
        </w:rPr>
        <w:t>2、阶段性目标：提高县级疾控机构基本检验能力，坚持“预防为主”的方针，以人民群众的健康需求引领我市疾病预防控制体系建设，切实解决人民群众的主要健康问题和我市主要公共卫生问题。对照标准和要求，加强县疾控中心基础设施、技术装备、学科人才和信息化建设，强化前瞻性技术储备，夯实疾病预防控制和城市公共卫生安全保障基础，守护城市公共安全底线。</w:t>
      </w:r>
    </w:p>
    <w:p>
      <w:pPr>
        <w:pStyle w:val="2"/>
        <w:pageBreakBefore w:val="0"/>
        <w:kinsoku/>
        <w:wordWrap/>
        <w:overflowPunct/>
        <w:topLinePunct w:val="0"/>
        <w:autoSpaceDE/>
        <w:autoSpaceDN/>
        <w:bidi w:val="0"/>
        <w:adjustRightInd/>
        <w:snapToGrid/>
        <w:spacing w:before="0" w:after="0" w:line="560" w:lineRule="exact"/>
        <w:ind w:firstLine="643" w:firstLineChars="200"/>
        <w:textAlignment w:val="auto"/>
        <w:rPr>
          <w:rFonts w:ascii="宋体" w:hAnsi="宋体" w:eastAsia="宋体"/>
          <w:color w:val="auto"/>
          <w:sz w:val="32"/>
          <w:szCs w:val="32"/>
        </w:rPr>
      </w:pPr>
      <w:r>
        <w:rPr>
          <w:rFonts w:hint="eastAsia" w:ascii="宋体" w:hAnsi="宋体" w:eastAsia="宋体"/>
          <w:color w:val="auto"/>
          <w:sz w:val="32"/>
          <w:szCs w:val="32"/>
        </w:rPr>
        <w:t>二、绩效评价工作开展情况</w:t>
      </w:r>
      <w:bookmarkEnd w:id="3"/>
    </w:p>
    <w:p>
      <w:pPr>
        <w:pStyle w:val="3"/>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b w:val="0"/>
          <w:bCs w:val="0"/>
          <w:color w:val="auto"/>
        </w:rPr>
      </w:pPr>
      <w:bookmarkStart w:id="4" w:name="_Toc68703831"/>
      <w:r>
        <w:rPr>
          <w:rFonts w:hint="eastAsia" w:ascii="仿宋_GB2312" w:eastAsia="仿宋_GB2312"/>
          <w:b w:val="0"/>
          <w:bCs w:val="0"/>
          <w:color w:val="auto"/>
        </w:rPr>
        <w:t>（一）绩效评价目的、对象和范围。</w:t>
      </w:r>
      <w:bookmarkEnd w:id="4"/>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1、绩效评价目的：</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bCs/>
          <w:color w:val="auto"/>
          <w:sz w:val="32"/>
          <w:szCs w:val="32"/>
        </w:rPr>
      </w:pPr>
      <w:r>
        <w:rPr>
          <w:rFonts w:hint="eastAsia" w:ascii="仿宋_GB2312"/>
          <w:bCs/>
          <w:color w:val="auto"/>
          <w:sz w:val="32"/>
          <w:szCs w:val="32"/>
        </w:rPr>
        <w:t>通过绩效评价，客观地评判项目的管理绩效，了解和掌握医疗服务与保障能力提升（医疗卫生机构能力建设）补助资金专项经费的具体情况，评价该项目资金安排的科学性、合理性、规范性和资金的使用成效，及时总结项目管理经验，完善项目管理办法，提高项目管理水平和资金使用效益。促使我</w:t>
      </w:r>
      <w:r>
        <w:rPr>
          <w:rFonts w:hint="eastAsia" w:ascii="仿宋_GB2312"/>
          <w:bCs/>
          <w:color w:val="auto"/>
          <w:sz w:val="32"/>
          <w:szCs w:val="32"/>
          <w:lang w:val="en-US" w:eastAsia="zh-CN"/>
        </w:rPr>
        <w:t>中心</w:t>
      </w:r>
      <w:r>
        <w:rPr>
          <w:rFonts w:hint="eastAsia" w:ascii="仿宋_GB2312"/>
          <w:bCs/>
          <w:color w:val="auto"/>
          <w:sz w:val="32"/>
          <w:szCs w:val="32"/>
        </w:rPr>
        <w:t>根据绩效评价中发现的问题，认真加以整改，及时调整和完善单位的工作计划和绩效目标并加强项目管理，提高管理水平，同时为项目后续资金投入、分配和管理提供决策依据。</w:t>
      </w:r>
    </w:p>
    <w:p>
      <w:pPr>
        <w:pageBreakBefore w:val="0"/>
        <w:kinsoku/>
        <w:wordWrap/>
        <w:overflowPunct/>
        <w:topLinePunct w:val="0"/>
        <w:autoSpaceDE/>
        <w:autoSpaceDN/>
        <w:bidi w:val="0"/>
        <w:adjustRightInd/>
        <w:snapToGrid/>
        <w:spacing w:line="560" w:lineRule="exact"/>
        <w:ind w:firstLine="600" w:firstLineChars="200"/>
        <w:jc w:val="left"/>
        <w:textAlignment w:val="auto"/>
        <w:rPr>
          <w:color w:val="auto"/>
        </w:rPr>
      </w:pPr>
      <w:r>
        <w:rPr>
          <w:rFonts w:hint="eastAsia"/>
          <w:color w:val="auto"/>
        </w:rPr>
        <w:t>2、绩效评价对象：</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color w:val="auto"/>
        </w:rPr>
      </w:pPr>
      <w:r>
        <w:rPr>
          <w:rFonts w:hint="eastAsia"/>
          <w:color w:val="auto"/>
        </w:rPr>
        <w:t>医疗服务与保障能力提升（医疗卫生机构能力建设）补助资金专项经费</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3、绩效评价范围：</w:t>
      </w:r>
    </w:p>
    <w:p>
      <w:pPr>
        <w:spacing w:line="360" w:lineRule="auto"/>
        <w:ind w:firstLine="600" w:firstLineChars="200"/>
        <w:rPr>
          <w:color w:val="auto"/>
        </w:rPr>
      </w:pPr>
      <w:r>
        <w:rPr>
          <w:rFonts w:hint="eastAsia"/>
          <w:color w:val="auto"/>
        </w:rPr>
        <w:t>本次评价从项目决策（包括绩效目标、决策过程）、项目管理（包括项目资金、项目实施）、项目产出（包括项目产出数量、产出质量、产出时效和产出成本）项目效益四个维度进行医疗服务与保障能力提升（医疗卫生机构能力建设）补助资金专项经费评价，评价核心为专项资金的支出完成情况和效果。</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p>
    <w:p>
      <w:pPr>
        <w:pStyle w:val="3"/>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b w:val="0"/>
          <w:bCs w:val="0"/>
          <w:color w:val="auto"/>
        </w:rPr>
      </w:pPr>
      <w:bookmarkStart w:id="5" w:name="_Toc68703832"/>
      <w:r>
        <w:rPr>
          <w:rFonts w:hint="eastAsia" w:ascii="仿宋_GB2312" w:eastAsia="仿宋_GB2312"/>
          <w:b w:val="0"/>
          <w:bCs w:val="0"/>
          <w:color w:val="auto"/>
        </w:rPr>
        <w:t>（二）绩效评价原则、评价指标体系、评价方法、评价标准等。</w:t>
      </w:r>
      <w:bookmarkEnd w:id="5"/>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1、绩效评价原则</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bCs/>
          <w:color w:val="auto"/>
          <w:sz w:val="32"/>
          <w:szCs w:val="32"/>
        </w:rPr>
      </w:pPr>
      <w:r>
        <w:rPr>
          <w:rFonts w:hint="eastAsia" w:ascii="仿宋_GB2312"/>
          <w:bCs/>
          <w:color w:val="auto"/>
          <w:sz w:val="32"/>
          <w:szCs w:val="32"/>
        </w:rPr>
        <w:t>（一）科学公正。本次项目支出绩效评价运用科学合理的方法，按照规范的程序，对项目绩效进行客观、公正的反映。</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bCs/>
          <w:color w:val="auto"/>
          <w:sz w:val="32"/>
          <w:szCs w:val="32"/>
        </w:rPr>
      </w:pPr>
      <w:r>
        <w:rPr>
          <w:rFonts w:hint="eastAsia" w:ascii="仿宋_GB2312"/>
          <w:bCs/>
          <w:color w:val="auto"/>
          <w:sz w:val="32"/>
          <w:szCs w:val="32"/>
        </w:rPr>
        <w:t>（二）统筹兼顾。本次项目支出绩效评价由本单位自主实施，即“谁支出、谁自评”。</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bCs/>
          <w:color w:val="auto"/>
          <w:sz w:val="32"/>
          <w:szCs w:val="32"/>
        </w:rPr>
      </w:pPr>
      <w:r>
        <w:rPr>
          <w:rFonts w:hint="eastAsia" w:ascii="仿宋_GB2312"/>
          <w:bCs/>
          <w:color w:val="auto"/>
          <w:sz w:val="32"/>
          <w:szCs w:val="32"/>
        </w:rPr>
        <w:t>（三）激励约束。本次项目支出绩效评价结果与预算安排、政策调整、改进管理实质性挂钩，体现奖优罚劣和激励相容导向，有效要安排、低效要压减、无效要问责。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bCs/>
          <w:color w:val="auto"/>
          <w:sz w:val="32"/>
          <w:szCs w:val="32"/>
        </w:rPr>
      </w:pPr>
      <w:r>
        <w:rPr>
          <w:rFonts w:hint="eastAsia" w:ascii="仿宋_GB2312"/>
          <w:bCs/>
          <w:color w:val="auto"/>
          <w:sz w:val="32"/>
          <w:szCs w:val="32"/>
        </w:rPr>
        <w:t>（四）公开透明。本次项目支出绩效评价结果已依法依规公开在</w:t>
      </w:r>
      <w:r>
        <w:rPr>
          <w:rFonts w:hint="eastAsia" w:ascii="仿宋_GB2312"/>
          <w:bCs/>
          <w:color w:val="auto"/>
          <w:sz w:val="32"/>
          <w:szCs w:val="32"/>
          <w:lang w:val="en-US" w:eastAsia="zh-CN"/>
        </w:rPr>
        <w:t>特克斯县人民政府网站上</w:t>
      </w:r>
      <w:r>
        <w:rPr>
          <w:rFonts w:hint="eastAsia" w:ascii="仿宋_GB2312"/>
          <w:bCs/>
          <w:color w:val="auto"/>
          <w:sz w:val="32"/>
          <w:szCs w:val="32"/>
        </w:rPr>
        <w:t>，并自觉接受社会监督。</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2、评价指标体系（附表说明）</w:t>
      </w:r>
    </w:p>
    <w:p>
      <w:pPr>
        <w:pStyle w:val="3"/>
        <w:pageBreakBefore w:val="0"/>
        <w:kinsoku/>
        <w:wordWrap/>
        <w:overflowPunct/>
        <w:topLinePunct w:val="0"/>
        <w:autoSpaceDE/>
        <w:autoSpaceDN/>
        <w:bidi w:val="0"/>
        <w:adjustRightInd/>
        <w:snapToGrid/>
        <w:spacing w:before="0" w:after="0" w:line="560" w:lineRule="exact"/>
        <w:ind w:firstLine="600" w:firstLineChars="200"/>
        <w:jc w:val="center"/>
        <w:textAlignment w:val="auto"/>
        <w:rPr>
          <w:rFonts w:ascii="Times New Roman" w:hAnsi="Times New Roman" w:eastAsia="仿宋_GB2312" w:cs="Times New Roman"/>
          <w:b w:val="0"/>
          <w:bCs w:val="0"/>
          <w:color w:val="auto"/>
          <w:sz w:val="30"/>
          <w:szCs w:val="24"/>
        </w:rPr>
      </w:pPr>
      <w:r>
        <w:rPr>
          <w:rFonts w:hint="eastAsia" w:ascii="Times New Roman" w:hAnsi="Times New Roman" w:eastAsia="仿宋_GB2312" w:cs="Times New Roman"/>
          <w:b w:val="0"/>
          <w:bCs w:val="0"/>
          <w:color w:val="auto"/>
          <w:sz w:val="30"/>
          <w:szCs w:val="24"/>
        </w:rPr>
        <w:t>医疗服务与保障能力提升（医疗卫生机构能力建设）补助资金专项经费项目支出绩效评价指标体系</w:t>
      </w:r>
    </w:p>
    <w:tbl>
      <w:tblPr>
        <w:tblStyle w:val="6"/>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eastAsia="宋体" w:cs="宋体"/>
                <w:b/>
                <w:bCs/>
                <w:color w:val="auto"/>
                <w:kern w:val="0"/>
                <w:sz w:val="22"/>
              </w:rPr>
            </w:pPr>
            <w:r>
              <w:rPr>
                <w:rFonts w:hint="eastAsia" w:ascii="宋体" w:hAnsi="宋体" w:eastAsia="宋体" w:cs="宋体"/>
                <w:b/>
                <w:bCs/>
                <w:color w:val="auto"/>
                <w:kern w:val="0"/>
                <w:sz w:val="22"/>
              </w:rPr>
              <w:t>一级指标</w:t>
            </w:r>
          </w:p>
        </w:tc>
        <w:tc>
          <w:tcPr>
            <w:tcW w:w="1478"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eastAsia="宋体" w:cs="宋体"/>
                <w:b/>
                <w:bCs/>
                <w:color w:val="auto"/>
                <w:kern w:val="0"/>
                <w:sz w:val="22"/>
              </w:rPr>
            </w:pPr>
            <w:r>
              <w:rPr>
                <w:rFonts w:hint="eastAsia" w:ascii="宋体" w:hAnsi="宋体" w:eastAsia="宋体" w:cs="宋体"/>
                <w:b/>
                <w:bCs/>
                <w:color w:val="auto"/>
                <w:kern w:val="0"/>
                <w:sz w:val="22"/>
              </w:rPr>
              <w:t>二级指标</w:t>
            </w:r>
          </w:p>
        </w:tc>
        <w:tc>
          <w:tcPr>
            <w:tcW w:w="1875" w:type="dxa"/>
            <w:tcBorders>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eastAsia="宋体" w:cs="宋体"/>
                <w:b/>
                <w:bCs/>
                <w:color w:val="auto"/>
                <w:kern w:val="0"/>
                <w:sz w:val="22"/>
              </w:rPr>
            </w:pPr>
            <w:r>
              <w:rPr>
                <w:rFonts w:hint="eastAsia" w:ascii="宋体" w:hAnsi="宋体" w:eastAsia="宋体" w:cs="宋体"/>
                <w:b/>
                <w:bCs/>
                <w:color w:val="auto"/>
                <w:kern w:val="0"/>
                <w:sz w:val="22"/>
              </w:rPr>
              <w:t>三级指标</w:t>
            </w:r>
          </w:p>
        </w:tc>
        <w:tc>
          <w:tcPr>
            <w:tcW w:w="3885" w:type="dxa"/>
            <w:tcBorders>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eastAsia="宋体" w:cs="宋体"/>
                <w:b/>
                <w:bCs/>
                <w:color w:val="auto"/>
                <w:kern w:val="0"/>
                <w:sz w:val="22"/>
              </w:rPr>
            </w:pPr>
            <w:r>
              <w:rPr>
                <w:rFonts w:hint="eastAsia" w:ascii="宋体" w:hAnsi="宋体" w:eastAsia="宋体" w:cs="宋体"/>
                <w:b/>
                <w:bCs/>
                <w:color w:val="auto"/>
                <w:kern w:val="0"/>
                <w:sz w:val="22"/>
              </w:rPr>
              <w:t>指标解释</w:t>
            </w:r>
          </w:p>
        </w:tc>
        <w:tc>
          <w:tcPr>
            <w:tcW w:w="990" w:type="dxa"/>
            <w:tcBorders>
              <w:lef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eastAsia="宋体" w:cs="宋体"/>
                <w:b/>
                <w:bCs/>
                <w:color w:val="auto"/>
                <w:kern w:val="0"/>
                <w:sz w:val="22"/>
              </w:rPr>
            </w:pPr>
            <w:r>
              <w:rPr>
                <w:rFonts w:hint="eastAsia" w:ascii="宋体" w:hAnsi="宋体" w:eastAsia="宋体" w:cs="宋体"/>
                <w:b/>
                <w:bCs/>
                <w:color w:val="auto"/>
                <w:kern w:val="0"/>
                <w:sz w:val="22"/>
              </w:rPr>
              <w:t>分值</w:t>
            </w:r>
          </w:p>
        </w:tc>
        <w:tc>
          <w:tcPr>
            <w:tcW w:w="87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eastAsia="宋体" w:cs="宋体"/>
                <w:b/>
                <w:bCs/>
                <w:color w:val="auto"/>
                <w:kern w:val="0"/>
                <w:sz w:val="22"/>
              </w:rPr>
            </w:pPr>
            <w:r>
              <w:rPr>
                <w:rFonts w:hint="eastAsia" w:ascii="宋体" w:hAnsi="宋体" w:eastAsia="宋体" w:cs="宋体"/>
                <w:b/>
                <w:bCs/>
                <w:color w:val="auto"/>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决策</w:t>
            </w:r>
          </w:p>
        </w:tc>
        <w:tc>
          <w:tcPr>
            <w:tcW w:w="1478"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both"/>
              <w:textAlignment w:val="auto"/>
              <w:rPr>
                <w:rFonts w:ascii="宋体" w:hAnsi="宋体" w:cs="宋体"/>
                <w:color w:val="auto"/>
                <w:kern w:val="0"/>
                <w:sz w:val="22"/>
              </w:rPr>
            </w:pPr>
            <w:r>
              <w:rPr>
                <w:rFonts w:hint="eastAsia" w:ascii="宋体" w:hAnsi="宋体" w:cs="宋体"/>
                <w:color w:val="auto"/>
                <w:kern w:val="0"/>
                <w:sz w:val="22"/>
              </w:rPr>
              <w:t>项目立项</w:t>
            </w:r>
          </w:p>
        </w:tc>
        <w:tc>
          <w:tcPr>
            <w:tcW w:w="1875" w:type="dxa"/>
            <w:tcBorders>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both"/>
              <w:textAlignment w:val="auto"/>
              <w:rPr>
                <w:rFonts w:ascii="宋体" w:hAnsi="宋体" w:cs="宋体"/>
                <w:color w:val="auto"/>
                <w:kern w:val="0"/>
                <w:sz w:val="22"/>
              </w:rPr>
            </w:pPr>
            <w:r>
              <w:rPr>
                <w:rFonts w:hint="eastAsia" w:ascii="宋体" w:hAnsi="宋体" w:cs="宋体"/>
                <w:color w:val="auto"/>
                <w:kern w:val="0"/>
                <w:sz w:val="22"/>
              </w:rPr>
              <w:t>立项依据</w:t>
            </w:r>
          </w:p>
          <w:p>
            <w:pPr>
              <w:keepNext w:val="0"/>
              <w:keepLines w:val="0"/>
              <w:pageBreakBefore w:val="0"/>
              <w:widowControl/>
              <w:kinsoku/>
              <w:wordWrap/>
              <w:overflowPunct/>
              <w:topLinePunct w:val="0"/>
              <w:autoSpaceDE/>
              <w:autoSpaceDN/>
              <w:bidi w:val="0"/>
              <w:adjustRightInd/>
              <w:snapToGrid/>
              <w:spacing w:line="480" w:lineRule="exact"/>
              <w:ind w:firstLine="0" w:firstLineChars="0"/>
              <w:jc w:val="both"/>
              <w:textAlignment w:val="auto"/>
              <w:rPr>
                <w:rFonts w:ascii="宋体" w:hAnsi="宋体" w:cs="宋体"/>
                <w:color w:val="auto"/>
                <w:kern w:val="0"/>
                <w:sz w:val="22"/>
              </w:rPr>
            </w:pPr>
            <w:r>
              <w:rPr>
                <w:rFonts w:hint="eastAsia" w:ascii="宋体" w:hAnsi="宋体" w:cs="宋体"/>
                <w:color w:val="auto"/>
                <w:kern w:val="0"/>
                <w:sz w:val="22"/>
              </w:rPr>
              <w:t>充分性</w:t>
            </w:r>
          </w:p>
        </w:tc>
        <w:tc>
          <w:tcPr>
            <w:tcW w:w="3885" w:type="dxa"/>
            <w:tcBorders>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both"/>
              <w:textAlignment w:val="auto"/>
              <w:rPr>
                <w:rFonts w:ascii="宋体" w:hAnsi="宋体" w:cs="宋体"/>
                <w:color w:val="auto"/>
                <w:kern w:val="0"/>
                <w:sz w:val="22"/>
              </w:rPr>
            </w:pPr>
            <w:r>
              <w:rPr>
                <w:rFonts w:hint="eastAsia" w:ascii="宋体" w:hAnsi="宋体" w:cs="宋体"/>
                <w:color w:val="auto"/>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rFonts w:hint="eastAsia" w:eastAsia="仿宋_GB2312"/>
                <w:color w:val="auto"/>
                <w:lang w:val="en-US" w:eastAsia="zh-CN"/>
              </w:rPr>
            </w:pPr>
            <w:r>
              <w:rPr>
                <w:rFonts w:hint="eastAsia"/>
                <w:color w:val="auto"/>
                <w:lang w:val="en-US" w:eastAsia="zh-CN"/>
              </w:rPr>
              <w:t>5</w:t>
            </w:r>
          </w:p>
        </w:tc>
        <w:tc>
          <w:tcPr>
            <w:tcW w:w="874" w:type="dxa"/>
            <w:tcBorders>
              <w:bottom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rFonts w:hint="eastAsia" w:eastAsia="仿宋_GB2312"/>
                <w:color w:val="auto"/>
                <w:lang w:val="en-US" w:eastAsia="zh-CN"/>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p>
        </w:tc>
        <w:tc>
          <w:tcPr>
            <w:tcW w:w="1478"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p>
        </w:tc>
        <w:tc>
          <w:tcPr>
            <w:tcW w:w="1875" w:type="dxa"/>
            <w:tcBorders>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both"/>
              <w:textAlignment w:val="auto"/>
              <w:rPr>
                <w:rFonts w:ascii="宋体" w:hAnsi="宋体" w:cs="宋体"/>
                <w:color w:val="auto"/>
                <w:kern w:val="0"/>
                <w:sz w:val="22"/>
              </w:rPr>
            </w:pPr>
            <w:r>
              <w:rPr>
                <w:rFonts w:hint="eastAsia" w:ascii="宋体" w:hAnsi="宋体" w:cs="宋体"/>
                <w:color w:val="auto"/>
                <w:kern w:val="0"/>
                <w:sz w:val="22"/>
              </w:rPr>
              <w:t>立项程序</w:t>
            </w:r>
          </w:p>
          <w:p>
            <w:pPr>
              <w:keepNext w:val="0"/>
              <w:keepLines w:val="0"/>
              <w:pageBreakBefore w:val="0"/>
              <w:widowControl/>
              <w:kinsoku/>
              <w:wordWrap/>
              <w:overflowPunct/>
              <w:topLinePunct w:val="0"/>
              <w:autoSpaceDE/>
              <w:autoSpaceDN/>
              <w:bidi w:val="0"/>
              <w:adjustRightInd/>
              <w:snapToGrid/>
              <w:spacing w:line="480" w:lineRule="exact"/>
              <w:ind w:firstLine="0" w:firstLineChars="0"/>
              <w:jc w:val="both"/>
              <w:textAlignment w:val="auto"/>
              <w:rPr>
                <w:rFonts w:ascii="宋体" w:hAnsi="宋体" w:cs="宋体"/>
                <w:color w:val="auto"/>
                <w:kern w:val="0"/>
                <w:sz w:val="22"/>
              </w:rPr>
            </w:pPr>
            <w:r>
              <w:rPr>
                <w:rFonts w:hint="eastAsia" w:ascii="宋体" w:hAnsi="宋体" w:cs="宋体"/>
                <w:color w:val="auto"/>
                <w:kern w:val="0"/>
                <w:sz w:val="22"/>
              </w:rPr>
              <w:t>规范性</w:t>
            </w:r>
          </w:p>
        </w:tc>
        <w:tc>
          <w:tcPr>
            <w:tcW w:w="3885" w:type="dxa"/>
            <w:tcBorders>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both"/>
              <w:textAlignment w:val="auto"/>
              <w:rPr>
                <w:rFonts w:ascii="宋体" w:hAnsi="宋体" w:cs="宋体"/>
                <w:color w:val="auto"/>
                <w:kern w:val="0"/>
                <w:sz w:val="22"/>
              </w:rPr>
            </w:pPr>
            <w:r>
              <w:rPr>
                <w:rFonts w:hint="eastAsia" w:ascii="宋体" w:hAnsi="宋体" w:cs="宋体"/>
                <w:color w:val="auto"/>
                <w:kern w:val="0"/>
                <w:sz w:val="22"/>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color w:val="auto"/>
              </w:rPr>
            </w:pPr>
            <w:r>
              <w:rPr>
                <w:rFonts w:hint="eastAsia"/>
                <w:color w:val="auto"/>
                <w:lang w:val="en-US" w:eastAsia="zh-CN"/>
              </w:rPr>
              <w:t>5</w:t>
            </w:r>
          </w:p>
        </w:tc>
        <w:tc>
          <w:tcPr>
            <w:tcW w:w="874" w:type="dxa"/>
            <w:shd w:val="clear" w:color="auto"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rFonts w:hint="eastAsia" w:eastAsia="仿宋_GB2312"/>
                <w:color w:val="auto"/>
                <w:lang w:val="en-US" w:eastAsia="zh-CN"/>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p>
        </w:tc>
        <w:tc>
          <w:tcPr>
            <w:tcW w:w="1478"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绩效目标</w:t>
            </w:r>
          </w:p>
        </w:tc>
        <w:tc>
          <w:tcPr>
            <w:tcW w:w="1875" w:type="dxa"/>
            <w:tcBorders>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both"/>
              <w:textAlignment w:val="auto"/>
              <w:rPr>
                <w:rFonts w:ascii="宋体" w:hAnsi="宋体" w:cs="宋体"/>
                <w:color w:val="auto"/>
                <w:kern w:val="0"/>
                <w:sz w:val="22"/>
              </w:rPr>
            </w:pPr>
            <w:r>
              <w:rPr>
                <w:rFonts w:hint="eastAsia" w:ascii="宋体" w:hAnsi="宋体" w:cs="宋体"/>
                <w:color w:val="auto"/>
                <w:kern w:val="0"/>
                <w:sz w:val="22"/>
              </w:rPr>
              <w:t>绩效目标</w:t>
            </w:r>
          </w:p>
          <w:p>
            <w:pPr>
              <w:keepNext w:val="0"/>
              <w:keepLines w:val="0"/>
              <w:pageBreakBefore w:val="0"/>
              <w:widowControl/>
              <w:kinsoku/>
              <w:wordWrap/>
              <w:overflowPunct/>
              <w:topLinePunct w:val="0"/>
              <w:autoSpaceDE/>
              <w:autoSpaceDN/>
              <w:bidi w:val="0"/>
              <w:adjustRightInd/>
              <w:snapToGrid/>
              <w:spacing w:line="480" w:lineRule="exact"/>
              <w:ind w:firstLine="0" w:firstLineChars="0"/>
              <w:jc w:val="both"/>
              <w:textAlignment w:val="auto"/>
              <w:rPr>
                <w:rFonts w:ascii="宋体" w:hAnsi="宋体" w:cs="宋体"/>
                <w:color w:val="auto"/>
                <w:kern w:val="0"/>
                <w:sz w:val="22"/>
              </w:rPr>
            </w:pPr>
            <w:r>
              <w:rPr>
                <w:rFonts w:hint="eastAsia" w:ascii="宋体" w:hAnsi="宋体" w:cs="宋体"/>
                <w:color w:val="auto"/>
                <w:kern w:val="0"/>
                <w:sz w:val="22"/>
              </w:rPr>
              <w:t>合理性</w:t>
            </w:r>
          </w:p>
        </w:tc>
        <w:tc>
          <w:tcPr>
            <w:tcW w:w="3885" w:type="dxa"/>
            <w:tcBorders>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color w:val="auto"/>
              </w:rPr>
            </w:pPr>
            <w:r>
              <w:rPr>
                <w:rFonts w:hint="eastAsia"/>
                <w:color w:val="auto"/>
                <w:lang w:val="en-US" w:eastAsia="zh-CN"/>
              </w:rPr>
              <w:t>5</w:t>
            </w:r>
          </w:p>
        </w:tc>
        <w:tc>
          <w:tcPr>
            <w:tcW w:w="874" w:type="dxa"/>
            <w:shd w:val="clear" w:color="000000"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rFonts w:hint="eastAsia" w:eastAsia="仿宋_GB2312"/>
                <w:color w:val="auto"/>
                <w:lang w:val="en-US" w:eastAsia="zh-CN"/>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p>
        </w:tc>
        <w:tc>
          <w:tcPr>
            <w:tcW w:w="1478"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p>
        </w:tc>
        <w:tc>
          <w:tcPr>
            <w:tcW w:w="1875" w:type="dxa"/>
            <w:tcBorders>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both"/>
              <w:textAlignment w:val="auto"/>
              <w:rPr>
                <w:rFonts w:ascii="宋体" w:hAnsi="宋体" w:cs="宋体"/>
                <w:color w:val="auto"/>
                <w:kern w:val="0"/>
                <w:sz w:val="22"/>
              </w:rPr>
            </w:pPr>
            <w:r>
              <w:rPr>
                <w:rFonts w:hint="eastAsia" w:ascii="宋体" w:hAnsi="宋体" w:cs="宋体"/>
                <w:color w:val="auto"/>
                <w:kern w:val="0"/>
                <w:sz w:val="22"/>
              </w:rPr>
              <w:t>绩效指标</w:t>
            </w:r>
          </w:p>
          <w:p>
            <w:pPr>
              <w:keepNext w:val="0"/>
              <w:keepLines w:val="0"/>
              <w:pageBreakBefore w:val="0"/>
              <w:widowControl/>
              <w:kinsoku/>
              <w:wordWrap/>
              <w:overflowPunct/>
              <w:topLinePunct w:val="0"/>
              <w:autoSpaceDE/>
              <w:autoSpaceDN/>
              <w:bidi w:val="0"/>
              <w:adjustRightInd/>
              <w:snapToGrid/>
              <w:spacing w:line="480" w:lineRule="exact"/>
              <w:ind w:firstLine="0" w:firstLineChars="0"/>
              <w:jc w:val="both"/>
              <w:textAlignment w:val="auto"/>
              <w:rPr>
                <w:rFonts w:ascii="宋体" w:hAnsi="宋体" w:cs="宋体"/>
                <w:color w:val="auto"/>
                <w:kern w:val="0"/>
                <w:sz w:val="22"/>
              </w:rPr>
            </w:pPr>
            <w:r>
              <w:rPr>
                <w:rFonts w:hint="eastAsia" w:ascii="宋体" w:hAnsi="宋体" w:cs="宋体"/>
                <w:color w:val="auto"/>
                <w:kern w:val="0"/>
                <w:sz w:val="22"/>
              </w:rPr>
              <w:t>明确性</w:t>
            </w:r>
          </w:p>
        </w:tc>
        <w:tc>
          <w:tcPr>
            <w:tcW w:w="3885" w:type="dxa"/>
            <w:tcBorders>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color w:val="auto"/>
              </w:rPr>
            </w:pPr>
            <w:r>
              <w:rPr>
                <w:rFonts w:hint="eastAsia"/>
                <w:color w:val="auto"/>
                <w:lang w:val="en-US" w:eastAsia="zh-CN"/>
              </w:rPr>
              <w:t>5</w:t>
            </w:r>
          </w:p>
        </w:tc>
        <w:tc>
          <w:tcPr>
            <w:tcW w:w="874" w:type="dxa"/>
            <w:tcBorders>
              <w:bottom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rFonts w:hint="eastAsia" w:eastAsia="仿宋_GB2312"/>
                <w:color w:val="auto"/>
                <w:lang w:val="en-US" w:eastAsia="zh-CN"/>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p>
        </w:tc>
        <w:tc>
          <w:tcPr>
            <w:tcW w:w="1478"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资金投入</w:t>
            </w:r>
          </w:p>
          <w:p>
            <w:pPr>
              <w:keepNext w:val="0"/>
              <w:keepLines w:val="0"/>
              <w:pageBreakBefore w:val="0"/>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p>
        </w:tc>
        <w:tc>
          <w:tcPr>
            <w:tcW w:w="1875" w:type="dxa"/>
            <w:tcBorders>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both"/>
              <w:textAlignment w:val="auto"/>
              <w:rPr>
                <w:rFonts w:ascii="宋体" w:hAnsi="宋体" w:cs="宋体"/>
                <w:color w:val="auto"/>
                <w:kern w:val="0"/>
                <w:sz w:val="22"/>
              </w:rPr>
            </w:pPr>
            <w:r>
              <w:rPr>
                <w:rFonts w:hint="eastAsia" w:ascii="宋体" w:hAnsi="宋体" w:cs="宋体"/>
                <w:color w:val="auto"/>
                <w:kern w:val="0"/>
                <w:sz w:val="22"/>
              </w:rPr>
              <w:t>预算编制</w:t>
            </w:r>
          </w:p>
          <w:p>
            <w:pPr>
              <w:keepNext w:val="0"/>
              <w:keepLines w:val="0"/>
              <w:pageBreakBefore w:val="0"/>
              <w:widowControl/>
              <w:kinsoku/>
              <w:wordWrap/>
              <w:overflowPunct/>
              <w:topLinePunct w:val="0"/>
              <w:autoSpaceDE/>
              <w:autoSpaceDN/>
              <w:bidi w:val="0"/>
              <w:adjustRightInd/>
              <w:snapToGrid/>
              <w:spacing w:line="480" w:lineRule="exact"/>
              <w:ind w:firstLine="0" w:firstLineChars="0"/>
              <w:jc w:val="both"/>
              <w:textAlignment w:val="auto"/>
              <w:rPr>
                <w:rFonts w:ascii="宋体" w:hAnsi="宋体" w:cs="宋体"/>
                <w:color w:val="auto"/>
                <w:kern w:val="0"/>
                <w:sz w:val="22"/>
              </w:rPr>
            </w:pPr>
            <w:r>
              <w:rPr>
                <w:rFonts w:hint="eastAsia" w:ascii="宋体" w:hAnsi="宋体" w:cs="宋体"/>
                <w:color w:val="auto"/>
                <w:kern w:val="0"/>
                <w:sz w:val="22"/>
              </w:rPr>
              <w:t>科学性</w:t>
            </w:r>
          </w:p>
        </w:tc>
        <w:tc>
          <w:tcPr>
            <w:tcW w:w="3885" w:type="dxa"/>
            <w:tcBorders>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color w:val="auto"/>
              </w:rPr>
            </w:pPr>
            <w:r>
              <w:rPr>
                <w:rFonts w:hint="eastAsia"/>
                <w:color w:val="auto"/>
                <w:lang w:val="en-US" w:eastAsia="zh-CN"/>
              </w:rPr>
              <w:t>5</w:t>
            </w:r>
          </w:p>
        </w:tc>
        <w:tc>
          <w:tcPr>
            <w:tcW w:w="874" w:type="dxa"/>
            <w:tcBorders>
              <w:bottom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rFonts w:hint="eastAsia" w:eastAsia="仿宋_GB2312"/>
                <w:color w:val="auto"/>
                <w:lang w:val="en-US" w:eastAsia="zh-CN"/>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p>
        </w:tc>
        <w:tc>
          <w:tcPr>
            <w:tcW w:w="1478"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p>
        </w:tc>
        <w:tc>
          <w:tcPr>
            <w:tcW w:w="1875" w:type="dxa"/>
            <w:tcBorders>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资金分配</w:t>
            </w:r>
          </w:p>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合理性</w:t>
            </w:r>
          </w:p>
        </w:tc>
        <w:tc>
          <w:tcPr>
            <w:tcW w:w="3885" w:type="dxa"/>
            <w:tcBorders>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color w:val="auto"/>
              </w:rPr>
            </w:pPr>
            <w:r>
              <w:rPr>
                <w:rFonts w:hint="eastAsia"/>
                <w:color w:val="auto"/>
                <w:lang w:val="en-US" w:eastAsia="zh-CN"/>
              </w:rPr>
              <w:t>5</w:t>
            </w:r>
          </w:p>
        </w:tc>
        <w:tc>
          <w:tcPr>
            <w:tcW w:w="874" w:type="dxa"/>
            <w:shd w:val="clear" w:color="auto"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rFonts w:hint="eastAsia" w:eastAsia="仿宋_GB2312"/>
                <w:color w:val="auto"/>
                <w:lang w:val="en-US" w:eastAsia="zh-CN"/>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过程</w:t>
            </w:r>
          </w:p>
        </w:tc>
        <w:tc>
          <w:tcPr>
            <w:tcW w:w="1478"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资金管理</w:t>
            </w:r>
          </w:p>
        </w:tc>
        <w:tc>
          <w:tcPr>
            <w:tcW w:w="1875" w:type="dxa"/>
            <w:tcBorders>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资金到位率</w:t>
            </w:r>
          </w:p>
        </w:tc>
        <w:tc>
          <w:tcPr>
            <w:tcW w:w="3885" w:type="dxa"/>
            <w:tcBorders>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rFonts w:hint="eastAsia" w:eastAsia="仿宋_GB2312"/>
                <w:color w:val="auto"/>
                <w:lang w:val="en-US" w:eastAsia="zh-CN"/>
              </w:rPr>
            </w:pPr>
            <w:r>
              <w:rPr>
                <w:rFonts w:hint="eastAsia"/>
                <w:color w:val="auto"/>
                <w:lang w:val="en-US" w:eastAsia="zh-CN"/>
              </w:rPr>
              <w:t>5</w:t>
            </w:r>
          </w:p>
        </w:tc>
        <w:tc>
          <w:tcPr>
            <w:tcW w:w="874" w:type="dxa"/>
            <w:tcBorders>
              <w:bottom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rFonts w:hint="default" w:ascii="Times New Roman" w:hAnsi="Times New Roman" w:eastAsia="仿宋_GB2312" w:cs="Times New Roman"/>
                <w:color w:val="auto"/>
                <w:kern w:val="2"/>
                <w:sz w:val="30"/>
                <w:szCs w:val="24"/>
                <w:lang w:val="en-US" w:eastAsia="zh-CN" w:bidi="ar-SA"/>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p>
        </w:tc>
        <w:tc>
          <w:tcPr>
            <w:tcW w:w="1478"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p>
        </w:tc>
        <w:tc>
          <w:tcPr>
            <w:tcW w:w="1875" w:type="dxa"/>
            <w:tcBorders>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预算执行率</w:t>
            </w:r>
          </w:p>
        </w:tc>
        <w:tc>
          <w:tcPr>
            <w:tcW w:w="3885" w:type="dxa"/>
            <w:tcBorders>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项目预算资金是否按照计划执行，用以反映或考核项目预算执行情况</w:t>
            </w:r>
          </w:p>
        </w:tc>
        <w:tc>
          <w:tcPr>
            <w:tcW w:w="990" w:type="dxa"/>
            <w:tcBorders>
              <w:lef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rFonts w:hint="eastAsia" w:eastAsia="仿宋_GB2312"/>
                <w:color w:val="auto"/>
                <w:lang w:val="en-US" w:eastAsia="zh-CN"/>
              </w:rPr>
            </w:pPr>
            <w:r>
              <w:rPr>
                <w:rFonts w:hint="eastAsia"/>
                <w:color w:val="auto"/>
                <w:lang w:val="en-US" w:eastAsia="zh-CN"/>
              </w:rPr>
              <w:t>5</w:t>
            </w:r>
          </w:p>
        </w:tc>
        <w:tc>
          <w:tcPr>
            <w:tcW w:w="874" w:type="dxa"/>
            <w:tcBorders>
              <w:bottom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rFonts w:hint="default" w:ascii="Times New Roman" w:hAnsi="Times New Roman" w:eastAsia="仿宋_GB2312" w:cs="Times New Roman"/>
                <w:color w:val="auto"/>
                <w:kern w:val="2"/>
                <w:sz w:val="30"/>
                <w:szCs w:val="24"/>
                <w:lang w:val="en-US" w:eastAsia="zh-CN" w:bidi="ar-SA"/>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p>
        </w:tc>
        <w:tc>
          <w:tcPr>
            <w:tcW w:w="1478"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资金管理</w:t>
            </w:r>
          </w:p>
        </w:tc>
        <w:tc>
          <w:tcPr>
            <w:tcW w:w="1875" w:type="dxa"/>
            <w:tcBorders>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资金使用</w:t>
            </w:r>
          </w:p>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合规性</w:t>
            </w:r>
          </w:p>
        </w:tc>
        <w:tc>
          <w:tcPr>
            <w:tcW w:w="3885" w:type="dxa"/>
            <w:tcBorders>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rFonts w:hint="eastAsia" w:eastAsia="仿宋_GB2312"/>
                <w:color w:val="auto"/>
                <w:lang w:val="en-US" w:eastAsia="zh-CN"/>
              </w:rPr>
            </w:pPr>
            <w:r>
              <w:rPr>
                <w:rFonts w:hint="eastAsia"/>
                <w:color w:val="auto"/>
                <w:lang w:val="en-US" w:eastAsia="zh-CN"/>
              </w:rPr>
              <w:t>5</w:t>
            </w:r>
          </w:p>
        </w:tc>
        <w:tc>
          <w:tcPr>
            <w:tcW w:w="874" w:type="dxa"/>
            <w:tcBorders>
              <w:bottom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rFonts w:hint="default" w:ascii="Times New Roman" w:hAnsi="Times New Roman" w:eastAsia="仿宋_GB2312" w:cs="Times New Roman"/>
                <w:color w:val="auto"/>
                <w:kern w:val="2"/>
                <w:sz w:val="30"/>
                <w:szCs w:val="24"/>
                <w:lang w:val="en-US" w:eastAsia="zh-CN" w:bidi="ar-SA"/>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p>
        </w:tc>
        <w:tc>
          <w:tcPr>
            <w:tcW w:w="1478"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组织实施</w:t>
            </w:r>
          </w:p>
          <w:p>
            <w:pPr>
              <w:keepNext w:val="0"/>
              <w:keepLines w:val="0"/>
              <w:pageBreakBefore w:val="0"/>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p>
        </w:tc>
        <w:tc>
          <w:tcPr>
            <w:tcW w:w="1875" w:type="dxa"/>
            <w:tcBorders>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管理制度</w:t>
            </w:r>
          </w:p>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健全性</w:t>
            </w:r>
          </w:p>
        </w:tc>
        <w:tc>
          <w:tcPr>
            <w:tcW w:w="3885" w:type="dxa"/>
            <w:tcBorders>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color w:val="auto"/>
              </w:rPr>
            </w:pPr>
            <w:r>
              <w:rPr>
                <w:rFonts w:hint="eastAsia"/>
                <w:color w:val="auto"/>
                <w:lang w:val="en-US" w:eastAsia="zh-CN"/>
              </w:rPr>
              <w:t>5</w:t>
            </w:r>
          </w:p>
        </w:tc>
        <w:tc>
          <w:tcPr>
            <w:tcW w:w="874" w:type="dxa"/>
            <w:tcBorders>
              <w:bottom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rFonts w:hint="eastAsia" w:eastAsia="仿宋_GB2312"/>
                <w:color w:val="auto"/>
                <w:lang w:val="en-US" w:eastAsia="zh-CN"/>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p>
        </w:tc>
        <w:tc>
          <w:tcPr>
            <w:tcW w:w="1478"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p>
        </w:tc>
        <w:tc>
          <w:tcPr>
            <w:tcW w:w="1875" w:type="dxa"/>
            <w:tcBorders>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制度执行</w:t>
            </w:r>
          </w:p>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有效性</w:t>
            </w:r>
          </w:p>
        </w:tc>
        <w:tc>
          <w:tcPr>
            <w:tcW w:w="3885" w:type="dxa"/>
            <w:tcBorders>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color w:val="auto"/>
              </w:rPr>
            </w:pPr>
            <w:r>
              <w:rPr>
                <w:rFonts w:hint="eastAsia"/>
                <w:color w:val="auto"/>
                <w:lang w:val="en-US" w:eastAsia="zh-CN"/>
              </w:rPr>
              <w:t>5</w:t>
            </w:r>
          </w:p>
        </w:tc>
        <w:tc>
          <w:tcPr>
            <w:tcW w:w="874" w:type="dxa"/>
            <w:tcBorders>
              <w:bottom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rFonts w:hint="eastAsia" w:eastAsia="仿宋_GB2312"/>
                <w:color w:val="auto"/>
                <w:lang w:val="en-US" w:eastAsia="zh-CN"/>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产出</w:t>
            </w:r>
          </w:p>
        </w:tc>
        <w:tc>
          <w:tcPr>
            <w:tcW w:w="1478"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产出数量</w:t>
            </w:r>
          </w:p>
        </w:tc>
        <w:tc>
          <w:tcPr>
            <w:tcW w:w="1875" w:type="dxa"/>
            <w:tcBorders>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实际完成率</w:t>
            </w:r>
          </w:p>
        </w:tc>
        <w:tc>
          <w:tcPr>
            <w:tcW w:w="3885" w:type="dxa"/>
            <w:tcBorders>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color w:val="auto"/>
              </w:rPr>
            </w:pPr>
            <w:r>
              <w:rPr>
                <w:rFonts w:hint="eastAsia"/>
                <w:color w:val="auto"/>
                <w:lang w:val="en-US" w:eastAsia="zh-CN"/>
              </w:rPr>
              <w:t>5</w:t>
            </w:r>
          </w:p>
        </w:tc>
        <w:tc>
          <w:tcPr>
            <w:tcW w:w="874" w:type="dxa"/>
            <w:shd w:val="clear" w:color="000000"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rFonts w:hint="eastAsia" w:eastAsia="仿宋_GB2312"/>
                <w:color w:val="auto"/>
                <w:lang w:val="en-US" w:eastAsia="zh-CN"/>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p>
        </w:tc>
        <w:tc>
          <w:tcPr>
            <w:tcW w:w="1478"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产出质量</w:t>
            </w:r>
          </w:p>
        </w:tc>
        <w:tc>
          <w:tcPr>
            <w:tcW w:w="1875" w:type="dxa"/>
            <w:tcBorders>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质量达标率</w:t>
            </w:r>
          </w:p>
        </w:tc>
        <w:tc>
          <w:tcPr>
            <w:tcW w:w="3885" w:type="dxa"/>
            <w:tcBorders>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color w:val="auto"/>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color w:val="auto"/>
              </w:rPr>
            </w:pPr>
            <w:r>
              <w:rPr>
                <w:rFonts w:hint="eastAsia"/>
                <w:color w:val="auto"/>
                <w:lang w:val="en-US" w:eastAsia="zh-CN"/>
              </w:rPr>
              <w:t>5</w:t>
            </w:r>
          </w:p>
        </w:tc>
        <w:tc>
          <w:tcPr>
            <w:tcW w:w="874" w:type="dxa"/>
            <w:shd w:val="clear" w:color="000000"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rFonts w:hint="eastAsia" w:eastAsia="仿宋_GB2312"/>
                <w:color w:val="auto"/>
                <w:lang w:val="en-US" w:eastAsia="zh-CN"/>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p>
        </w:tc>
        <w:tc>
          <w:tcPr>
            <w:tcW w:w="1478" w:type="dxa"/>
            <w:shd w:val="clear" w:color="auto"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rFonts w:ascii="宋体" w:hAnsi="宋体" w:cs="宋体"/>
                <w:color w:val="auto"/>
                <w:kern w:val="0"/>
                <w:sz w:val="22"/>
              </w:rPr>
            </w:pPr>
            <w:r>
              <w:rPr>
                <w:rFonts w:hint="eastAsia" w:ascii="宋体" w:hAnsi="宋体" w:cs="宋体"/>
                <w:color w:val="auto"/>
                <w:kern w:val="0"/>
                <w:sz w:val="22"/>
              </w:rPr>
              <w:t>产出时效</w:t>
            </w:r>
          </w:p>
        </w:tc>
        <w:tc>
          <w:tcPr>
            <w:tcW w:w="1875" w:type="dxa"/>
            <w:tcBorders>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both"/>
              <w:textAlignment w:val="auto"/>
              <w:rPr>
                <w:rFonts w:ascii="宋体" w:hAnsi="宋体" w:cs="宋体"/>
                <w:color w:val="auto"/>
                <w:kern w:val="0"/>
                <w:sz w:val="22"/>
              </w:rPr>
            </w:pPr>
            <w:r>
              <w:rPr>
                <w:rFonts w:hint="eastAsia" w:ascii="宋体" w:hAnsi="宋体" w:cs="宋体"/>
                <w:color w:val="auto"/>
                <w:kern w:val="0"/>
                <w:sz w:val="22"/>
              </w:rPr>
              <w:t>完成及时性</w:t>
            </w:r>
          </w:p>
        </w:tc>
        <w:tc>
          <w:tcPr>
            <w:tcW w:w="3885" w:type="dxa"/>
            <w:tcBorders>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both"/>
              <w:textAlignment w:val="auto"/>
              <w:rPr>
                <w:rFonts w:ascii="宋体" w:hAnsi="宋体" w:cs="宋体"/>
                <w:color w:val="auto"/>
                <w:kern w:val="0"/>
                <w:sz w:val="22"/>
              </w:rPr>
            </w:pPr>
            <w:r>
              <w:rPr>
                <w:rFonts w:hint="eastAsia" w:ascii="宋体" w:hAnsi="宋体" w:cs="宋体"/>
                <w:color w:val="auto"/>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color w:val="auto"/>
              </w:rPr>
            </w:pPr>
            <w:r>
              <w:rPr>
                <w:rFonts w:hint="eastAsia"/>
                <w:color w:val="auto"/>
                <w:lang w:val="en-US" w:eastAsia="zh-CN"/>
              </w:rPr>
              <w:t>5</w:t>
            </w:r>
          </w:p>
        </w:tc>
        <w:tc>
          <w:tcPr>
            <w:tcW w:w="874" w:type="dxa"/>
            <w:shd w:val="clear" w:color="000000"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rFonts w:hint="eastAsia" w:eastAsia="仿宋_GB2312"/>
                <w:color w:val="auto"/>
                <w:lang w:val="en-US" w:eastAsia="zh-CN"/>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p>
        </w:tc>
        <w:tc>
          <w:tcPr>
            <w:tcW w:w="1478"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both"/>
              <w:textAlignment w:val="auto"/>
              <w:rPr>
                <w:rFonts w:ascii="宋体" w:hAnsi="宋体" w:cs="宋体"/>
                <w:color w:val="auto"/>
                <w:kern w:val="0"/>
                <w:sz w:val="22"/>
              </w:rPr>
            </w:pPr>
            <w:r>
              <w:rPr>
                <w:rFonts w:hint="eastAsia" w:ascii="宋体" w:hAnsi="宋体" w:cs="宋体"/>
                <w:color w:val="auto"/>
                <w:kern w:val="0"/>
                <w:sz w:val="22"/>
              </w:rPr>
              <w:t>产出成本</w:t>
            </w:r>
          </w:p>
        </w:tc>
        <w:tc>
          <w:tcPr>
            <w:tcW w:w="1875" w:type="dxa"/>
            <w:tcBorders>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both"/>
              <w:textAlignment w:val="auto"/>
              <w:rPr>
                <w:rFonts w:ascii="宋体" w:hAnsi="宋体" w:cs="宋体"/>
                <w:color w:val="auto"/>
                <w:kern w:val="0"/>
                <w:sz w:val="22"/>
              </w:rPr>
            </w:pPr>
            <w:r>
              <w:rPr>
                <w:rFonts w:hint="eastAsia" w:ascii="宋体" w:hAnsi="宋体" w:cs="宋体"/>
                <w:color w:val="auto"/>
                <w:kern w:val="0"/>
                <w:sz w:val="22"/>
              </w:rPr>
              <w:t>成本节约率</w:t>
            </w:r>
          </w:p>
        </w:tc>
        <w:tc>
          <w:tcPr>
            <w:tcW w:w="3885" w:type="dxa"/>
            <w:tcBorders>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both"/>
              <w:textAlignment w:val="auto"/>
              <w:rPr>
                <w:rFonts w:ascii="宋体" w:hAnsi="宋体" w:cs="宋体"/>
                <w:color w:val="auto"/>
                <w:kern w:val="0"/>
                <w:sz w:val="22"/>
              </w:rPr>
            </w:pPr>
            <w:r>
              <w:rPr>
                <w:rFonts w:hint="eastAsia" w:ascii="宋体" w:hAnsi="宋体" w:cs="宋体"/>
                <w:color w:val="auto"/>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color w:val="auto"/>
              </w:rPr>
            </w:pPr>
            <w:r>
              <w:rPr>
                <w:rFonts w:hint="eastAsia"/>
                <w:color w:val="auto"/>
                <w:lang w:val="en-US" w:eastAsia="zh-CN"/>
              </w:rPr>
              <w:t>5</w:t>
            </w:r>
          </w:p>
        </w:tc>
        <w:tc>
          <w:tcPr>
            <w:tcW w:w="874" w:type="dxa"/>
            <w:shd w:val="clear" w:color="auto"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rFonts w:hint="eastAsia" w:eastAsia="仿宋_GB2312"/>
                <w:color w:val="auto"/>
                <w:lang w:val="en-US" w:eastAsia="zh-CN"/>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both"/>
              <w:textAlignment w:val="auto"/>
              <w:rPr>
                <w:rFonts w:ascii="宋体" w:hAnsi="宋体" w:cs="宋体"/>
                <w:color w:val="auto"/>
                <w:kern w:val="0"/>
                <w:sz w:val="22"/>
              </w:rPr>
            </w:pPr>
            <w:r>
              <w:rPr>
                <w:rFonts w:hint="eastAsia" w:ascii="宋体" w:hAnsi="宋体" w:cs="宋体"/>
                <w:color w:val="auto"/>
                <w:kern w:val="0"/>
                <w:sz w:val="22"/>
              </w:rPr>
              <w:t>效益</w:t>
            </w:r>
          </w:p>
        </w:tc>
        <w:tc>
          <w:tcPr>
            <w:tcW w:w="1478"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both"/>
              <w:textAlignment w:val="auto"/>
              <w:rPr>
                <w:rFonts w:ascii="宋体" w:hAnsi="宋体" w:cs="宋体"/>
                <w:color w:val="auto"/>
                <w:kern w:val="0"/>
                <w:sz w:val="22"/>
              </w:rPr>
            </w:pPr>
            <w:r>
              <w:rPr>
                <w:rFonts w:hint="eastAsia" w:ascii="宋体" w:hAnsi="宋体" w:cs="宋体"/>
                <w:color w:val="auto"/>
                <w:kern w:val="0"/>
                <w:sz w:val="22"/>
              </w:rPr>
              <w:t>项目效益</w:t>
            </w:r>
          </w:p>
        </w:tc>
        <w:tc>
          <w:tcPr>
            <w:tcW w:w="1875" w:type="dxa"/>
            <w:tcBorders>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both"/>
              <w:textAlignment w:val="auto"/>
              <w:rPr>
                <w:rFonts w:ascii="宋体" w:hAnsi="宋体" w:cs="宋体"/>
                <w:color w:val="auto"/>
                <w:kern w:val="0"/>
                <w:sz w:val="22"/>
              </w:rPr>
            </w:pPr>
            <w:r>
              <w:rPr>
                <w:rFonts w:hint="eastAsia" w:ascii="宋体" w:hAnsi="宋体" w:cs="宋体"/>
                <w:color w:val="auto"/>
                <w:kern w:val="0"/>
                <w:sz w:val="22"/>
              </w:rPr>
              <w:t>实施效益</w:t>
            </w:r>
          </w:p>
        </w:tc>
        <w:tc>
          <w:tcPr>
            <w:tcW w:w="3885" w:type="dxa"/>
            <w:tcBorders>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both"/>
              <w:textAlignment w:val="auto"/>
              <w:rPr>
                <w:rFonts w:ascii="宋体" w:hAnsi="宋体" w:cs="宋体"/>
                <w:color w:val="auto"/>
                <w:kern w:val="0"/>
                <w:sz w:val="22"/>
              </w:rPr>
            </w:pPr>
            <w:r>
              <w:rPr>
                <w:rFonts w:hint="eastAsia" w:ascii="宋体" w:hAnsi="宋体" w:cs="宋体"/>
                <w:color w:val="auto"/>
                <w:kern w:val="0"/>
                <w:sz w:val="22"/>
              </w:rPr>
              <w:t>项目实施所产生的效益。</w:t>
            </w:r>
          </w:p>
        </w:tc>
        <w:tc>
          <w:tcPr>
            <w:tcW w:w="990" w:type="dxa"/>
            <w:tcBorders>
              <w:left w:val="single" w:color="auto"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rFonts w:hint="default" w:eastAsia="仿宋_GB2312"/>
                <w:color w:val="auto"/>
                <w:lang w:val="en-US" w:eastAsia="zh-CN"/>
              </w:rPr>
            </w:pPr>
            <w:r>
              <w:rPr>
                <w:rFonts w:hint="eastAsia"/>
                <w:color w:val="auto"/>
                <w:lang w:val="en-US" w:eastAsia="zh-CN"/>
              </w:rPr>
              <w:t>10</w:t>
            </w:r>
          </w:p>
        </w:tc>
        <w:tc>
          <w:tcPr>
            <w:tcW w:w="874" w:type="dxa"/>
            <w:shd w:val="clear" w:color="auto"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rFonts w:hint="eastAsia" w:ascii="Times New Roman" w:hAnsi="Times New Roman" w:eastAsia="仿宋_GB2312" w:cs="Times New Roman"/>
                <w:color w:val="auto"/>
                <w:kern w:val="2"/>
                <w:sz w:val="30"/>
                <w:szCs w:val="24"/>
                <w:lang w:val="en-US" w:eastAsia="zh-CN" w:bidi="ar-SA"/>
              </w:rPr>
            </w:pPr>
            <w:r>
              <w:rPr>
                <w:rFonts w:hint="eastAsia"/>
                <w:color w:va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p>
        </w:tc>
        <w:tc>
          <w:tcPr>
            <w:tcW w:w="1478"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p>
        </w:tc>
        <w:tc>
          <w:tcPr>
            <w:tcW w:w="1875" w:type="dxa"/>
            <w:tcBorders>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both"/>
              <w:textAlignment w:val="auto"/>
              <w:rPr>
                <w:rFonts w:ascii="宋体" w:hAnsi="宋体" w:cs="宋体"/>
                <w:color w:val="auto"/>
                <w:kern w:val="0"/>
                <w:sz w:val="22"/>
              </w:rPr>
            </w:pPr>
            <w:r>
              <w:rPr>
                <w:rFonts w:hint="eastAsia" w:ascii="宋体" w:hAnsi="宋体" w:cs="宋体"/>
                <w:color w:val="auto"/>
                <w:kern w:val="0"/>
                <w:sz w:val="22"/>
              </w:rPr>
              <w:t>满意度</w:t>
            </w:r>
          </w:p>
        </w:tc>
        <w:tc>
          <w:tcPr>
            <w:tcW w:w="3885" w:type="dxa"/>
            <w:tcBorders>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both"/>
              <w:textAlignment w:val="auto"/>
              <w:rPr>
                <w:rFonts w:ascii="宋体" w:hAnsi="宋体" w:cs="宋体"/>
                <w:color w:val="auto"/>
                <w:kern w:val="0"/>
                <w:sz w:val="22"/>
              </w:rPr>
            </w:pPr>
            <w:r>
              <w:rPr>
                <w:rFonts w:hint="eastAsia" w:ascii="宋体" w:hAnsi="宋体" w:cs="宋体"/>
                <w:color w:val="auto"/>
                <w:kern w:val="0"/>
                <w:sz w:val="22"/>
              </w:rPr>
              <w:t>社会公众或服务对象对项目实施效果的满意程度。</w:t>
            </w:r>
          </w:p>
        </w:tc>
        <w:tc>
          <w:tcPr>
            <w:tcW w:w="990" w:type="dxa"/>
            <w:tcBorders>
              <w:left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rFonts w:hint="default"/>
                <w:color w:val="auto"/>
                <w:lang w:val="en-US"/>
              </w:rPr>
            </w:pPr>
            <w:r>
              <w:rPr>
                <w:rFonts w:hint="eastAsia"/>
                <w:color w:val="auto"/>
                <w:lang w:val="en-US" w:eastAsia="zh-CN"/>
              </w:rPr>
              <w:t>15</w:t>
            </w:r>
          </w:p>
        </w:tc>
        <w:tc>
          <w:tcPr>
            <w:tcW w:w="874" w:type="dxa"/>
            <w:shd w:val="clear" w:color="000000" w:fill="FFFFFF"/>
            <w:vAlign w:val="center"/>
          </w:tcPr>
          <w:p>
            <w:pPr>
              <w:keepNext w:val="0"/>
              <w:keepLines w:val="0"/>
              <w:pageBreakBefore w:val="0"/>
              <w:kinsoku/>
              <w:wordWrap/>
              <w:overflowPunct/>
              <w:topLinePunct w:val="0"/>
              <w:autoSpaceDE/>
              <w:autoSpaceDN/>
              <w:bidi w:val="0"/>
              <w:adjustRightInd/>
              <w:snapToGrid/>
              <w:spacing w:line="480" w:lineRule="exact"/>
              <w:ind w:firstLine="0" w:firstLineChars="0"/>
              <w:jc w:val="both"/>
              <w:textAlignment w:val="auto"/>
              <w:rPr>
                <w:rFonts w:hint="eastAsia" w:ascii="Times New Roman" w:hAnsi="Times New Roman" w:eastAsia="仿宋_GB2312" w:cs="Times New Roman"/>
                <w:color w:val="auto"/>
                <w:kern w:val="2"/>
                <w:sz w:val="30"/>
                <w:szCs w:val="24"/>
                <w:lang w:val="en-US" w:eastAsia="zh-CN" w:bidi="ar-SA"/>
              </w:rPr>
            </w:pPr>
            <w:r>
              <w:rPr>
                <w:rFonts w:hint="eastAsia"/>
                <w:color w:val="auto"/>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r>
              <w:rPr>
                <w:rFonts w:hint="eastAsia" w:ascii="宋体" w:hAnsi="宋体" w:cs="宋体"/>
                <w:b/>
                <w:bCs/>
                <w:color w:val="auto"/>
                <w:kern w:val="0"/>
                <w:sz w:val="22"/>
              </w:rPr>
              <w:t>总分</w:t>
            </w:r>
          </w:p>
        </w:tc>
        <w:tc>
          <w:tcPr>
            <w:tcW w:w="3885" w:type="dxa"/>
            <w:tcBorders>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cs="宋体"/>
                <w:color w:val="auto"/>
                <w:kern w:val="0"/>
                <w:sz w:val="22"/>
              </w:rPr>
            </w:pPr>
          </w:p>
        </w:tc>
        <w:tc>
          <w:tcPr>
            <w:tcW w:w="990" w:type="dxa"/>
            <w:tcBorders>
              <w:lef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both"/>
              <w:textAlignment w:val="auto"/>
              <w:rPr>
                <w:rFonts w:hint="default" w:ascii="宋体" w:hAnsi="宋体" w:eastAsia="仿宋_GB2312" w:cs="宋体"/>
                <w:color w:val="auto"/>
                <w:kern w:val="0"/>
                <w:sz w:val="22"/>
                <w:lang w:val="en-US" w:eastAsia="zh-CN"/>
              </w:rPr>
            </w:pPr>
            <w:r>
              <w:rPr>
                <w:rFonts w:hint="eastAsia" w:ascii="宋体" w:hAnsi="宋体" w:cs="宋体"/>
                <w:color w:val="auto"/>
                <w:kern w:val="0"/>
                <w:sz w:val="22"/>
                <w:lang w:val="en-US" w:eastAsia="zh-CN"/>
              </w:rPr>
              <w:t>100</w:t>
            </w:r>
          </w:p>
        </w:tc>
        <w:tc>
          <w:tcPr>
            <w:tcW w:w="87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80" w:lineRule="exact"/>
              <w:ind w:firstLine="0" w:firstLineChars="0"/>
              <w:jc w:val="both"/>
              <w:textAlignment w:val="auto"/>
              <w:rPr>
                <w:rFonts w:hint="default" w:ascii="宋体" w:hAnsi="宋体" w:eastAsia="仿宋_GB2312" w:cs="宋体"/>
                <w:color w:val="auto"/>
                <w:kern w:val="0"/>
                <w:sz w:val="22"/>
                <w:lang w:val="en-US" w:eastAsia="zh-CN"/>
              </w:rPr>
            </w:pPr>
            <w:r>
              <w:rPr>
                <w:rFonts w:hint="eastAsia" w:ascii="宋体" w:hAnsi="宋体" w:cs="宋体"/>
                <w:color w:val="auto"/>
                <w:kern w:val="0"/>
                <w:sz w:val="22"/>
                <w:lang w:val="en-US" w:eastAsia="zh-CN"/>
              </w:rPr>
              <w:t>100</w:t>
            </w:r>
          </w:p>
        </w:tc>
      </w:tr>
    </w:tbl>
    <w:p>
      <w:pPr>
        <w:pageBreakBefore w:val="0"/>
        <w:kinsoku/>
        <w:wordWrap/>
        <w:overflowPunct/>
        <w:topLinePunct w:val="0"/>
        <w:autoSpaceDE/>
        <w:autoSpaceDN/>
        <w:bidi w:val="0"/>
        <w:adjustRightInd/>
        <w:snapToGrid/>
        <w:spacing w:line="560" w:lineRule="exact"/>
        <w:ind w:firstLine="600" w:firstLineChars="200"/>
        <w:textAlignment w:val="auto"/>
        <w:rPr>
          <w:color w:val="auto"/>
        </w:rPr>
        <w:sectPr>
          <w:pgSz w:w="11906" w:h="16838"/>
          <w:pgMar w:top="1928" w:right="1531" w:bottom="1701" w:left="1531" w:header="737" w:footer="851" w:gutter="0"/>
          <w:cols w:space="720" w:num="1"/>
          <w:docGrid w:type="lines" w:linePitch="408" w:charSpace="0"/>
        </w:sectPr>
      </w:pP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3、评价方法</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eastAsia="仿宋_GB2312"/>
          <w:bCs/>
          <w:color w:val="auto"/>
          <w:sz w:val="32"/>
          <w:szCs w:val="32"/>
          <w:lang w:val="en-US" w:eastAsia="zh-CN"/>
        </w:rPr>
      </w:pPr>
      <w:r>
        <w:rPr>
          <w:rFonts w:hint="eastAsia"/>
          <w:bCs/>
          <w:color w:val="auto"/>
          <w:sz w:val="32"/>
          <w:szCs w:val="32"/>
        </w:rPr>
        <w:t>本次项目支出绩效自评采用成本效益分析法，原因是：</w:t>
      </w:r>
      <w:r>
        <w:rPr>
          <w:rFonts w:hint="eastAsia"/>
          <w:bCs/>
          <w:color w:val="auto"/>
          <w:sz w:val="32"/>
          <w:szCs w:val="32"/>
          <w:lang w:val="en-US" w:eastAsia="zh-CN"/>
        </w:rPr>
        <w:t>本项目是2021年支持省级、县区级疾控机构加强能力建设，切实加强疾控中心检验能力。</w:t>
      </w:r>
      <w:r>
        <w:rPr>
          <w:rFonts w:hint="eastAsia"/>
          <w:bCs/>
          <w:color w:val="auto"/>
          <w:sz w:val="32"/>
          <w:szCs w:val="32"/>
        </w:rPr>
        <w:t>将</w:t>
      </w:r>
      <w:r>
        <w:rPr>
          <w:rFonts w:hint="eastAsia"/>
          <w:bCs/>
          <w:color w:val="auto"/>
          <w:sz w:val="32"/>
          <w:szCs w:val="32"/>
          <w:lang w:val="en-US" w:eastAsia="zh-CN"/>
        </w:rPr>
        <w:t>项目资金</w:t>
      </w:r>
      <w:r>
        <w:rPr>
          <w:rFonts w:hint="eastAsia"/>
          <w:bCs/>
          <w:color w:val="auto"/>
          <w:sz w:val="32"/>
          <w:szCs w:val="32"/>
        </w:rPr>
        <w:t>投入与</w:t>
      </w:r>
      <w:r>
        <w:rPr>
          <w:rFonts w:hint="eastAsia"/>
          <w:bCs/>
          <w:color w:val="auto"/>
          <w:sz w:val="32"/>
          <w:szCs w:val="32"/>
          <w:lang w:val="en-US" w:eastAsia="zh-CN"/>
        </w:rPr>
        <w:t>项目</w:t>
      </w:r>
      <w:r>
        <w:rPr>
          <w:rFonts w:hint="eastAsia"/>
          <w:bCs/>
          <w:color w:val="auto"/>
          <w:sz w:val="32"/>
          <w:szCs w:val="32"/>
        </w:rPr>
        <w:t>产出、</w:t>
      </w:r>
      <w:r>
        <w:rPr>
          <w:rFonts w:hint="eastAsia"/>
          <w:bCs/>
          <w:color w:val="auto"/>
          <w:sz w:val="32"/>
          <w:szCs w:val="32"/>
          <w:lang w:val="en-US" w:eastAsia="zh-CN"/>
        </w:rPr>
        <w:t>项目</w:t>
      </w:r>
      <w:r>
        <w:rPr>
          <w:rFonts w:hint="eastAsia"/>
          <w:bCs/>
          <w:color w:val="auto"/>
          <w:sz w:val="32"/>
          <w:szCs w:val="32"/>
        </w:rPr>
        <w:t>效益进行关联性分析</w:t>
      </w:r>
      <w:r>
        <w:rPr>
          <w:rFonts w:hint="eastAsia"/>
          <w:bCs/>
          <w:color w:val="auto"/>
          <w:sz w:val="32"/>
          <w:szCs w:val="32"/>
          <w:lang w:eastAsia="zh-CN"/>
        </w:rPr>
        <w:t>。</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4、评价标准</w:t>
      </w:r>
    </w:p>
    <w:p>
      <w:pPr>
        <w:spacing w:before="0" w:after="0" w:line="520" w:lineRule="auto"/>
        <w:ind w:left="0" w:right="0" w:firstLine="640"/>
        <w:jc w:val="both"/>
        <w:rPr>
          <w:rFonts w:hint="eastAsia"/>
          <w:bCs/>
          <w:color w:val="auto"/>
          <w:sz w:val="32"/>
          <w:szCs w:val="32"/>
          <w:highlight w:val="none"/>
        </w:rPr>
      </w:pPr>
      <w:r>
        <w:rPr>
          <w:rFonts w:hint="eastAsia"/>
          <w:bCs/>
          <w:color w:val="auto"/>
          <w:sz w:val="32"/>
          <w:szCs w:val="32"/>
          <w:highlight w:val="none"/>
        </w:rPr>
        <w:t>本次项目支出绩效自评采用计划标准，原因是</w:t>
      </w:r>
      <w:r>
        <w:rPr>
          <w:rFonts w:hint="eastAsia"/>
          <w:bCs/>
          <w:color w:val="auto"/>
          <w:sz w:val="32"/>
          <w:szCs w:val="32"/>
          <w:highlight w:val="none"/>
          <w:lang w:eastAsia="zh-CN"/>
        </w:rPr>
        <w:t>：</w:t>
      </w:r>
      <w:r>
        <w:rPr>
          <w:rFonts w:hint="eastAsia"/>
          <w:bCs/>
          <w:color w:val="auto"/>
          <w:sz w:val="32"/>
          <w:szCs w:val="32"/>
          <w:highlight w:val="none"/>
        </w:rPr>
        <w:t>以预先制定的</w:t>
      </w:r>
      <w:r>
        <w:rPr>
          <w:rFonts w:hint="eastAsia"/>
          <w:bCs/>
          <w:color w:val="auto"/>
          <w:sz w:val="32"/>
          <w:szCs w:val="32"/>
          <w:highlight w:val="none"/>
          <w:lang w:val="en-US" w:eastAsia="zh-CN"/>
        </w:rPr>
        <w:t>项目</w:t>
      </w:r>
      <w:r>
        <w:rPr>
          <w:rFonts w:hint="eastAsia"/>
          <w:bCs/>
          <w:color w:val="auto"/>
          <w:sz w:val="32"/>
          <w:szCs w:val="32"/>
          <w:highlight w:val="none"/>
        </w:rPr>
        <w:t>目标、</w:t>
      </w:r>
      <w:r>
        <w:rPr>
          <w:rFonts w:hint="eastAsia"/>
          <w:bCs/>
          <w:color w:val="auto"/>
          <w:sz w:val="32"/>
          <w:szCs w:val="32"/>
          <w:highlight w:val="none"/>
          <w:lang w:val="en-US" w:eastAsia="zh-CN"/>
        </w:rPr>
        <w:t>项目</w:t>
      </w:r>
      <w:r>
        <w:rPr>
          <w:rFonts w:hint="eastAsia"/>
          <w:bCs/>
          <w:color w:val="auto"/>
          <w:sz w:val="32"/>
          <w:szCs w:val="32"/>
          <w:highlight w:val="none"/>
        </w:rPr>
        <w:t>计划、</w:t>
      </w:r>
      <w:r>
        <w:rPr>
          <w:rFonts w:hint="eastAsia"/>
          <w:bCs/>
          <w:color w:val="auto"/>
          <w:sz w:val="32"/>
          <w:szCs w:val="32"/>
          <w:highlight w:val="none"/>
          <w:lang w:val="en-US" w:eastAsia="zh-CN"/>
        </w:rPr>
        <w:t>项目</w:t>
      </w:r>
      <w:r>
        <w:rPr>
          <w:rFonts w:hint="eastAsia"/>
          <w:bCs/>
          <w:color w:val="auto"/>
          <w:sz w:val="32"/>
          <w:szCs w:val="32"/>
          <w:highlight w:val="none"/>
        </w:rPr>
        <w:t>预算、</w:t>
      </w:r>
      <w:r>
        <w:rPr>
          <w:rFonts w:hint="eastAsia"/>
          <w:bCs/>
          <w:color w:val="auto"/>
          <w:sz w:val="32"/>
          <w:szCs w:val="32"/>
          <w:highlight w:val="none"/>
          <w:lang w:val="en-US" w:eastAsia="zh-CN"/>
        </w:rPr>
        <w:t>项目产出</w:t>
      </w:r>
      <w:r>
        <w:rPr>
          <w:rFonts w:hint="eastAsia"/>
          <w:bCs/>
          <w:color w:val="auto"/>
          <w:sz w:val="32"/>
          <w:szCs w:val="32"/>
          <w:highlight w:val="none"/>
        </w:rPr>
        <w:t>作为评价标准</w:t>
      </w:r>
      <w:r>
        <w:rPr>
          <w:rFonts w:hint="eastAsia"/>
          <w:bCs/>
          <w:color w:val="auto"/>
          <w:sz w:val="32"/>
          <w:szCs w:val="32"/>
          <w:highlight w:val="none"/>
          <w:lang w:eastAsia="zh-CN"/>
        </w:rPr>
        <w:t>。</w:t>
      </w:r>
      <w:r>
        <w:rPr>
          <w:rFonts w:hint="eastAsia"/>
          <w:bCs/>
          <w:color w:val="auto"/>
          <w:sz w:val="32"/>
          <w:szCs w:val="32"/>
          <w:highlight w:val="none"/>
        </w:rPr>
        <w:t>为规范和加强专项资金的管理，充分发挥财政资金的使用效益，讲求资金的使用绩效加强考核管理，规避资金使用风险，根据国家及自治区的相关专项资金的管理制度、办法，按要求在规定时限内完成资金的拨付，发挥社会和经济效益。</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eastAsia="仿宋_GB2312"/>
          <w:bCs/>
          <w:color w:val="auto"/>
          <w:sz w:val="32"/>
          <w:szCs w:val="32"/>
          <w:lang w:eastAsia="zh-CN"/>
        </w:rPr>
      </w:pPr>
    </w:p>
    <w:p>
      <w:pPr>
        <w:pStyle w:val="3"/>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b w:val="0"/>
          <w:bCs w:val="0"/>
          <w:color w:val="auto"/>
        </w:rPr>
      </w:pPr>
      <w:bookmarkStart w:id="6" w:name="_Toc68703833"/>
      <w:r>
        <w:rPr>
          <w:rFonts w:hint="eastAsia" w:ascii="仿宋_GB2312" w:eastAsia="仿宋_GB2312"/>
          <w:b w:val="0"/>
          <w:bCs w:val="0"/>
          <w:color w:val="auto"/>
        </w:rPr>
        <w:t>（三）绩效评价工作过程。</w:t>
      </w:r>
      <w:bookmarkEnd w:id="6"/>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1、前期准备：</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202</w:t>
      </w:r>
      <w:r>
        <w:rPr>
          <w:rFonts w:hint="eastAsia"/>
          <w:color w:val="auto"/>
          <w:lang w:val="en-US" w:eastAsia="zh-CN"/>
        </w:rPr>
        <w:t>2</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w:t>
      </w:r>
      <w:r>
        <w:rPr>
          <w:rFonts w:hint="eastAsia"/>
          <w:color w:val="auto"/>
        </w:rPr>
        <w:t>日，</w:t>
      </w:r>
      <w:r>
        <w:rPr>
          <w:rFonts w:hint="eastAsia" w:ascii="仿宋_GB2312"/>
          <w:color w:val="auto"/>
          <w:lang w:val="zh-CN"/>
        </w:rPr>
        <w:t>开始前期准备工作，评价组通过前期调研</w:t>
      </w:r>
      <w:r>
        <w:rPr>
          <w:rFonts w:hint="eastAsia"/>
          <w:color w:val="auto"/>
        </w:rPr>
        <w:t>确定绩效评价对象和范围，</w:t>
      </w:r>
      <w:r>
        <w:rPr>
          <w:rFonts w:hint="eastAsia" w:ascii="仿宋_GB2312"/>
          <w:color w:val="auto"/>
          <w:lang w:val="zh-CN"/>
        </w:rPr>
        <w:t>确定了评价的目的、方法以及评价的原则，根据项目的内容和特征制定了评价指标体系及评价标准以及评价实施方案，修正并确定所需资料清单，最终确定</w:t>
      </w:r>
      <w:r>
        <w:rPr>
          <w:rFonts w:hint="eastAsia"/>
          <w:color w:val="auto"/>
        </w:rPr>
        <w:t>绩效评价工作方案；</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color w:val="auto"/>
        </w:rPr>
        <w:t>2</w:t>
      </w:r>
      <w:r>
        <w:rPr>
          <w:rFonts w:hint="eastAsia"/>
          <w:color w:val="auto"/>
        </w:rPr>
        <w:t>、组织实施：</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2</w:t>
      </w:r>
      <w:r>
        <w:rPr>
          <w:color w:val="auto"/>
        </w:rPr>
        <w:t>022</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10</w:t>
      </w:r>
      <w:r>
        <w:rPr>
          <w:rFonts w:hint="eastAsia"/>
          <w:color w:val="auto"/>
        </w:rPr>
        <w:t>日-</w:t>
      </w:r>
      <w:r>
        <w:rPr>
          <w:color w:val="auto"/>
        </w:rPr>
        <w:t xml:space="preserve"> </w:t>
      </w:r>
      <w:r>
        <w:rPr>
          <w:rFonts w:hint="eastAsia"/>
          <w:color w:val="auto"/>
          <w:lang w:val="en-US" w:eastAsia="zh-CN"/>
        </w:rPr>
        <w:t>3</w:t>
      </w:r>
      <w:r>
        <w:rPr>
          <w:rFonts w:hint="eastAsia"/>
          <w:color w:val="auto"/>
        </w:rPr>
        <w:t>月</w:t>
      </w:r>
      <w:r>
        <w:rPr>
          <w:rFonts w:hint="eastAsia"/>
          <w:color w:val="auto"/>
          <w:lang w:val="en-US" w:eastAsia="zh-CN"/>
        </w:rPr>
        <w:t>20</w:t>
      </w:r>
      <w:r>
        <w:rPr>
          <w:rFonts w:hint="eastAsia"/>
          <w:color w:val="auto"/>
        </w:rPr>
        <w:t>日，</w:t>
      </w:r>
      <w:r>
        <w:rPr>
          <w:rFonts w:hint="eastAsia" w:ascii="仿宋_GB2312"/>
          <w:color w:val="auto"/>
        </w:rPr>
        <w:t>评价工作进入实施阶段，评价组</w:t>
      </w:r>
      <w:r>
        <w:rPr>
          <w:rFonts w:hint="eastAsia"/>
          <w:color w:val="auto"/>
        </w:rPr>
        <w:t>收集绩效评价相关数据资料，进行现场调研、座谈；并</w:t>
      </w:r>
      <w:r>
        <w:rPr>
          <w:rFonts w:hint="eastAsia" w:ascii="仿宋_GB2312"/>
          <w:color w:val="auto"/>
        </w:rPr>
        <w:t>与项目实施负责人沟通，了解资金的内容、操作流程、管理机制、资金使用方向等情况</w:t>
      </w:r>
      <w:r>
        <w:rPr>
          <w:rFonts w:hint="eastAsia"/>
          <w:color w:val="auto"/>
        </w:rPr>
        <w:t>，</w:t>
      </w:r>
      <w:r>
        <w:rPr>
          <w:color w:val="auto"/>
        </w:rPr>
        <w:t>分析</w:t>
      </w:r>
      <w:r>
        <w:rPr>
          <w:rFonts w:hint="eastAsia"/>
          <w:color w:val="auto"/>
        </w:rPr>
        <w:t>形成初步结论。</w:t>
      </w:r>
      <w:r>
        <w:rPr>
          <w:color w:val="auto"/>
        </w:rPr>
        <w:t xml:space="preserve"> </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3、分析评价：</w:t>
      </w:r>
    </w:p>
    <w:p>
      <w:pPr>
        <w:pageBreakBefore w:val="0"/>
        <w:kinsoku/>
        <w:wordWrap/>
        <w:overflowPunct/>
        <w:topLinePunct w:val="0"/>
        <w:autoSpaceDE/>
        <w:autoSpaceDN/>
        <w:bidi w:val="0"/>
        <w:adjustRightInd/>
        <w:snapToGrid/>
        <w:spacing w:line="560" w:lineRule="exact"/>
        <w:ind w:firstLine="600" w:firstLineChars="200"/>
        <w:textAlignment w:val="auto"/>
        <w:rPr>
          <w:rFonts w:ascii="仿宋_GB2312"/>
          <w:color w:val="auto"/>
        </w:rPr>
      </w:pPr>
      <w:r>
        <w:rPr>
          <w:rFonts w:hint="eastAsia"/>
          <w:color w:val="auto"/>
        </w:rPr>
        <w:t>202</w:t>
      </w:r>
      <w:r>
        <w:rPr>
          <w:rFonts w:hint="eastAsia"/>
          <w:color w:val="auto"/>
          <w:lang w:val="en-US" w:eastAsia="zh-CN"/>
        </w:rPr>
        <w:t>2</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21</w:t>
      </w:r>
      <w:r>
        <w:rPr>
          <w:rFonts w:hint="eastAsia"/>
          <w:color w:val="auto"/>
        </w:rPr>
        <w:t>日-</w:t>
      </w:r>
      <w:r>
        <w:rPr>
          <w:color w:val="auto"/>
        </w:rPr>
        <w:t xml:space="preserve"> </w:t>
      </w:r>
      <w:r>
        <w:rPr>
          <w:rFonts w:hint="eastAsia"/>
          <w:color w:val="auto"/>
          <w:lang w:val="en-US" w:eastAsia="zh-CN"/>
        </w:rPr>
        <w:t>3</w:t>
      </w:r>
      <w:r>
        <w:rPr>
          <w:rFonts w:hint="eastAsia"/>
          <w:color w:val="auto"/>
        </w:rPr>
        <w:t>月</w:t>
      </w:r>
      <w:r>
        <w:rPr>
          <w:rFonts w:hint="eastAsia"/>
          <w:color w:val="auto"/>
          <w:lang w:val="en-US" w:eastAsia="zh-CN"/>
        </w:rPr>
        <w:t>31</w:t>
      </w:r>
      <w:r>
        <w:rPr>
          <w:rFonts w:hint="eastAsia"/>
          <w:color w:val="auto"/>
        </w:rPr>
        <w:t>日，评价组按照绩效评价的原则和规范，对取得的资料进行审查核实，对采集的数据进行分析，按照绩效评价指标评分表逐项进行打分、分析，汇总各方评价结果，综合分析并形成评价结论。</w:t>
      </w:r>
    </w:p>
    <w:p>
      <w:pPr>
        <w:pStyle w:val="2"/>
        <w:pageBreakBefore w:val="0"/>
        <w:kinsoku/>
        <w:wordWrap/>
        <w:overflowPunct/>
        <w:topLinePunct w:val="0"/>
        <w:autoSpaceDE/>
        <w:autoSpaceDN/>
        <w:bidi w:val="0"/>
        <w:adjustRightInd/>
        <w:snapToGrid/>
        <w:spacing w:before="0" w:after="0" w:line="560" w:lineRule="exact"/>
        <w:ind w:firstLine="643" w:firstLineChars="200"/>
        <w:textAlignment w:val="auto"/>
        <w:rPr>
          <w:rFonts w:ascii="宋体" w:hAnsi="宋体" w:eastAsia="宋体"/>
          <w:color w:val="auto"/>
          <w:sz w:val="32"/>
          <w:szCs w:val="32"/>
        </w:rPr>
      </w:pPr>
      <w:bookmarkStart w:id="7" w:name="_Toc68703834"/>
      <w:r>
        <w:rPr>
          <w:rFonts w:hint="eastAsia" w:ascii="宋体" w:hAnsi="宋体" w:eastAsia="宋体"/>
          <w:color w:val="auto"/>
          <w:sz w:val="32"/>
          <w:szCs w:val="32"/>
        </w:rPr>
        <w:t>三、综合评价情况及评价结论</w:t>
      </w:r>
      <w:bookmarkEnd w:id="7"/>
    </w:p>
    <w:p>
      <w:pPr>
        <w:pStyle w:val="3"/>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b w:val="0"/>
          <w:bCs w:val="0"/>
          <w:color w:val="auto"/>
        </w:rPr>
      </w:pPr>
      <w:bookmarkStart w:id="8" w:name="_Toc68703835"/>
      <w:r>
        <w:rPr>
          <w:rFonts w:hint="eastAsia" w:ascii="仿宋_GB2312" w:eastAsia="仿宋_GB2312"/>
          <w:b w:val="0"/>
          <w:bCs w:val="0"/>
          <w:color w:val="auto"/>
        </w:rPr>
        <w:t>（一）综合评价情况</w:t>
      </w:r>
      <w:bookmarkEnd w:id="8"/>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本项目严格按照</w:t>
      </w:r>
      <w:r>
        <w:rPr>
          <w:rFonts w:hint="eastAsia" w:ascii="仿宋_GB2312"/>
          <w:bCs/>
          <w:color w:val="auto"/>
          <w:kern w:val="0"/>
          <w:sz w:val="32"/>
          <w:szCs w:val="32"/>
        </w:rPr>
        <w:t>科学公正、统筹兼顾、激励约束、公开透明的</w:t>
      </w:r>
      <w:r>
        <w:rPr>
          <w:rFonts w:hint="eastAsia"/>
          <w:color w:val="auto"/>
        </w:rPr>
        <w:t>绩效评价原则，采用</w:t>
      </w:r>
      <w:r>
        <w:rPr>
          <w:rFonts w:hint="eastAsia"/>
          <w:bCs/>
          <w:color w:val="auto"/>
          <w:sz w:val="32"/>
          <w:szCs w:val="32"/>
        </w:rPr>
        <w:t>成本效益分析法</w:t>
      </w:r>
      <w:r>
        <w:rPr>
          <w:rFonts w:hint="eastAsia"/>
          <w:color w:val="auto"/>
        </w:rPr>
        <w:t>，坚持</w:t>
      </w:r>
      <w:r>
        <w:rPr>
          <w:rFonts w:hint="eastAsia"/>
          <w:bCs/>
          <w:color w:val="auto"/>
          <w:sz w:val="32"/>
          <w:szCs w:val="32"/>
        </w:rPr>
        <w:t>计划标准</w:t>
      </w:r>
      <w:r>
        <w:rPr>
          <w:rFonts w:hint="eastAsia"/>
          <w:color w:val="auto"/>
        </w:rPr>
        <w:t>对本项目的立项、项绩效目标、资金投入、资金管理、组织实施、产出数量、产出质量、产出时效、产出成本、项目效益进行了综合评价。</w:t>
      </w:r>
    </w:p>
    <w:p>
      <w:pPr>
        <w:pageBreakBefore w:val="0"/>
        <w:kinsoku/>
        <w:wordWrap/>
        <w:overflowPunct/>
        <w:topLinePunct w:val="0"/>
        <w:autoSpaceDE/>
        <w:autoSpaceDN/>
        <w:bidi w:val="0"/>
        <w:adjustRightInd/>
        <w:snapToGrid/>
        <w:spacing w:line="560" w:lineRule="exact"/>
        <w:ind w:firstLine="600" w:firstLineChars="200"/>
        <w:jc w:val="center"/>
        <w:textAlignment w:val="auto"/>
        <w:rPr>
          <w:color w:val="auto"/>
        </w:rPr>
      </w:pPr>
      <w:r>
        <w:rPr>
          <w:rFonts w:hint="eastAsia"/>
          <w:color w:val="auto"/>
        </w:rPr>
        <w:t>医疗服务与保障能力提升（医疗卫生机构能力建设）补助资金项目评价得分情况</w:t>
      </w:r>
    </w:p>
    <w:tbl>
      <w:tblPr>
        <w:tblStyle w:val="6"/>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ind w:firstLine="442" w:firstLineChars="200"/>
              <w:jc w:val="center"/>
              <w:textAlignment w:val="auto"/>
              <w:rPr>
                <w:b/>
                <w:bCs/>
                <w:color w:val="auto"/>
                <w:sz w:val="22"/>
              </w:rPr>
            </w:pPr>
            <w:r>
              <w:rPr>
                <w:rFonts w:hint="eastAsia"/>
                <w:b/>
                <w:bCs/>
                <w:color w:val="auto"/>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ind w:firstLine="442" w:firstLineChars="200"/>
              <w:jc w:val="center"/>
              <w:textAlignment w:val="auto"/>
              <w:rPr>
                <w:b/>
                <w:bCs/>
                <w:color w:val="auto"/>
                <w:sz w:val="22"/>
              </w:rPr>
            </w:pPr>
            <w:r>
              <w:rPr>
                <w:rFonts w:hint="eastAsia"/>
                <w:b/>
                <w:bCs/>
                <w:color w:val="auto"/>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ind w:firstLine="442" w:firstLineChars="200"/>
              <w:jc w:val="center"/>
              <w:textAlignment w:val="auto"/>
              <w:rPr>
                <w:b/>
                <w:bCs/>
                <w:color w:val="auto"/>
                <w:sz w:val="22"/>
              </w:rPr>
            </w:pPr>
            <w:r>
              <w:rPr>
                <w:rFonts w:hint="eastAsia"/>
                <w:b/>
                <w:bCs/>
                <w:color w:val="auto"/>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440" w:firstLineChars="200"/>
              <w:jc w:val="center"/>
              <w:textAlignment w:val="auto"/>
              <w:rPr>
                <w:color w:val="auto"/>
                <w:sz w:val="22"/>
              </w:rPr>
            </w:pPr>
            <w:r>
              <w:rPr>
                <w:rFonts w:hint="eastAsia"/>
                <w:color w:val="auto"/>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440" w:firstLineChars="200"/>
              <w:jc w:val="center"/>
              <w:textAlignment w:val="auto"/>
              <w:rPr>
                <w:rFonts w:hint="default" w:eastAsia="仿宋_GB2312"/>
                <w:color w:val="auto"/>
                <w:sz w:val="22"/>
                <w:lang w:val="en-US" w:eastAsia="zh-CN"/>
              </w:rPr>
            </w:pPr>
            <w:r>
              <w:rPr>
                <w:rFonts w:hint="eastAsia"/>
                <w:color w:val="auto"/>
                <w:sz w:val="22"/>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440" w:firstLineChars="200"/>
              <w:jc w:val="center"/>
              <w:textAlignment w:val="auto"/>
              <w:rPr>
                <w:rFonts w:hint="default" w:eastAsia="仿宋_GB2312"/>
                <w:color w:val="auto"/>
                <w:sz w:val="22"/>
                <w:lang w:val="en-US" w:eastAsia="zh-CN"/>
              </w:rPr>
            </w:pPr>
            <w:r>
              <w:rPr>
                <w:rFonts w:hint="eastAsia"/>
                <w:color w:val="auto"/>
                <w:sz w:val="22"/>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440" w:firstLineChars="200"/>
              <w:jc w:val="center"/>
              <w:textAlignment w:val="auto"/>
              <w:rPr>
                <w:color w:val="auto"/>
                <w:sz w:val="22"/>
              </w:rPr>
            </w:pPr>
            <w:r>
              <w:rPr>
                <w:rFonts w:hint="eastAsia"/>
                <w:color w:val="auto"/>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440" w:firstLineChars="200"/>
              <w:jc w:val="center"/>
              <w:textAlignment w:val="auto"/>
              <w:rPr>
                <w:rFonts w:hint="default" w:eastAsia="仿宋_GB2312"/>
                <w:color w:val="auto"/>
                <w:sz w:val="22"/>
                <w:lang w:val="en-US" w:eastAsia="zh-CN"/>
              </w:rPr>
            </w:pPr>
            <w:r>
              <w:rPr>
                <w:rFonts w:hint="eastAsia"/>
                <w:color w:val="auto"/>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440" w:firstLineChars="200"/>
              <w:jc w:val="center"/>
              <w:textAlignment w:val="auto"/>
              <w:rPr>
                <w:rFonts w:hint="default" w:eastAsia="仿宋_GB2312"/>
                <w:color w:val="auto"/>
                <w:sz w:val="22"/>
                <w:lang w:val="en-US" w:eastAsia="zh-CN"/>
              </w:rPr>
            </w:pPr>
            <w:r>
              <w:rPr>
                <w:rFonts w:hint="eastAsia"/>
                <w:color w:val="auto"/>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440" w:firstLineChars="200"/>
              <w:jc w:val="center"/>
              <w:textAlignment w:val="auto"/>
              <w:rPr>
                <w:color w:val="auto"/>
                <w:sz w:val="22"/>
              </w:rPr>
            </w:pPr>
            <w:r>
              <w:rPr>
                <w:rFonts w:hint="eastAsia"/>
                <w:color w:val="auto"/>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440" w:firstLineChars="200"/>
              <w:jc w:val="center"/>
              <w:textAlignment w:val="auto"/>
              <w:rPr>
                <w:rFonts w:hint="default" w:eastAsia="仿宋_GB2312"/>
                <w:color w:val="auto"/>
                <w:sz w:val="22"/>
                <w:lang w:val="en-US" w:eastAsia="zh-CN"/>
              </w:rPr>
            </w:pPr>
            <w:r>
              <w:rPr>
                <w:rFonts w:hint="eastAsia"/>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440" w:firstLineChars="200"/>
              <w:jc w:val="center"/>
              <w:textAlignment w:val="auto"/>
              <w:rPr>
                <w:rFonts w:hint="default" w:eastAsia="仿宋_GB2312"/>
                <w:color w:val="auto"/>
                <w:sz w:val="22"/>
                <w:lang w:val="en-US" w:eastAsia="zh-CN"/>
              </w:rPr>
            </w:pPr>
            <w:r>
              <w:rPr>
                <w:rFonts w:hint="eastAsia"/>
                <w:color w:val="auto"/>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440" w:firstLineChars="200"/>
              <w:jc w:val="center"/>
              <w:textAlignment w:val="auto"/>
              <w:rPr>
                <w:color w:val="auto"/>
                <w:sz w:val="22"/>
              </w:rPr>
            </w:pPr>
            <w:r>
              <w:rPr>
                <w:rFonts w:hint="eastAsia"/>
                <w:color w:val="auto"/>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440" w:firstLineChars="200"/>
              <w:jc w:val="center"/>
              <w:textAlignment w:val="auto"/>
              <w:rPr>
                <w:rFonts w:hint="default" w:eastAsia="仿宋_GB2312"/>
                <w:color w:val="auto"/>
                <w:sz w:val="22"/>
                <w:lang w:val="en-US" w:eastAsia="zh-CN"/>
              </w:rPr>
            </w:pPr>
            <w:r>
              <w:rPr>
                <w:rFonts w:hint="eastAsia"/>
                <w:color w:val="auto"/>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440" w:firstLineChars="200"/>
              <w:jc w:val="center"/>
              <w:textAlignment w:val="auto"/>
              <w:rPr>
                <w:rFonts w:hint="default" w:eastAsia="仿宋_GB2312"/>
                <w:color w:val="auto"/>
                <w:sz w:val="22"/>
                <w:lang w:val="en-US" w:eastAsia="zh-CN"/>
              </w:rPr>
            </w:pPr>
            <w:r>
              <w:rPr>
                <w:rFonts w:hint="eastAsia"/>
                <w:color w:val="auto"/>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442" w:firstLineChars="200"/>
              <w:jc w:val="center"/>
              <w:textAlignment w:val="auto"/>
              <w:rPr>
                <w:rFonts w:cs="宋体"/>
                <w:b/>
                <w:bCs/>
                <w:color w:val="auto"/>
                <w:sz w:val="22"/>
              </w:rPr>
            </w:pPr>
            <w:r>
              <w:rPr>
                <w:rFonts w:hint="eastAsia" w:cs="宋体"/>
                <w:b/>
                <w:bCs/>
                <w:color w:val="auto"/>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442" w:firstLineChars="200"/>
              <w:jc w:val="center"/>
              <w:textAlignment w:val="auto"/>
              <w:rPr>
                <w:rFonts w:hint="default" w:eastAsia="仿宋_GB2312"/>
                <w:b/>
                <w:bCs/>
                <w:color w:val="auto"/>
                <w:sz w:val="22"/>
                <w:lang w:val="en-US" w:eastAsia="zh-CN"/>
              </w:rPr>
            </w:pPr>
            <w:r>
              <w:rPr>
                <w:rFonts w:hint="eastAsia"/>
                <w:b/>
                <w:bCs/>
                <w:color w:val="auto"/>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442" w:firstLineChars="200"/>
              <w:jc w:val="center"/>
              <w:textAlignment w:val="auto"/>
              <w:rPr>
                <w:rFonts w:hint="default" w:eastAsia="仿宋_GB2312"/>
                <w:b/>
                <w:bCs/>
                <w:color w:val="auto"/>
                <w:sz w:val="22"/>
                <w:lang w:val="en-US" w:eastAsia="zh-CN"/>
              </w:rPr>
            </w:pPr>
            <w:r>
              <w:rPr>
                <w:rFonts w:hint="eastAsia"/>
                <w:b/>
                <w:bCs/>
                <w:color w:val="auto"/>
                <w:sz w:val="22"/>
                <w:lang w:val="en-US" w:eastAsia="zh-CN"/>
              </w:rPr>
              <w:t>100</w:t>
            </w:r>
          </w:p>
        </w:tc>
      </w:tr>
    </w:tbl>
    <w:p>
      <w:pPr>
        <w:pStyle w:val="3"/>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b w:val="0"/>
          <w:bCs w:val="0"/>
          <w:color w:val="auto"/>
        </w:rPr>
      </w:pPr>
      <w:bookmarkStart w:id="9" w:name="_Toc68703836"/>
      <w:r>
        <w:rPr>
          <w:rFonts w:hint="eastAsia" w:ascii="仿宋_GB2312" w:eastAsia="仿宋_GB2312"/>
          <w:b w:val="0"/>
          <w:bCs w:val="0"/>
          <w:color w:val="auto"/>
        </w:rPr>
        <w:t>（二）评价结论</w:t>
      </w:r>
      <w:bookmarkEnd w:id="9"/>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例如：本项目的项目决策、项目过程、项目产出、项目效益达到了预期要求，最终得分为100分，项目达成年度指标。</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p>
    <w:p>
      <w:pPr>
        <w:pStyle w:val="2"/>
        <w:pageBreakBefore w:val="0"/>
        <w:kinsoku/>
        <w:wordWrap/>
        <w:overflowPunct/>
        <w:topLinePunct w:val="0"/>
        <w:autoSpaceDE/>
        <w:autoSpaceDN/>
        <w:bidi w:val="0"/>
        <w:adjustRightInd/>
        <w:snapToGrid/>
        <w:spacing w:before="0" w:after="0" w:line="560" w:lineRule="exact"/>
        <w:ind w:firstLine="643" w:firstLineChars="200"/>
        <w:textAlignment w:val="auto"/>
        <w:rPr>
          <w:rFonts w:ascii="宋体" w:hAnsi="宋体" w:eastAsia="宋体"/>
          <w:color w:val="auto"/>
          <w:sz w:val="32"/>
          <w:szCs w:val="32"/>
        </w:rPr>
      </w:pPr>
      <w:bookmarkStart w:id="10" w:name="_Toc68703837"/>
      <w:r>
        <w:rPr>
          <w:rFonts w:hint="eastAsia" w:ascii="宋体" w:hAnsi="宋体" w:eastAsia="宋体"/>
          <w:color w:val="auto"/>
          <w:sz w:val="32"/>
          <w:szCs w:val="32"/>
        </w:rPr>
        <w:t>四、绩效评价指标分析</w:t>
      </w:r>
      <w:bookmarkEnd w:id="10"/>
    </w:p>
    <w:p>
      <w:pPr>
        <w:pStyle w:val="3"/>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b w:val="0"/>
          <w:bCs w:val="0"/>
          <w:color w:val="auto"/>
        </w:rPr>
      </w:pPr>
      <w:bookmarkStart w:id="11" w:name="_Toc68703838"/>
      <w:r>
        <w:rPr>
          <w:rFonts w:hint="eastAsia" w:ascii="仿宋_GB2312" w:eastAsia="仿宋_GB2312"/>
          <w:b w:val="0"/>
          <w:bCs w:val="0"/>
          <w:color w:val="auto"/>
        </w:rPr>
        <w:t>（一）项目决策情况。</w:t>
      </w:r>
      <w:bookmarkEnd w:id="11"/>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1、立项依据充分性</w:t>
      </w:r>
    </w:p>
    <w:p>
      <w:pPr>
        <w:spacing w:line="360" w:lineRule="auto"/>
        <w:ind w:firstLine="600" w:firstLineChars="200"/>
        <w:rPr>
          <w:color w:val="FF0000"/>
        </w:rPr>
      </w:pPr>
      <w:r>
        <w:rPr>
          <w:rFonts w:hint="eastAsia"/>
          <w:color w:val="auto"/>
        </w:rPr>
        <w:t>项目立项依据《</w:t>
      </w:r>
      <w:r>
        <w:rPr>
          <w:rFonts w:hint="eastAsia"/>
          <w:color w:val="auto"/>
          <w:lang w:val="en-US" w:eastAsia="zh-CN"/>
        </w:rPr>
        <w:t>关于印发基本公共卫生服务等5项补助资金管理办法</w:t>
      </w:r>
      <w:r>
        <w:rPr>
          <w:rFonts w:hint="eastAsia"/>
          <w:color w:val="auto"/>
        </w:rPr>
        <w:t>》</w:t>
      </w:r>
      <w:r>
        <w:rPr>
          <w:rFonts w:hint="eastAsia"/>
          <w:color w:val="auto"/>
          <w:lang w:eastAsia="zh-CN"/>
        </w:rPr>
        <w:t>（</w:t>
      </w:r>
      <w:r>
        <w:rPr>
          <w:rFonts w:hint="eastAsia"/>
          <w:color w:val="auto"/>
          <w:lang w:val="en-US" w:eastAsia="zh-CN"/>
        </w:rPr>
        <w:t>新财规【2020】7号</w:t>
      </w:r>
      <w:r>
        <w:rPr>
          <w:rFonts w:hint="eastAsia"/>
          <w:color w:val="auto"/>
          <w:lang w:eastAsia="zh-CN"/>
        </w:rPr>
        <w:t>）</w:t>
      </w:r>
      <w:r>
        <w:rPr>
          <w:rFonts w:hint="eastAsia"/>
          <w:color w:val="auto"/>
          <w:lang w:val="en-US" w:eastAsia="zh-CN"/>
        </w:rPr>
        <w:t>等文件有关规定及</w:t>
      </w:r>
      <w:r>
        <w:rPr>
          <w:rFonts w:hint="eastAsia"/>
          <w:color w:val="auto"/>
        </w:rPr>
        <w:t>者</w:t>
      </w:r>
      <w:r>
        <w:rPr>
          <w:rFonts w:hint="eastAsia"/>
          <w:color w:val="auto"/>
          <w:lang w:eastAsia="zh-CN"/>
        </w:rPr>
        <w:t>《</w:t>
      </w:r>
      <w:r>
        <w:rPr>
          <w:rFonts w:hint="eastAsia"/>
          <w:color w:val="auto"/>
          <w:lang w:val="en-US" w:eastAsia="zh-CN"/>
        </w:rPr>
        <w:t>自治区财政资金使用跟踪反馈管理暂行办法</w:t>
      </w:r>
      <w:r>
        <w:rPr>
          <w:rFonts w:hint="eastAsia"/>
          <w:color w:val="auto"/>
          <w:lang w:eastAsia="zh-CN"/>
        </w:rPr>
        <w:t>》（</w:t>
      </w:r>
      <w:r>
        <w:rPr>
          <w:rFonts w:hint="eastAsia"/>
          <w:color w:val="auto"/>
          <w:lang w:val="en-US" w:eastAsia="zh-CN"/>
        </w:rPr>
        <w:t>新财规【2016】113号</w:t>
      </w:r>
      <w:r>
        <w:rPr>
          <w:rFonts w:hint="eastAsia"/>
          <w:color w:val="auto"/>
          <w:lang w:eastAsia="zh-CN"/>
        </w:rPr>
        <w:t>）</w:t>
      </w:r>
      <w:r>
        <w:rPr>
          <w:rFonts w:hint="eastAsia"/>
          <w:color w:val="auto"/>
          <w:lang w:val="en-US" w:eastAsia="zh-CN"/>
        </w:rPr>
        <w:t>规定；</w:t>
      </w:r>
      <w:r>
        <w:rPr>
          <w:rFonts w:hint="eastAsia"/>
          <w:color w:val="auto"/>
        </w:rPr>
        <w:t>项目立项符合行业发展规划和政策要求；项目立项与部门职责范围相符，属于部门履职所需；项目属于公共财政支持范围，符合中央、地方事权支出责任划分原则；项目</w:t>
      </w:r>
      <w:r>
        <w:rPr>
          <w:rFonts w:hint="eastAsia"/>
          <w:color w:val="auto"/>
          <w:lang w:val="en-US" w:eastAsia="zh-CN"/>
        </w:rPr>
        <w:t>不</w:t>
      </w:r>
      <w:r>
        <w:rPr>
          <w:rFonts w:hint="eastAsia"/>
          <w:color w:val="auto"/>
        </w:rPr>
        <w:t>与相关部门同类项目或部门内部相关项目重复。</w:t>
      </w:r>
    </w:p>
    <w:p>
      <w:pPr>
        <w:pageBreakBefore w:val="0"/>
        <w:kinsoku/>
        <w:wordWrap/>
        <w:overflowPunct/>
        <w:topLinePunct w:val="0"/>
        <w:autoSpaceDE/>
        <w:autoSpaceDN/>
        <w:bidi w:val="0"/>
        <w:adjustRightInd/>
        <w:snapToGrid/>
        <w:spacing w:line="560" w:lineRule="exact"/>
        <w:ind w:firstLine="600" w:firstLineChars="200"/>
        <w:textAlignment w:val="auto"/>
        <w:rPr>
          <w:rFonts w:hint="default" w:eastAsia="仿宋_GB2312"/>
          <w:color w:val="auto"/>
          <w:lang w:val="en-US" w:eastAsia="zh-CN"/>
        </w:rPr>
      </w:pP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2、立项程序规范性</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项目按照规定的程序申请设立；审批文件、材料符合相关要求；</w:t>
      </w:r>
    </w:p>
    <w:p>
      <w:pPr>
        <w:pageBreakBefore w:val="0"/>
        <w:kinsoku/>
        <w:wordWrap/>
        <w:overflowPunct/>
        <w:topLinePunct w:val="0"/>
        <w:autoSpaceDE/>
        <w:autoSpaceDN/>
        <w:bidi w:val="0"/>
        <w:adjustRightInd/>
        <w:snapToGrid/>
        <w:spacing w:line="560" w:lineRule="exact"/>
        <w:textAlignment w:val="auto"/>
        <w:rPr>
          <w:color w:val="auto"/>
        </w:rPr>
      </w:pPr>
      <w:r>
        <w:rPr>
          <w:rFonts w:hint="eastAsia"/>
          <w:color w:val="auto"/>
        </w:rPr>
        <w:t>事前已经过必要的可行性研究、专家论证、风险评估、绩效评估、集体决策。</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3、绩效目标合理性</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医疗服务与保障能力提升（医疗卫生机构能力建设）项目设立了项目绩效目标，与</w:t>
      </w:r>
      <w:r>
        <w:rPr>
          <w:rFonts w:hint="eastAsia"/>
          <w:color w:val="auto"/>
          <w:lang w:val="en-US" w:eastAsia="zh-CN"/>
        </w:rPr>
        <w:t>提升特克斯县疾病预防控制中心疾病预防能力建设及检验检测能力</w:t>
      </w:r>
      <w:r>
        <w:rPr>
          <w:rFonts w:hint="eastAsia"/>
          <w:color w:val="auto"/>
        </w:rPr>
        <w:t>具有相关性，项目的预期产出效益和效果也均能符合正常的业绩水平，并且与预算确定的项目投资额或资金量相匹配。</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4、绩效指标明确性</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bookmarkStart w:id="12" w:name="_Hlk68699917"/>
      <w:r>
        <w:rPr>
          <w:rFonts w:hint="eastAsia"/>
          <w:color w:val="auto"/>
        </w:rPr>
        <w:t>医疗服务与保障能力提升（医疗卫生机构能力建设）项目将项目绩效目标细化分解为具体的绩效指标，一级指标共</w:t>
      </w:r>
      <w:r>
        <w:rPr>
          <w:rFonts w:hint="eastAsia"/>
          <w:color w:val="auto"/>
          <w:lang w:val="en-US" w:eastAsia="zh-CN"/>
        </w:rPr>
        <w:t>3</w:t>
      </w:r>
      <w:r>
        <w:rPr>
          <w:rFonts w:hint="eastAsia"/>
          <w:color w:val="auto"/>
        </w:rPr>
        <w:t>条，二级指标共</w:t>
      </w:r>
      <w:r>
        <w:rPr>
          <w:rFonts w:hint="eastAsia"/>
          <w:color w:val="auto"/>
          <w:lang w:val="en-US" w:eastAsia="zh-CN"/>
        </w:rPr>
        <w:t>7</w:t>
      </w:r>
      <w:r>
        <w:rPr>
          <w:rFonts w:hint="eastAsia"/>
          <w:color w:val="auto"/>
        </w:rPr>
        <w:t>条，三级指标共</w:t>
      </w:r>
      <w:r>
        <w:rPr>
          <w:rFonts w:hint="eastAsia"/>
          <w:color w:val="auto"/>
          <w:lang w:val="en-US" w:eastAsia="zh-CN"/>
        </w:rPr>
        <w:t>9</w:t>
      </w:r>
      <w:r>
        <w:rPr>
          <w:rFonts w:hint="eastAsia"/>
          <w:color w:val="auto"/>
        </w:rPr>
        <w:t>条，其中量化指标条数共</w:t>
      </w:r>
      <w:r>
        <w:rPr>
          <w:rFonts w:hint="eastAsia"/>
          <w:color w:val="auto"/>
          <w:lang w:val="en-US" w:eastAsia="zh-CN"/>
        </w:rPr>
        <w:t>7</w:t>
      </w:r>
      <w:r>
        <w:rPr>
          <w:rFonts w:hint="eastAsia"/>
          <w:color w:val="auto"/>
        </w:rPr>
        <w:t>条，所有绩效指标均通过清晰、可衡量的指标值予以体现，并且做到了与项目目标任务数或计划数相对应。</w:t>
      </w:r>
      <w:bookmarkEnd w:id="12"/>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5、预算编制科学性</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color w:val="auto"/>
        </w:rPr>
      </w:pPr>
      <w:r>
        <w:rPr>
          <w:rFonts w:hint="eastAsia"/>
          <w:color w:val="auto"/>
        </w:rPr>
        <w:t>项目预算编制经过科学论证；预算内容与项目内容匹配；预算额度测算依据充分，按照标准编制；预算确定的项目资金量与工作任务相匹配。</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6、资金分配合理性</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项目预算资金分配依据充分；资金分配额度合理，与项目单位</w:t>
      </w:r>
      <w:r>
        <w:rPr>
          <w:rFonts w:hint="eastAsia"/>
          <w:color w:val="auto"/>
          <w:lang w:val="en-US" w:eastAsia="zh-CN"/>
        </w:rPr>
        <w:t>及</w:t>
      </w:r>
      <w:r>
        <w:rPr>
          <w:rFonts w:hint="eastAsia"/>
          <w:color w:val="auto"/>
        </w:rPr>
        <w:t>地方实际相适应。</w:t>
      </w:r>
    </w:p>
    <w:p>
      <w:pPr>
        <w:pStyle w:val="3"/>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b w:val="0"/>
          <w:bCs w:val="0"/>
          <w:color w:val="auto"/>
        </w:rPr>
      </w:pPr>
      <w:bookmarkStart w:id="13" w:name="_Toc68703839"/>
      <w:r>
        <w:rPr>
          <w:rFonts w:hint="eastAsia" w:ascii="仿宋_GB2312" w:eastAsia="仿宋_GB2312"/>
          <w:b w:val="0"/>
          <w:bCs w:val="0"/>
          <w:color w:val="auto"/>
        </w:rPr>
        <w:t>（二）项目过程情况。</w:t>
      </w:r>
      <w:bookmarkEnd w:id="13"/>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1、资金到位率：</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预算资金</w:t>
      </w:r>
      <w:r>
        <w:rPr>
          <w:rFonts w:hint="eastAsia"/>
          <w:color w:val="auto"/>
          <w:lang w:val="en-US" w:eastAsia="zh-CN"/>
        </w:rPr>
        <w:t>200</w:t>
      </w:r>
      <w:r>
        <w:rPr>
          <w:rFonts w:hint="eastAsia"/>
          <w:color w:val="auto"/>
        </w:rPr>
        <w:t>万元，实际到位资金</w:t>
      </w:r>
      <w:r>
        <w:rPr>
          <w:rFonts w:hint="eastAsia"/>
          <w:color w:val="auto"/>
          <w:lang w:val="en-US" w:eastAsia="zh-CN"/>
        </w:rPr>
        <w:t>200</w:t>
      </w:r>
      <w:r>
        <w:rPr>
          <w:rFonts w:hint="eastAsia"/>
          <w:color w:val="auto"/>
        </w:rPr>
        <w:t>万元，资金到位率</w:t>
      </w:r>
      <w:r>
        <w:rPr>
          <w:rFonts w:hint="eastAsia"/>
          <w:color w:val="auto"/>
          <w:lang w:val="en-US" w:eastAsia="zh-CN"/>
        </w:rPr>
        <w:t>100</w:t>
      </w:r>
      <w:r>
        <w:rPr>
          <w:rFonts w:hint="eastAsia"/>
          <w:color w:val="auto"/>
        </w:rPr>
        <w:t>%。</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2、预算执行率</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eastAsia="仿宋_GB2312"/>
          <w:color w:val="auto"/>
          <w:lang w:eastAsia="zh-CN"/>
        </w:rPr>
      </w:pPr>
      <w:r>
        <w:rPr>
          <w:rFonts w:hint="eastAsia"/>
          <w:color w:val="auto"/>
        </w:rPr>
        <w:t>年初预算数</w:t>
      </w:r>
      <w:r>
        <w:rPr>
          <w:rFonts w:hint="eastAsia"/>
          <w:color w:val="auto"/>
          <w:lang w:val="en-US" w:eastAsia="zh-CN"/>
        </w:rPr>
        <w:t>200</w:t>
      </w:r>
      <w:r>
        <w:rPr>
          <w:rFonts w:hint="eastAsia"/>
          <w:color w:val="auto"/>
        </w:rPr>
        <w:t>万元，全年预算数</w:t>
      </w:r>
      <w:r>
        <w:rPr>
          <w:rFonts w:hint="eastAsia"/>
          <w:color w:val="auto"/>
          <w:lang w:val="en-US" w:eastAsia="zh-CN"/>
        </w:rPr>
        <w:t>200</w:t>
      </w:r>
      <w:r>
        <w:rPr>
          <w:rFonts w:hint="eastAsia"/>
          <w:color w:val="auto"/>
        </w:rPr>
        <w:t>万元，全年执行数</w:t>
      </w:r>
      <w:r>
        <w:rPr>
          <w:rFonts w:hint="eastAsia"/>
          <w:color w:val="auto"/>
          <w:lang w:val="en-US" w:eastAsia="zh-CN"/>
        </w:rPr>
        <w:t>200</w:t>
      </w:r>
      <w:r>
        <w:rPr>
          <w:rFonts w:hint="eastAsia"/>
          <w:color w:val="auto"/>
        </w:rPr>
        <w:t>万元，预算执行率为</w:t>
      </w:r>
      <w:r>
        <w:rPr>
          <w:rFonts w:hint="eastAsia"/>
          <w:color w:val="auto"/>
          <w:lang w:val="en-US" w:eastAsia="zh-CN"/>
        </w:rPr>
        <w:t>100</w:t>
      </w:r>
      <w:r>
        <w:rPr>
          <w:rFonts w:hint="eastAsia"/>
          <w:color w:val="auto"/>
        </w:rPr>
        <w:t>%</w:t>
      </w:r>
      <w:r>
        <w:rPr>
          <w:rFonts w:hint="eastAsia"/>
          <w:color w:val="auto"/>
          <w:lang w:eastAsia="zh-CN"/>
        </w:rPr>
        <w:t>。</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3、资金使用合规性</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项目</w:t>
      </w:r>
      <w:r>
        <w:rPr>
          <w:rFonts w:hint="eastAsia"/>
          <w:color w:val="auto"/>
          <w:lang w:val="en-US" w:eastAsia="zh-CN"/>
        </w:rPr>
        <w:t>资金使用</w:t>
      </w:r>
      <w:r>
        <w:rPr>
          <w:rFonts w:hint="eastAsia"/>
          <w:color w:val="auto"/>
        </w:rPr>
        <w:t>符合国家财经法规和财务管理制度以及有关专项资金管理办法的规定；资金的拨付有完整的审批程序和手续；</w:t>
      </w:r>
      <w:r>
        <w:rPr>
          <w:rFonts w:hint="eastAsia"/>
          <w:color w:val="auto"/>
          <w:lang w:val="en-US" w:eastAsia="zh-CN"/>
        </w:rPr>
        <w:t>资金使用</w:t>
      </w:r>
      <w:r>
        <w:rPr>
          <w:rFonts w:hint="eastAsia"/>
          <w:color w:val="auto"/>
        </w:rPr>
        <w:t>符合项目预算批复或合同规定的用途；</w:t>
      </w:r>
      <w:r>
        <w:rPr>
          <w:rFonts w:hint="eastAsia"/>
          <w:color w:val="auto"/>
          <w:lang w:val="en-US" w:eastAsia="zh-CN"/>
        </w:rPr>
        <w:t>不</w:t>
      </w:r>
      <w:r>
        <w:rPr>
          <w:rFonts w:hint="eastAsia"/>
          <w:color w:val="auto"/>
        </w:rPr>
        <w:t>存在截留、挤占、挪用、虚列支出等情况。</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4、管理制度健全性</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项目已制定或具有相应的财务和业务管理制度；财务和业务管理制度合法、合规、完整。</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5、制度执行有效性</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项目</w:t>
      </w:r>
      <w:r>
        <w:rPr>
          <w:rFonts w:hint="eastAsia"/>
          <w:color w:val="auto"/>
          <w:lang w:val="en-US" w:eastAsia="zh-CN"/>
        </w:rPr>
        <w:t>制度</w:t>
      </w:r>
      <w:r>
        <w:rPr>
          <w:rFonts w:hint="eastAsia"/>
          <w:color w:val="auto"/>
        </w:rPr>
        <w:t>遵守相关法律法规和相关管理规定；项目调整及支出调整手续完备；项目合同书、验收报告、技术鉴定等资料齐全并及时归档；项目实施的人员条件、场地设备、信息支撑等落实到位。</w:t>
      </w:r>
    </w:p>
    <w:p>
      <w:pPr>
        <w:pStyle w:val="3"/>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b w:val="0"/>
          <w:bCs w:val="0"/>
          <w:color w:val="auto"/>
        </w:rPr>
      </w:pPr>
      <w:bookmarkStart w:id="14" w:name="_Toc68703840"/>
      <w:r>
        <w:rPr>
          <w:rFonts w:hint="eastAsia" w:ascii="仿宋_GB2312" w:eastAsia="仿宋_GB2312"/>
          <w:b w:val="0"/>
          <w:bCs w:val="0"/>
          <w:color w:val="auto"/>
        </w:rPr>
        <w:t>（三）项目产出情况。</w:t>
      </w:r>
      <w:bookmarkEnd w:id="14"/>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例如：</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eastAsia="仿宋_GB2312"/>
          <w:color w:val="auto"/>
          <w:lang w:eastAsia="zh-CN"/>
        </w:rPr>
      </w:pPr>
      <w:r>
        <w:rPr>
          <w:rFonts w:hint="eastAsia"/>
          <w:color w:val="auto"/>
        </w:rPr>
        <w:t>1、数量指标：指标1：县级疾控机构覆盖率，指标值</w:t>
      </w:r>
      <w:r>
        <w:rPr>
          <w:rFonts w:hint="eastAsia"/>
          <w:color w:val="auto"/>
          <w:lang w:val="en-US" w:eastAsia="zh-CN"/>
        </w:rPr>
        <w:t>100%</w:t>
      </w:r>
      <w:r>
        <w:rPr>
          <w:rFonts w:hint="eastAsia"/>
          <w:color w:val="auto"/>
        </w:rPr>
        <w:t>，实际完成值</w:t>
      </w:r>
      <w:r>
        <w:rPr>
          <w:rFonts w:hint="eastAsia"/>
          <w:color w:val="auto"/>
          <w:lang w:val="en-US" w:eastAsia="zh-CN"/>
        </w:rPr>
        <w:t>100%</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color w:val="auto"/>
        </w:rPr>
        <w:t>2</w:t>
      </w:r>
      <w:r>
        <w:rPr>
          <w:rFonts w:hint="eastAsia"/>
          <w:color w:val="auto"/>
        </w:rPr>
        <w:t>、质量指标：指标1：购置质量验收合格率，指标值：</w:t>
      </w:r>
      <w:r>
        <w:rPr>
          <w:rFonts w:hint="eastAsia"/>
          <w:color w:val="auto"/>
          <w:lang w:val="en-US" w:eastAsia="zh-CN"/>
        </w:rPr>
        <w:t>100%</w:t>
      </w:r>
      <w:r>
        <w:rPr>
          <w:rFonts w:hint="eastAsia"/>
          <w:color w:val="auto"/>
        </w:rPr>
        <w:t>，实际完成值</w:t>
      </w:r>
      <w:r>
        <w:rPr>
          <w:rFonts w:hint="eastAsia"/>
          <w:color w:val="auto"/>
          <w:lang w:val="en-US" w:eastAsia="zh-CN"/>
        </w:rPr>
        <w:t>100%</w:t>
      </w:r>
      <w:r>
        <w:rPr>
          <w:rFonts w:hint="eastAsia"/>
          <w:color w:val="auto"/>
        </w:rPr>
        <w:t>，指标完成率</w:t>
      </w:r>
      <w:r>
        <w:rPr>
          <w:rFonts w:hint="eastAsia"/>
          <w:color w:val="auto"/>
          <w:lang w:val="en-US" w:eastAsia="zh-CN"/>
        </w:rPr>
        <w:t>100%</w:t>
      </w:r>
      <w:r>
        <w:rPr>
          <w:rFonts w:hint="eastAsia"/>
          <w:color w:val="auto"/>
        </w:rPr>
        <w:t>；指标2：项目覆盖县区级疾控机构基本检验能力较上年提升比例，指标值：≥10%，实际完成值</w:t>
      </w:r>
      <w:r>
        <w:rPr>
          <w:rFonts w:hint="eastAsia"/>
          <w:color w:val="auto"/>
          <w:lang w:val="en-US" w:eastAsia="zh-CN"/>
        </w:rPr>
        <w:t>3</w:t>
      </w:r>
      <w:r>
        <w:rPr>
          <w:rFonts w:hint="eastAsia"/>
          <w:color w:val="auto"/>
        </w:rPr>
        <w:t>0%，指标完成率</w:t>
      </w:r>
      <w:r>
        <w:rPr>
          <w:rFonts w:hint="eastAsia"/>
          <w:color w:val="auto"/>
          <w:lang w:val="en-US" w:eastAsia="zh-CN"/>
        </w:rPr>
        <w:t>100</w:t>
      </w:r>
      <w:r>
        <w:rPr>
          <w:rFonts w:hint="eastAsia"/>
          <w:color w:val="auto"/>
        </w:rPr>
        <w:t>%。</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eastAsia="仿宋_GB2312"/>
          <w:color w:val="auto"/>
          <w:lang w:eastAsia="zh-CN"/>
        </w:rPr>
      </w:pPr>
      <w:r>
        <w:rPr>
          <w:rFonts w:hint="eastAsia"/>
          <w:color w:val="auto"/>
        </w:rPr>
        <w:t>3、时效指标：</w:t>
      </w:r>
      <w:r>
        <w:rPr>
          <w:rFonts w:hint="eastAsia"/>
          <w:color w:val="auto"/>
          <w:lang w:val="en-US" w:eastAsia="zh-CN"/>
        </w:rPr>
        <w:t>指标1：</w:t>
      </w:r>
      <w:r>
        <w:rPr>
          <w:rFonts w:hint="eastAsia"/>
          <w:color w:val="auto"/>
        </w:rPr>
        <w:t>项目完成及时率</w:t>
      </w:r>
      <w:r>
        <w:rPr>
          <w:rFonts w:hint="eastAsia"/>
          <w:color w:val="auto"/>
          <w:lang w:eastAsia="zh-CN"/>
        </w:rPr>
        <w:t>，</w:t>
      </w:r>
      <w:r>
        <w:rPr>
          <w:rFonts w:hint="eastAsia"/>
          <w:color w:val="auto"/>
        </w:rPr>
        <w:t>指标值：</w:t>
      </w:r>
      <w:r>
        <w:rPr>
          <w:rFonts w:hint="eastAsia"/>
          <w:color w:val="auto"/>
          <w:lang w:val="en-US" w:eastAsia="zh-CN"/>
        </w:rPr>
        <w:t>100%</w:t>
      </w:r>
      <w:r>
        <w:rPr>
          <w:rFonts w:hint="eastAsia"/>
          <w:color w:val="auto"/>
        </w:rPr>
        <w:t>，实际完成值</w:t>
      </w:r>
      <w:r>
        <w:rPr>
          <w:rFonts w:hint="eastAsia"/>
          <w:color w:val="auto"/>
          <w:lang w:val="en-US" w:eastAsia="zh-CN"/>
        </w:rPr>
        <w:t>100%</w:t>
      </w:r>
      <w:r>
        <w:rPr>
          <w:rFonts w:hint="eastAsia"/>
          <w:color w:val="auto"/>
        </w:rPr>
        <w:t>，指标完成率</w:t>
      </w:r>
      <w:r>
        <w:rPr>
          <w:rFonts w:hint="eastAsia"/>
          <w:color w:val="auto"/>
          <w:lang w:val="en-US" w:eastAsia="zh-CN"/>
        </w:rPr>
        <w:t>100%。</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eastAsia="仿宋_GB2312"/>
          <w:color w:val="auto"/>
          <w:highlight w:val="none"/>
          <w:lang w:eastAsia="zh-CN"/>
        </w:rPr>
      </w:pPr>
      <w:r>
        <w:rPr>
          <w:rFonts w:hint="eastAsia"/>
          <w:color w:val="auto"/>
        </w:rPr>
        <w:t>4、</w:t>
      </w:r>
      <w:r>
        <w:rPr>
          <w:rFonts w:hint="eastAsia"/>
          <w:color w:val="auto"/>
          <w:highlight w:val="none"/>
        </w:rPr>
        <w:t>成本指标</w:t>
      </w:r>
      <w:r>
        <w:rPr>
          <w:rFonts w:hint="eastAsia"/>
          <w:color w:val="auto"/>
          <w:highlight w:val="none"/>
          <w:lang w:eastAsia="zh-CN"/>
        </w:rPr>
        <w:t>：</w:t>
      </w:r>
      <w:r>
        <w:rPr>
          <w:rFonts w:hint="eastAsia"/>
          <w:color w:val="auto"/>
          <w:highlight w:val="none"/>
          <w:lang w:val="en-US" w:eastAsia="zh-CN"/>
        </w:rPr>
        <w:t>指标1：</w:t>
      </w:r>
      <w:r>
        <w:rPr>
          <w:rFonts w:hint="eastAsia"/>
          <w:color w:val="auto"/>
          <w:highlight w:val="none"/>
        </w:rPr>
        <w:t>设备购置成本</w:t>
      </w:r>
      <w:r>
        <w:rPr>
          <w:rFonts w:hint="eastAsia"/>
          <w:color w:val="auto"/>
          <w:highlight w:val="none"/>
          <w:lang w:eastAsia="zh-CN"/>
        </w:rPr>
        <w:t>，</w:t>
      </w:r>
      <w:r>
        <w:rPr>
          <w:rFonts w:hint="eastAsia"/>
          <w:color w:val="auto"/>
          <w:highlight w:val="none"/>
        </w:rPr>
        <w:t>指标值：≥60%</w:t>
      </w:r>
      <w:r>
        <w:rPr>
          <w:rFonts w:hint="eastAsia"/>
          <w:color w:val="auto"/>
          <w:highlight w:val="none"/>
          <w:lang w:eastAsia="zh-CN"/>
        </w:rPr>
        <w:t>，</w:t>
      </w:r>
      <w:r>
        <w:rPr>
          <w:rFonts w:hint="eastAsia"/>
          <w:color w:val="auto"/>
          <w:highlight w:val="none"/>
        </w:rPr>
        <w:t>实际完成值</w:t>
      </w:r>
      <w:r>
        <w:rPr>
          <w:rFonts w:hint="eastAsia"/>
          <w:color w:val="auto"/>
          <w:highlight w:val="none"/>
          <w:lang w:val="en-US" w:eastAsia="zh-CN"/>
        </w:rPr>
        <w:t>100%</w:t>
      </w:r>
      <w:r>
        <w:rPr>
          <w:rFonts w:hint="eastAsia"/>
          <w:color w:val="auto"/>
          <w:highlight w:val="none"/>
        </w:rPr>
        <w:t>，指标完成率</w:t>
      </w:r>
      <w:r>
        <w:rPr>
          <w:rFonts w:hint="eastAsia"/>
          <w:color w:val="auto"/>
          <w:highlight w:val="none"/>
          <w:lang w:val="en-US" w:eastAsia="zh-CN"/>
        </w:rPr>
        <w:t>100%。</w:t>
      </w:r>
    </w:p>
    <w:p>
      <w:pPr>
        <w:pStyle w:val="3"/>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b w:val="0"/>
          <w:bCs w:val="0"/>
          <w:color w:val="auto"/>
        </w:rPr>
      </w:pPr>
      <w:bookmarkStart w:id="15" w:name="_Toc68703841"/>
      <w:r>
        <w:rPr>
          <w:rFonts w:hint="eastAsia" w:ascii="仿宋_GB2312" w:eastAsia="仿宋_GB2312"/>
          <w:b w:val="0"/>
          <w:bCs w:val="0"/>
          <w:color w:val="auto"/>
        </w:rPr>
        <w:t>（四）项目效益情况。</w:t>
      </w:r>
      <w:bookmarkEnd w:id="15"/>
    </w:p>
    <w:p>
      <w:pPr>
        <w:pageBreakBefore w:val="0"/>
        <w:kinsoku/>
        <w:wordWrap/>
        <w:overflowPunct/>
        <w:topLinePunct w:val="0"/>
        <w:autoSpaceDE/>
        <w:autoSpaceDN/>
        <w:bidi w:val="0"/>
        <w:adjustRightInd/>
        <w:snapToGrid/>
        <w:spacing w:line="560" w:lineRule="exact"/>
        <w:ind w:firstLine="600" w:firstLineChars="200"/>
        <w:textAlignment w:val="auto"/>
        <w:rPr>
          <w:rFonts w:hint="eastAsia" w:eastAsia="仿宋_GB2312"/>
          <w:color w:val="auto"/>
          <w:lang w:eastAsia="zh-CN"/>
        </w:rPr>
      </w:pPr>
      <w:r>
        <w:rPr>
          <w:rFonts w:hint="eastAsia"/>
          <w:color w:val="auto"/>
          <w:lang w:val="en-US" w:eastAsia="zh-CN"/>
        </w:rPr>
        <w:t>1</w:t>
      </w:r>
      <w:r>
        <w:rPr>
          <w:rFonts w:hint="eastAsia"/>
          <w:color w:val="auto"/>
        </w:rPr>
        <w:t>、社会效益指标：</w:t>
      </w:r>
      <w:r>
        <w:rPr>
          <w:rFonts w:hint="eastAsia"/>
          <w:color w:val="auto"/>
          <w:lang w:val="en-US" w:eastAsia="zh-CN"/>
        </w:rPr>
        <w:t>指标1：</w:t>
      </w:r>
      <w:r>
        <w:rPr>
          <w:rFonts w:hint="eastAsia"/>
          <w:color w:val="auto"/>
        </w:rPr>
        <w:t>健康生活方式普及率</w:t>
      </w:r>
      <w:r>
        <w:rPr>
          <w:rFonts w:hint="eastAsia"/>
          <w:color w:val="auto"/>
          <w:lang w:eastAsia="zh-CN"/>
        </w:rPr>
        <w:t>，</w:t>
      </w:r>
      <w:r>
        <w:rPr>
          <w:rFonts w:hint="eastAsia"/>
          <w:color w:val="auto"/>
        </w:rPr>
        <w:t>指标值：≥</w:t>
      </w:r>
      <w:r>
        <w:rPr>
          <w:rFonts w:hint="eastAsia"/>
          <w:color w:val="auto"/>
          <w:lang w:val="en-US" w:eastAsia="zh-CN"/>
        </w:rPr>
        <w:t>8</w:t>
      </w:r>
      <w:r>
        <w:rPr>
          <w:rFonts w:hint="eastAsia"/>
          <w:color w:val="auto"/>
        </w:rPr>
        <w:t>0%</w:t>
      </w:r>
      <w:r>
        <w:rPr>
          <w:rFonts w:hint="eastAsia"/>
          <w:color w:val="auto"/>
          <w:lang w:eastAsia="zh-CN"/>
        </w:rPr>
        <w:t>，</w:t>
      </w:r>
      <w:r>
        <w:rPr>
          <w:rFonts w:hint="eastAsia"/>
          <w:color w:val="auto"/>
        </w:rPr>
        <w:t>实际完成值</w:t>
      </w:r>
      <w:r>
        <w:rPr>
          <w:rFonts w:hint="eastAsia"/>
          <w:color w:val="auto"/>
          <w:lang w:val="en-US" w:eastAsia="zh-CN"/>
        </w:rPr>
        <w:t>80%</w:t>
      </w:r>
      <w:r>
        <w:rPr>
          <w:rFonts w:hint="eastAsia"/>
          <w:color w:val="auto"/>
        </w:rPr>
        <w:t>，指标完成率</w:t>
      </w:r>
      <w:r>
        <w:rPr>
          <w:rFonts w:hint="eastAsia"/>
          <w:color w:val="auto"/>
          <w:lang w:val="en-US" w:eastAsia="zh-CN"/>
        </w:rPr>
        <w:t>100%。</w:t>
      </w:r>
    </w:p>
    <w:p>
      <w:pPr>
        <w:pageBreakBefore w:val="0"/>
        <w:kinsoku/>
        <w:wordWrap/>
        <w:overflowPunct/>
        <w:topLinePunct w:val="0"/>
        <w:autoSpaceDE/>
        <w:autoSpaceDN/>
        <w:bidi w:val="0"/>
        <w:adjustRightInd/>
        <w:snapToGrid/>
        <w:spacing w:line="560" w:lineRule="exact"/>
        <w:ind w:firstLine="600" w:firstLineChars="200"/>
        <w:textAlignment w:val="auto"/>
        <w:rPr>
          <w:rFonts w:hint="default" w:eastAsia="仿宋_GB2312"/>
          <w:color w:val="auto"/>
          <w:lang w:val="en-US" w:eastAsia="zh-CN"/>
        </w:rPr>
      </w:pPr>
      <w:r>
        <w:rPr>
          <w:rFonts w:hint="eastAsia"/>
          <w:color w:val="auto"/>
        </w:rPr>
        <w:t>4、可持续影响指标：指标1：项目覆盖疾控机构服务能力提升</w:t>
      </w:r>
      <w:r>
        <w:rPr>
          <w:rFonts w:hint="eastAsia"/>
          <w:color w:val="auto"/>
          <w:lang w:eastAsia="zh-CN"/>
        </w:rPr>
        <w:t>，</w:t>
      </w:r>
      <w:r>
        <w:rPr>
          <w:rFonts w:hint="eastAsia"/>
          <w:color w:val="auto"/>
        </w:rPr>
        <w:t>指标值：</w:t>
      </w:r>
      <w:r>
        <w:rPr>
          <w:rFonts w:hint="eastAsia"/>
          <w:color w:val="auto"/>
          <w:lang w:val="en-US" w:eastAsia="zh-CN"/>
        </w:rPr>
        <w:t>较上年提升，</w:t>
      </w:r>
      <w:r>
        <w:rPr>
          <w:rFonts w:hint="eastAsia"/>
          <w:color w:val="auto"/>
        </w:rPr>
        <w:t>实际完成值</w:t>
      </w:r>
      <w:r>
        <w:rPr>
          <w:rFonts w:hint="eastAsia"/>
          <w:color w:val="auto"/>
          <w:lang w:eastAsia="zh-CN"/>
        </w:rPr>
        <w:t>：</w:t>
      </w:r>
      <w:r>
        <w:rPr>
          <w:rFonts w:hint="eastAsia"/>
          <w:color w:val="auto"/>
          <w:lang w:val="en-US" w:eastAsia="zh-CN"/>
        </w:rPr>
        <w:t>提升显著，指标完成值100%；</w:t>
      </w:r>
      <w:r>
        <w:rPr>
          <w:rFonts w:hint="eastAsia"/>
          <w:color w:val="auto"/>
        </w:rPr>
        <w:t>指标</w:t>
      </w:r>
      <w:r>
        <w:rPr>
          <w:rFonts w:hint="eastAsia"/>
          <w:color w:val="auto"/>
          <w:lang w:val="en-US" w:eastAsia="zh-CN"/>
        </w:rPr>
        <w:t>2</w:t>
      </w:r>
      <w:r>
        <w:rPr>
          <w:rFonts w:hint="eastAsia"/>
          <w:color w:val="auto"/>
        </w:rPr>
        <w:t>：有效提升公共服务能力</w:t>
      </w:r>
      <w:r>
        <w:rPr>
          <w:rFonts w:hint="eastAsia"/>
          <w:color w:val="auto"/>
          <w:lang w:eastAsia="zh-CN"/>
        </w:rPr>
        <w:t>，</w:t>
      </w:r>
      <w:r>
        <w:rPr>
          <w:rFonts w:hint="eastAsia"/>
          <w:color w:val="auto"/>
          <w:lang w:val="en-US" w:eastAsia="zh-CN"/>
        </w:rPr>
        <w:t>指标值：有效提升，</w:t>
      </w:r>
      <w:r>
        <w:rPr>
          <w:rFonts w:hint="eastAsia"/>
          <w:color w:val="auto"/>
        </w:rPr>
        <w:t>实际完成值</w:t>
      </w:r>
      <w:r>
        <w:rPr>
          <w:rFonts w:hint="eastAsia"/>
          <w:color w:val="auto"/>
          <w:lang w:val="en-US" w:eastAsia="zh-CN"/>
        </w:rPr>
        <w:t>提升显著，指标完成值100%。</w:t>
      </w:r>
    </w:p>
    <w:p>
      <w:pPr>
        <w:pageBreakBefore w:val="0"/>
        <w:kinsoku/>
        <w:wordWrap/>
        <w:overflowPunct/>
        <w:topLinePunct w:val="0"/>
        <w:autoSpaceDE/>
        <w:autoSpaceDN/>
        <w:bidi w:val="0"/>
        <w:adjustRightInd/>
        <w:snapToGrid/>
        <w:spacing w:line="560" w:lineRule="exact"/>
        <w:ind w:firstLine="600" w:firstLineChars="200"/>
        <w:textAlignment w:val="auto"/>
        <w:rPr>
          <w:rFonts w:hint="default" w:eastAsia="仿宋_GB2312"/>
          <w:color w:val="auto"/>
          <w:lang w:val="en-US" w:eastAsia="zh-CN"/>
        </w:rPr>
      </w:pPr>
      <w:r>
        <w:rPr>
          <w:rFonts w:hint="eastAsia"/>
          <w:color w:val="auto"/>
        </w:rPr>
        <w:t>5、满意度指标：患者满意度</w:t>
      </w:r>
      <w:r>
        <w:rPr>
          <w:rFonts w:hint="eastAsia"/>
          <w:color w:val="auto"/>
          <w:lang w:eastAsia="zh-CN"/>
        </w:rPr>
        <w:t>，</w:t>
      </w:r>
      <w:r>
        <w:rPr>
          <w:rFonts w:hint="eastAsia"/>
          <w:color w:val="auto"/>
          <w:lang w:val="en-US" w:eastAsia="zh-CN"/>
        </w:rPr>
        <w:t>指标值：</w:t>
      </w:r>
      <w:r>
        <w:rPr>
          <w:rFonts w:hint="eastAsia"/>
          <w:color w:val="auto"/>
        </w:rPr>
        <w:t>≥</w:t>
      </w:r>
      <w:r>
        <w:rPr>
          <w:rFonts w:hint="eastAsia"/>
          <w:color w:val="auto"/>
          <w:lang w:val="en-US" w:eastAsia="zh-CN"/>
        </w:rPr>
        <w:t>9</w:t>
      </w:r>
      <w:r>
        <w:rPr>
          <w:rFonts w:hint="eastAsia"/>
          <w:color w:val="auto"/>
        </w:rPr>
        <w:t>0%</w:t>
      </w:r>
      <w:r>
        <w:rPr>
          <w:rFonts w:hint="eastAsia"/>
          <w:color w:val="auto"/>
          <w:lang w:eastAsia="zh-CN"/>
        </w:rPr>
        <w:t>，</w:t>
      </w:r>
      <w:r>
        <w:rPr>
          <w:rFonts w:hint="eastAsia"/>
          <w:color w:val="auto"/>
          <w:lang w:val="en-US" w:eastAsia="zh-CN"/>
        </w:rPr>
        <w:t>试剂完成值90%，指标完成值100%。</w:t>
      </w:r>
    </w:p>
    <w:p>
      <w:pPr>
        <w:pStyle w:val="2"/>
        <w:pageBreakBefore w:val="0"/>
        <w:kinsoku/>
        <w:wordWrap/>
        <w:overflowPunct/>
        <w:topLinePunct w:val="0"/>
        <w:autoSpaceDE/>
        <w:autoSpaceDN/>
        <w:bidi w:val="0"/>
        <w:adjustRightInd/>
        <w:snapToGrid/>
        <w:spacing w:before="0" w:after="0" w:line="560" w:lineRule="exact"/>
        <w:ind w:firstLine="643" w:firstLineChars="200"/>
        <w:textAlignment w:val="auto"/>
        <w:rPr>
          <w:rFonts w:ascii="宋体" w:hAnsi="宋体" w:eastAsia="宋体"/>
          <w:color w:val="auto"/>
          <w:sz w:val="32"/>
          <w:szCs w:val="32"/>
        </w:rPr>
      </w:pPr>
      <w:bookmarkStart w:id="16" w:name="_Toc68703842"/>
      <w:r>
        <w:rPr>
          <w:rFonts w:hint="eastAsia" w:ascii="宋体" w:hAnsi="宋体" w:eastAsia="宋体"/>
          <w:color w:val="auto"/>
          <w:sz w:val="32"/>
          <w:szCs w:val="32"/>
        </w:rPr>
        <w:t>五、主要经验及做法、存在的问题及原因分析</w:t>
      </w:r>
      <w:bookmarkEnd w:id="16"/>
    </w:p>
    <w:p>
      <w:pPr>
        <w:pStyle w:val="3"/>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b w:val="0"/>
          <w:bCs w:val="0"/>
          <w:color w:val="auto"/>
        </w:rPr>
      </w:pPr>
      <w:bookmarkStart w:id="17" w:name="_Toc68703843"/>
      <w:r>
        <w:rPr>
          <w:rFonts w:hint="eastAsia" w:ascii="仿宋_GB2312" w:eastAsia="仿宋_GB2312"/>
          <w:b w:val="0"/>
          <w:bCs w:val="0"/>
          <w:color w:val="auto"/>
        </w:rPr>
        <w:t>（一）主要经验及做法</w:t>
      </w:r>
      <w:bookmarkEnd w:id="17"/>
    </w:p>
    <w:p>
      <w:pPr>
        <w:pStyle w:val="3"/>
        <w:pageBreakBefore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eastAsia="仿宋_GB2312"/>
          <w:b w:val="0"/>
          <w:bCs w:val="0"/>
          <w:color w:val="auto"/>
        </w:rPr>
      </w:pPr>
      <w:bookmarkStart w:id="18" w:name="_Toc68703844"/>
      <w:r>
        <w:rPr>
          <w:rFonts w:hint="eastAsia" w:ascii="仿宋_GB2312" w:eastAsia="仿宋_GB2312"/>
          <w:b w:val="0"/>
          <w:bCs w:val="0"/>
          <w:color w:val="auto"/>
        </w:rPr>
        <w:t>本项目严格按照相关规定，专账核算、专人管理，实行集中支付管理，做到资金到项目、管理到项目、核算到项目、责任到项目,并落实绩效管理各项要求，加快项目实施和资金支出进度，最大程度发挥资金使用效益。</w:t>
      </w:r>
    </w:p>
    <w:p>
      <w:r>
        <w:rPr>
          <w:rFonts w:hint="eastAsia"/>
        </w:rPr>
        <w:t>（二）存在的问题及原因分析</w:t>
      </w:r>
      <w:bookmarkEnd w:id="18"/>
    </w:p>
    <w:p>
      <w:pPr>
        <w:rPr>
          <w:rFonts w:hint="eastAsia" w:ascii="仿宋_GB2312" w:eastAsia="仿宋_GB2312" w:hAnsiTheme="majorHAnsi" w:cstheme="majorBidi"/>
          <w:b w:val="0"/>
          <w:bCs w:val="0"/>
          <w:color w:val="auto"/>
          <w:kern w:val="2"/>
          <w:sz w:val="32"/>
          <w:szCs w:val="32"/>
          <w:lang w:val="en-US" w:eastAsia="zh-CN" w:bidi="ar-SA"/>
        </w:rPr>
      </w:pPr>
      <w:bookmarkStart w:id="19" w:name="_Toc68703845"/>
      <w:r>
        <w:rPr>
          <w:rFonts w:hint="eastAsia" w:ascii="仿宋_GB2312" w:eastAsia="仿宋_GB2312" w:hAnsiTheme="majorHAnsi" w:cstheme="majorBidi"/>
          <w:b w:val="0"/>
          <w:bCs w:val="0"/>
          <w:color w:val="auto"/>
          <w:kern w:val="2"/>
          <w:sz w:val="32"/>
          <w:szCs w:val="32"/>
          <w:lang w:val="en-US" w:eastAsia="zh-CN" w:bidi="ar-SA"/>
        </w:rPr>
        <w:t>1.资源配置针对性不强。设置规划的合理性不够，没有按实际需求配置资源。</w:t>
      </w:r>
    </w:p>
    <w:p>
      <w:pPr>
        <w:rPr>
          <w:rFonts w:hint="eastAsia" w:ascii="仿宋_GB2312" w:eastAsia="仿宋_GB2312" w:hAnsiTheme="majorHAnsi" w:cstheme="majorBidi"/>
          <w:b w:val="0"/>
          <w:bCs w:val="0"/>
          <w:color w:val="auto"/>
          <w:kern w:val="2"/>
          <w:sz w:val="32"/>
          <w:szCs w:val="32"/>
          <w:lang w:val="en-US" w:eastAsia="zh-CN" w:bidi="ar-SA"/>
        </w:rPr>
      </w:pPr>
      <w:r>
        <w:rPr>
          <w:rFonts w:hint="eastAsia" w:ascii="仿宋_GB2312" w:eastAsia="仿宋_GB2312" w:hAnsiTheme="majorHAnsi" w:cstheme="majorBidi"/>
          <w:b w:val="0"/>
          <w:bCs w:val="0"/>
          <w:color w:val="auto"/>
          <w:kern w:val="2"/>
          <w:sz w:val="32"/>
          <w:szCs w:val="32"/>
          <w:lang w:val="en-US" w:eastAsia="zh-CN" w:bidi="ar-SA"/>
        </w:rPr>
        <w:t>2.机构发展不均衡，没有建立完整的疾病预防控制体系，存在重治疗轻预防的情况。</w:t>
      </w:r>
    </w:p>
    <w:p>
      <w:pPr>
        <w:rPr>
          <w:rFonts w:hint="eastAsia" w:ascii="仿宋_GB2312" w:eastAsia="仿宋_GB2312" w:hAnsiTheme="majorHAnsi" w:cstheme="majorBidi"/>
          <w:b w:val="0"/>
          <w:bCs w:val="0"/>
          <w:color w:val="auto"/>
          <w:kern w:val="2"/>
          <w:sz w:val="32"/>
          <w:szCs w:val="32"/>
          <w:lang w:val="en-US" w:eastAsia="zh-CN" w:bidi="ar-SA"/>
        </w:rPr>
      </w:pPr>
      <w:r>
        <w:rPr>
          <w:rFonts w:hint="eastAsia" w:ascii="仿宋_GB2312" w:eastAsia="仿宋_GB2312" w:hAnsiTheme="majorHAnsi" w:cstheme="majorBidi"/>
          <w:b w:val="0"/>
          <w:bCs w:val="0"/>
          <w:color w:val="auto"/>
          <w:kern w:val="2"/>
          <w:sz w:val="32"/>
          <w:szCs w:val="32"/>
          <w:lang w:val="en-US" w:eastAsia="zh-CN" w:bidi="ar-SA"/>
        </w:rPr>
        <w:t>3.专业技术人才队伍总量不足，结构不合理，整体素质偏低等问题突出，专业技术人员存在“招不来，留不住”现象。</w:t>
      </w:r>
    </w:p>
    <w:p>
      <w:pPr>
        <w:rPr>
          <w:rFonts w:hint="eastAsia" w:ascii="仿宋_GB2312" w:eastAsia="仿宋_GB2312" w:hAnsiTheme="majorHAnsi" w:cstheme="majorBidi"/>
          <w:b w:val="0"/>
          <w:bCs w:val="0"/>
          <w:color w:val="auto"/>
          <w:kern w:val="2"/>
          <w:sz w:val="32"/>
          <w:szCs w:val="32"/>
          <w:lang w:val="en-US" w:eastAsia="zh-CN" w:bidi="ar-SA"/>
        </w:rPr>
      </w:pPr>
      <w:r>
        <w:rPr>
          <w:rFonts w:hint="eastAsia" w:ascii="仿宋_GB2312" w:eastAsia="仿宋_GB2312" w:hAnsiTheme="majorHAnsi" w:cstheme="majorBidi"/>
          <w:b w:val="0"/>
          <w:bCs w:val="0"/>
          <w:color w:val="auto"/>
          <w:kern w:val="2"/>
          <w:sz w:val="32"/>
          <w:szCs w:val="32"/>
          <w:lang w:val="en-US" w:eastAsia="zh-CN" w:bidi="ar-SA"/>
        </w:rPr>
        <w:t>六、有关建议</w:t>
      </w:r>
      <w:bookmarkEnd w:id="19"/>
    </w:p>
    <w:p>
      <w:pPr>
        <w:rPr>
          <w:rFonts w:hint="eastAsia" w:ascii="仿宋_GB2312" w:eastAsia="仿宋_GB2312" w:hAnsiTheme="majorHAnsi" w:cstheme="majorBidi"/>
          <w:b w:val="0"/>
          <w:bCs w:val="0"/>
          <w:color w:val="auto"/>
          <w:kern w:val="2"/>
          <w:sz w:val="32"/>
          <w:szCs w:val="32"/>
          <w:lang w:val="en-US" w:eastAsia="zh-CN" w:bidi="ar-SA"/>
        </w:rPr>
      </w:pPr>
      <w:bookmarkStart w:id="20" w:name="_Toc68703846"/>
      <w:r>
        <w:rPr>
          <w:rFonts w:hint="eastAsia" w:ascii="仿宋_GB2312" w:eastAsia="仿宋_GB2312" w:hAnsiTheme="majorHAnsi" w:cstheme="majorBidi"/>
          <w:b w:val="0"/>
          <w:bCs w:val="0"/>
          <w:color w:val="auto"/>
          <w:kern w:val="2"/>
          <w:sz w:val="32"/>
          <w:szCs w:val="32"/>
          <w:lang w:val="en-US" w:eastAsia="zh-CN" w:bidi="ar-SA"/>
        </w:rPr>
        <w:t>1.强化项目宣传。进一步加大项目工作宣传力度和健康教育工作，提高群众健康知识知晓率，积极主动参与项目，确保项目工作的顺利开展。</w:t>
      </w:r>
    </w:p>
    <w:p>
      <w:pPr>
        <w:rPr>
          <w:rFonts w:hint="eastAsia" w:ascii="仿宋_GB2312" w:eastAsia="仿宋_GB2312" w:hAnsiTheme="majorHAnsi" w:cstheme="majorBidi"/>
          <w:b w:val="0"/>
          <w:bCs w:val="0"/>
          <w:color w:val="auto"/>
          <w:kern w:val="2"/>
          <w:sz w:val="32"/>
          <w:szCs w:val="32"/>
          <w:lang w:val="en-US" w:eastAsia="zh-CN" w:bidi="ar-SA"/>
        </w:rPr>
      </w:pPr>
      <w:r>
        <w:rPr>
          <w:rFonts w:hint="eastAsia" w:ascii="仿宋_GB2312" w:eastAsia="仿宋_GB2312" w:hAnsiTheme="majorHAnsi" w:cstheme="majorBidi"/>
          <w:b w:val="0"/>
          <w:bCs w:val="0"/>
          <w:color w:val="auto"/>
          <w:kern w:val="2"/>
          <w:sz w:val="32"/>
          <w:szCs w:val="32"/>
          <w:lang w:val="en-US" w:eastAsia="zh-CN" w:bidi="ar-SA"/>
        </w:rPr>
        <w:t>2.强化项目培训。加强公共卫生服务人员项目培训工作，重点培训项目管理方案和技术规范，提高工作人员的技术水平。</w:t>
      </w:r>
    </w:p>
    <w:p>
      <w:pPr>
        <w:rPr>
          <w:rFonts w:hint="eastAsia" w:ascii="仿宋_GB2312" w:eastAsia="仿宋_GB2312" w:hAnsiTheme="majorHAnsi" w:cstheme="majorBidi"/>
          <w:b w:val="0"/>
          <w:bCs w:val="0"/>
          <w:color w:val="auto"/>
          <w:kern w:val="2"/>
          <w:sz w:val="32"/>
          <w:szCs w:val="32"/>
          <w:lang w:val="en-US" w:eastAsia="zh-CN" w:bidi="ar-SA"/>
        </w:rPr>
      </w:pPr>
      <w:r>
        <w:rPr>
          <w:rFonts w:hint="eastAsia" w:ascii="仿宋_GB2312" w:eastAsia="仿宋_GB2312" w:hAnsiTheme="majorHAnsi" w:cstheme="majorBidi"/>
          <w:b w:val="0"/>
          <w:bCs w:val="0"/>
          <w:color w:val="auto"/>
          <w:kern w:val="2"/>
          <w:sz w:val="32"/>
          <w:szCs w:val="32"/>
          <w:lang w:val="en-US" w:eastAsia="zh-CN" w:bidi="ar-SA"/>
        </w:rPr>
        <w:t>3.规范资金使用。按照项目管理方案要求，合理规范使用资金，提高项目资金使用率。</w:t>
      </w:r>
    </w:p>
    <w:p>
      <w:pPr>
        <w:pStyle w:val="2"/>
        <w:pageBreakBefore w:val="0"/>
        <w:kinsoku/>
        <w:wordWrap/>
        <w:overflowPunct/>
        <w:topLinePunct w:val="0"/>
        <w:autoSpaceDE/>
        <w:autoSpaceDN/>
        <w:bidi w:val="0"/>
        <w:adjustRightInd/>
        <w:snapToGrid/>
        <w:spacing w:before="0" w:after="0" w:line="560" w:lineRule="exact"/>
        <w:ind w:firstLine="643" w:firstLineChars="200"/>
        <w:textAlignment w:val="auto"/>
        <w:rPr>
          <w:rFonts w:ascii="宋体" w:hAnsi="宋体" w:eastAsia="宋体"/>
          <w:color w:val="auto"/>
          <w:sz w:val="32"/>
          <w:szCs w:val="32"/>
        </w:rPr>
      </w:pPr>
      <w:r>
        <w:rPr>
          <w:rFonts w:hint="eastAsia" w:ascii="宋体" w:hAnsi="宋体" w:eastAsia="宋体"/>
          <w:color w:val="auto"/>
          <w:sz w:val="32"/>
          <w:szCs w:val="32"/>
        </w:rPr>
        <w:t>七、其他需要说明的问题</w:t>
      </w:r>
      <w:bookmarkEnd w:id="20"/>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无</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p>
    <w:sectPr>
      <w:pgSz w:w="11906" w:h="16838"/>
      <w:pgMar w:top="2098" w:right="1531" w:bottom="1984"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7D49C5"/>
    <w:rsid w:val="005B64E8"/>
    <w:rsid w:val="00614288"/>
    <w:rsid w:val="00792CFE"/>
    <w:rsid w:val="007D49C5"/>
    <w:rsid w:val="008C631D"/>
    <w:rsid w:val="00B24331"/>
    <w:rsid w:val="08C83C0F"/>
    <w:rsid w:val="0C11375B"/>
    <w:rsid w:val="20C5490E"/>
    <w:rsid w:val="33614C16"/>
    <w:rsid w:val="3FED698E"/>
    <w:rsid w:val="41153A3A"/>
    <w:rsid w:val="4223049C"/>
    <w:rsid w:val="442D4EAD"/>
    <w:rsid w:val="537042E3"/>
    <w:rsid w:val="643371B6"/>
    <w:rsid w:val="75A22ED3"/>
    <w:rsid w:val="77C246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5">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8">
    <w:name w:val="Hyperlink"/>
    <w:basedOn w:val="7"/>
    <w:unhideWhenUsed/>
    <w:qFormat/>
    <w:uiPriority w:val="99"/>
    <w:rPr>
      <w:color w:val="0563C1" w:themeColor="hyperlink"/>
      <w:u w:val="single"/>
      <w14:textFill>
        <w14:solidFill>
          <w14:schemeClr w14:val="hlink"/>
        </w14:solidFill>
      </w14:textFill>
    </w:rPr>
  </w:style>
  <w:style w:type="character" w:customStyle="1" w:styleId="9">
    <w:name w:val="标题 1 字符"/>
    <w:basedOn w:val="7"/>
    <w:link w:val="2"/>
    <w:qFormat/>
    <w:uiPriority w:val="9"/>
    <w:rPr>
      <w:rFonts w:ascii="Times New Roman" w:hAnsi="Times New Roman" w:eastAsia="仿宋_GB2312" w:cs="Times New Roman"/>
      <w:b/>
      <w:bCs/>
      <w:kern w:val="44"/>
      <w:sz w:val="44"/>
      <w:szCs w:val="44"/>
    </w:rPr>
  </w:style>
  <w:style w:type="character" w:customStyle="1" w:styleId="10">
    <w:name w:val="标题 2 字符"/>
    <w:basedOn w:val="7"/>
    <w:link w:val="3"/>
    <w:qFormat/>
    <w:uiPriority w:val="9"/>
    <w:rPr>
      <w:rFonts w:asciiTheme="majorHAnsi" w:hAnsiTheme="majorHAnsi" w:eastAsiaTheme="majorEastAsia" w:cstheme="majorBidi"/>
      <w:b/>
      <w:bCs/>
      <w:sz w:val="32"/>
      <w:szCs w:val="32"/>
    </w:rPr>
  </w:style>
  <w:style w:type="paragraph" w:customStyle="1" w:styleId="11">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5342</Words>
  <Characters>5498</Characters>
  <Lines>38</Lines>
  <Paragraphs>10</Paragraphs>
  <TotalTime>1</TotalTime>
  <ScaleCrop>false</ScaleCrop>
  <LinksUpToDate>false</LinksUpToDate>
  <CharactersWithSpaces>5505</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A.X</cp:lastModifiedBy>
  <dcterms:modified xsi:type="dcterms:W3CDTF">2022-04-26T04:14:53Z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7CC6E6E0950F4173BCA0D33269E5C181</vt:lpwstr>
  </property>
</Properties>
</file>