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eastAsia="宋体" w:cs="Arial"/>
          <w:b/>
          <w:bCs/>
          <w:sz w:val="48"/>
          <w:szCs w:val="48"/>
        </w:rPr>
      </w:pPr>
    </w:p>
    <w:p>
      <w:pPr>
        <w:jc w:val="center"/>
        <w:rPr>
          <w:rFonts w:ascii="宋体" w:hAnsi="宋体" w:eastAsia="宋体" w:cs="Arial"/>
          <w:b/>
          <w:bCs/>
          <w:sz w:val="48"/>
          <w:szCs w:val="48"/>
        </w:rPr>
      </w:pPr>
    </w:p>
    <w:p>
      <w:pPr>
        <w:jc w:val="center"/>
        <w:rPr>
          <w:rFonts w:ascii="宋体" w:hAnsi="宋体" w:eastAsia="宋体" w:cs="Arial"/>
          <w:b/>
          <w:bCs/>
          <w:sz w:val="48"/>
          <w:szCs w:val="48"/>
        </w:rPr>
      </w:pPr>
    </w:p>
    <w:p>
      <w:pPr>
        <w:jc w:val="center"/>
        <w:rPr>
          <w:rFonts w:ascii="宋体" w:hAnsi="宋体" w:eastAsia="宋体" w:cs="Arial"/>
          <w:b/>
          <w:bCs/>
          <w:sz w:val="52"/>
          <w:szCs w:val="52"/>
        </w:rPr>
      </w:pPr>
      <w:r>
        <w:rPr>
          <w:rFonts w:hint="eastAsia" w:ascii="宋体" w:hAnsi="宋体" w:eastAsia="宋体" w:cs="Arial"/>
          <w:b/>
          <w:bCs/>
          <w:sz w:val="52"/>
          <w:szCs w:val="52"/>
        </w:rPr>
        <w:t>项目支出绩效评价报告</w:t>
      </w:r>
    </w:p>
    <w:p>
      <w:pPr>
        <w:jc w:val="center"/>
        <w:rPr>
          <w:rFonts w:ascii="宋体" w:hAnsi="宋体" w:eastAsia="宋体" w:cs="Arial"/>
          <w:b/>
          <w:bCs/>
          <w:sz w:val="48"/>
          <w:szCs w:val="48"/>
        </w:rPr>
      </w:pPr>
    </w:p>
    <w:p>
      <w:pPr>
        <w:jc w:val="center"/>
        <w:rPr>
          <w:rFonts w:hint="eastAsia" w:ascii="宋体" w:hAnsi="宋体" w:eastAsia="宋体" w:cs="Arial"/>
          <w:b/>
          <w:bCs/>
          <w:sz w:val="52"/>
          <w:szCs w:val="52"/>
        </w:rPr>
      </w:pPr>
      <w:r>
        <w:rPr>
          <w:rFonts w:hint="eastAsia" w:ascii="宋体" w:hAnsi="宋体" w:eastAsia="宋体" w:cs="Arial"/>
          <w:b/>
          <w:bCs/>
          <w:sz w:val="52"/>
          <w:szCs w:val="52"/>
        </w:rPr>
        <w:t>（2021年度）</w:t>
      </w:r>
    </w:p>
    <w:p>
      <w:pPr>
        <w:jc w:val="center"/>
        <w:rPr>
          <w:rFonts w:hint="eastAsia" w:ascii="宋体" w:hAnsi="宋体" w:eastAsia="宋体" w:cs="Arial"/>
          <w:b/>
          <w:bCs/>
          <w:sz w:val="52"/>
          <w:szCs w:val="52"/>
        </w:rPr>
      </w:pP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560" w:lineRule="exact"/>
        <w:ind w:firstLine="321" w:firstLineChars="100"/>
        <w:rPr>
          <w:rFonts w:ascii="宋体" w:hAnsi="宋体" w:eastAsia="宋体" w:cs="宋体"/>
          <w:kern w:val="0"/>
          <w:sz w:val="32"/>
          <w:szCs w:val="32"/>
        </w:rPr>
      </w:pPr>
      <w:r>
        <w:rPr>
          <w:rFonts w:hint="eastAsia" w:ascii="宋体" w:hAnsi="宋体" w:eastAsia="宋体" w:cs="仿宋_GB2312"/>
          <w:b/>
          <w:bCs/>
          <w:color w:val="000000"/>
          <w:kern w:val="0"/>
          <w:sz w:val="32"/>
          <w:szCs w:val="32"/>
        </w:rPr>
        <w:t>项目名称：</w:t>
      </w:r>
      <w:r>
        <w:rPr>
          <w:rFonts w:hint="eastAsia" w:ascii="宋体" w:hAnsi="宋体" w:eastAsia="宋体" w:cs="仿宋_GB2312"/>
          <w:b/>
          <w:bCs/>
          <w:color w:val="000000"/>
          <w:kern w:val="0"/>
          <w:sz w:val="32"/>
          <w:szCs w:val="32"/>
          <w:lang w:val="en-US" w:eastAsia="zh-CN"/>
        </w:rPr>
        <w:t>县级地方储备粮1-4季度保管费用补贴、利息补贴</w:t>
      </w:r>
      <w:r>
        <w:rPr>
          <w:rFonts w:ascii="宋体" w:hAnsi="宋体" w:eastAsia="宋体" w:cs="宋体"/>
          <w:kern w:val="0"/>
          <w:sz w:val="32"/>
          <w:szCs w:val="32"/>
        </w:rPr>
        <w:t xml:space="preserve"> </w:t>
      </w:r>
    </w:p>
    <w:p>
      <w:pPr>
        <w:spacing w:line="560" w:lineRule="exact"/>
        <w:ind w:firstLine="321" w:firstLineChars="100"/>
        <w:rPr>
          <w:rFonts w:ascii="宋体" w:hAnsi="宋体" w:eastAsia="宋体" w:cs="宋体"/>
          <w:kern w:val="0"/>
          <w:sz w:val="32"/>
          <w:szCs w:val="32"/>
        </w:rPr>
      </w:pPr>
      <w:r>
        <w:rPr>
          <w:rFonts w:hint="eastAsia" w:ascii="宋体" w:hAnsi="宋体" w:eastAsia="宋体" w:cs="仿宋_GB2312"/>
          <w:b/>
          <w:bCs/>
          <w:color w:val="000000"/>
          <w:kern w:val="0"/>
          <w:sz w:val="32"/>
          <w:szCs w:val="32"/>
        </w:rPr>
        <w:t>实施单位（公章）：</w:t>
      </w:r>
      <w:r>
        <w:rPr>
          <w:rFonts w:hint="eastAsia" w:ascii="宋体" w:hAnsi="宋体" w:eastAsia="宋体" w:cs="仿宋_GB2312"/>
          <w:b/>
          <w:bCs/>
          <w:color w:val="000000"/>
          <w:kern w:val="0"/>
          <w:sz w:val="32"/>
          <w:szCs w:val="32"/>
          <w:lang w:eastAsia="zh-CN"/>
        </w:rPr>
        <w:t>特克斯县发展和改革委员会</w:t>
      </w:r>
      <w:r>
        <w:rPr>
          <w:rFonts w:ascii="宋体" w:hAnsi="宋体" w:eastAsia="宋体" w:cs="宋体"/>
          <w:kern w:val="0"/>
          <w:sz w:val="32"/>
          <w:szCs w:val="32"/>
        </w:rPr>
        <w:t xml:space="preserve"> </w:t>
      </w:r>
    </w:p>
    <w:p>
      <w:pPr>
        <w:spacing w:line="560" w:lineRule="exact"/>
        <w:ind w:firstLine="321" w:firstLineChars="100"/>
        <w:rPr>
          <w:rFonts w:hint="eastAsia" w:ascii="宋体" w:hAnsi="宋体" w:eastAsia="宋体" w:cs="宋体"/>
          <w:kern w:val="0"/>
          <w:sz w:val="32"/>
          <w:szCs w:val="32"/>
          <w:lang w:eastAsia="zh-CN"/>
        </w:rPr>
      </w:pPr>
      <w:r>
        <w:rPr>
          <w:rFonts w:hint="eastAsia" w:ascii="宋体" w:hAnsi="宋体" w:eastAsia="宋体" w:cs="仿宋_GB2312"/>
          <w:b/>
          <w:bCs/>
          <w:color w:val="000000"/>
          <w:kern w:val="0"/>
          <w:sz w:val="32"/>
          <w:szCs w:val="32"/>
        </w:rPr>
        <w:t>主管部门（公章）：</w:t>
      </w:r>
      <w:r>
        <w:rPr>
          <w:rFonts w:ascii="宋体" w:hAnsi="宋体" w:eastAsia="宋体" w:cs="宋体"/>
          <w:kern w:val="0"/>
          <w:sz w:val="32"/>
          <w:szCs w:val="32"/>
        </w:rPr>
        <w:t xml:space="preserve"> </w:t>
      </w:r>
      <w:r>
        <w:rPr>
          <w:rFonts w:hint="eastAsia" w:ascii="宋体" w:hAnsi="宋体" w:eastAsia="宋体" w:cs="宋体"/>
          <w:b/>
          <w:bCs/>
          <w:kern w:val="0"/>
          <w:sz w:val="32"/>
          <w:szCs w:val="32"/>
          <w:lang w:eastAsia="zh-CN"/>
        </w:rPr>
        <w:t>特克斯县发展和改革委员会</w:t>
      </w:r>
    </w:p>
    <w:p>
      <w:pPr>
        <w:spacing w:line="560" w:lineRule="exact"/>
        <w:ind w:firstLine="321" w:firstLineChars="100"/>
        <w:rPr>
          <w:rFonts w:hint="eastAsia" w:ascii="宋体" w:hAnsi="宋体" w:eastAsia="宋体" w:cs="宋体"/>
          <w:kern w:val="0"/>
          <w:sz w:val="32"/>
          <w:szCs w:val="32"/>
          <w:lang w:eastAsia="zh-CN"/>
        </w:rPr>
      </w:pPr>
      <w:r>
        <w:rPr>
          <w:rFonts w:hint="eastAsia" w:ascii="宋体" w:hAnsi="宋体" w:eastAsia="宋体" w:cs="仿宋_GB2312"/>
          <w:b/>
          <w:bCs/>
          <w:color w:val="000000"/>
          <w:kern w:val="0"/>
          <w:sz w:val="32"/>
          <w:szCs w:val="32"/>
        </w:rPr>
        <w:t>项目负责人（签章）：</w:t>
      </w:r>
      <w:r>
        <w:rPr>
          <w:rFonts w:ascii="宋体" w:hAnsi="宋体" w:eastAsia="宋体" w:cs="宋体"/>
          <w:kern w:val="0"/>
          <w:sz w:val="32"/>
          <w:szCs w:val="32"/>
        </w:rPr>
        <w:t xml:space="preserve"> </w:t>
      </w:r>
      <w:r>
        <w:rPr>
          <w:rFonts w:hint="eastAsia" w:ascii="宋体" w:hAnsi="宋体" w:eastAsia="宋体" w:cs="宋体"/>
          <w:b/>
          <w:bCs/>
          <w:kern w:val="0"/>
          <w:sz w:val="32"/>
          <w:szCs w:val="32"/>
          <w:lang w:eastAsia="zh-CN"/>
        </w:rPr>
        <w:t>聂刚</w:t>
      </w:r>
    </w:p>
    <w:p>
      <w:pPr>
        <w:spacing w:line="560" w:lineRule="exact"/>
        <w:ind w:firstLine="321" w:firstLineChars="100"/>
        <w:rPr>
          <w:rFonts w:hint="eastAsia" w:ascii="宋体" w:hAnsi="宋体" w:eastAsia="宋体" w:cs="仿宋_GB2312"/>
          <w:color w:val="000000"/>
          <w:kern w:val="0"/>
          <w:sz w:val="32"/>
          <w:szCs w:val="32"/>
        </w:rPr>
      </w:pPr>
      <w:r>
        <w:rPr>
          <w:rFonts w:hint="eastAsia" w:ascii="宋体" w:hAnsi="宋体" w:eastAsia="宋体" w:cs="仿宋_GB2312"/>
          <w:b/>
          <w:bCs/>
          <w:color w:val="000000"/>
          <w:kern w:val="0"/>
          <w:sz w:val="32"/>
          <w:szCs w:val="32"/>
        </w:rPr>
        <w:t>填报时间：202</w:t>
      </w:r>
      <w:r>
        <w:rPr>
          <w:rFonts w:ascii="宋体" w:hAnsi="宋体" w:eastAsia="宋体" w:cs="仿宋_GB2312"/>
          <w:b/>
          <w:bCs/>
          <w:color w:val="000000"/>
          <w:kern w:val="0"/>
          <w:sz w:val="32"/>
          <w:szCs w:val="32"/>
        </w:rPr>
        <w:t>2</w:t>
      </w:r>
      <w:r>
        <w:rPr>
          <w:rFonts w:hint="eastAsia" w:ascii="宋体" w:hAnsi="宋体" w:eastAsia="宋体" w:cs="仿宋_GB2312"/>
          <w:b/>
          <w:bCs/>
          <w:color w:val="000000"/>
          <w:kern w:val="0"/>
          <w:sz w:val="32"/>
          <w:szCs w:val="32"/>
        </w:rPr>
        <w:t>年</w:t>
      </w:r>
      <w:r>
        <w:rPr>
          <w:rFonts w:hint="eastAsia" w:ascii="宋体" w:hAnsi="宋体" w:eastAsia="宋体" w:cs="仿宋_GB2312"/>
          <w:b/>
          <w:bCs/>
          <w:color w:val="000000"/>
          <w:kern w:val="0"/>
          <w:sz w:val="32"/>
          <w:szCs w:val="32"/>
          <w:lang w:val="en-US" w:eastAsia="zh-CN"/>
        </w:rPr>
        <w:t>4</w:t>
      </w:r>
      <w:r>
        <w:rPr>
          <w:rFonts w:hint="eastAsia" w:ascii="宋体" w:hAnsi="宋体" w:eastAsia="宋体" w:cs="仿宋_GB2312"/>
          <w:b/>
          <w:bCs/>
          <w:color w:val="000000"/>
          <w:kern w:val="0"/>
          <w:sz w:val="32"/>
          <w:szCs w:val="32"/>
        </w:rPr>
        <w:t>月</w:t>
      </w:r>
      <w:r>
        <w:rPr>
          <w:rFonts w:hint="eastAsia" w:ascii="宋体" w:hAnsi="宋体" w:eastAsia="宋体" w:cs="仿宋_GB2312"/>
          <w:b/>
          <w:bCs/>
          <w:color w:val="000000"/>
          <w:kern w:val="0"/>
          <w:sz w:val="32"/>
          <w:szCs w:val="32"/>
          <w:lang w:val="en-US" w:eastAsia="zh-CN"/>
        </w:rPr>
        <w:t>13</w:t>
      </w:r>
      <w:r>
        <w:rPr>
          <w:rFonts w:hint="eastAsia" w:ascii="宋体" w:hAnsi="宋体" w:eastAsia="宋体" w:cs="仿宋_GB2312"/>
          <w:b/>
          <w:bCs/>
          <w:color w:val="000000"/>
          <w:kern w:val="0"/>
          <w:sz w:val="32"/>
          <w:szCs w:val="32"/>
        </w:rPr>
        <w:t>日</w:t>
      </w:r>
    </w:p>
    <w:p>
      <w:pPr>
        <w:widowControl/>
        <w:jc w:val="left"/>
        <w:rPr>
          <w:rFonts w:ascii="宋体" w:hAnsi="宋体" w:eastAsia="宋体" w:cs="Arial"/>
          <w:b/>
          <w:bCs/>
          <w:sz w:val="36"/>
          <w:szCs w:val="36"/>
        </w:rPr>
      </w:pPr>
      <w:r>
        <w:rPr>
          <w:rFonts w:ascii="宋体" w:hAnsi="宋体" w:eastAsia="宋体" w:cs="Arial"/>
          <w:b/>
          <w:bCs/>
          <w:sz w:val="36"/>
          <w:szCs w:val="36"/>
        </w:rPr>
        <w:br w:type="page"/>
      </w:r>
    </w:p>
    <w:p>
      <w:pPr>
        <w:jc w:val="center"/>
        <w:rPr>
          <w:rFonts w:ascii="Arial" w:hAnsi="Arial" w:eastAsia="宋体" w:cs="Arial"/>
          <w:b/>
          <w:bCs/>
          <w:sz w:val="36"/>
          <w:szCs w:val="36"/>
        </w:rPr>
      </w:pPr>
      <w:r>
        <w:rPr>
          <w:rFonts w:hint="eastAsia" w:ascii="宋体" w:hAnsi="宋体" w:eastAsia="宋体" w:cs="Arial"/>
          <w:b/>
          <w:bCs/>
          <w:sz w:val="36"/>
          <w:szCs w:val="36"/>
        </w:rPr>
        <w:t>项目支出</w:t>
      </w:r>
      <w:r>
        <w:rPr>
          <w:rFonts w:ascii="宋体" w:hAnsi="宋体" w:eastAsia="宋体" w:cs="Arial"/>
          <w:b/>
          <w:bCs/>
          <w:sz w:val="36"/>
          <w:szCs w:val="36"/>
        </w:rPr>
        <w:t>绩效</w:t>
      </w:r>
      <w:r>
        <w:rPr>
          <w:rFonts w:hint="eastAsia" w:ascii="宋体" w:hAnsi="宋体" w:eastAsia="宋体" w:cs="Arial"/>
          <w:b/>
          <w:bCs/>
          <w:sz w:val="36"/>
          <w:szCs w:val="36"/>
        </w:rPr>
        <w:t>评价报告</w:t>
      </w:r>
    </w:p>
    <w:p>
      <w:pPr>
        <w:jc w:val="center"/>
        <w:rPr>
          <w:rFonts w:ascii="仿宋_GB2312"/>
          <w:szCs w:val="30"/>
        </w:rPr>
      </w:pPr>
    </w:p>
    <w:p>
      <w:pPr>
        <w:pStyle w:val="5"/>
        <w:pageBreakBefore w:val="0"/>
        <w:widowControl w:val="0"/>
        <w:kinsoku/>
        <w:wordWrap/>
        <w:overflowPunct/>
        <w:topLinePunct w:val="0"/>
        <w:autoSpaceDE/>
        <w:autoSpaceDN/>
        <w:bidi w:val="0"/>
        <w:adjustRightInd/>
        <w:snapToGrid/>
        <w:spacing w:before="0" w:after="0" w:line="560" w:lineRule="exact"/>
        <w:ind w:firstLine="643" w:firstLineChars="200"/>
        <w:textAlignment w:val="auto"/>
        <w:rPr>
          <w:rFonts w:ascii="宋体" w:hAnsi="宋体" w:eastAsia="宋体"/>
          <w:sz w:val="32"/>
          <w:szCs w:val="32"/>
        </w:rPr>
      </w:pPr>
      <w:bookmarkStart w:id="0" w:name="_Toc68703827"/>
      <w:r>
        <w:rPr>
          <w:rFonts w:hint="eastAsia" w:ascii="宋体" w:hAnsi="宋体" w:eastAsia="宋体"/>
          <w:sz w:val="32"/>
          <w:szCs w:val="32"/>
        </w:rPr>
        <w:t>一、基本情况</w:t>
      </w:r>
      <w:bookmarkEnd w:id="0"/>
    </w:p>
    <w:p>
      <w:pPr>
        <w:pStyle w:val="6"/>
        <w:pageBreakBefore w:val="0"/>
        <w:widowControl w:val="0"/>
        <w:kinsoku/>
        <w:wordWrap/>
        <w:overflowPunct/>
        <w:topLinePunct w:val="0"/>
        <w:autoSpaceDE/>
        <w:autoSpaceDN/>
        <w:bidi w:val="0"/>
        <w:adjustRightInd/>
        <w:snapToGrid/>
        <w:spacing w:before="0" w:after="0" w:line="560" w:lineRule="exact"/>
        <w:ind w:firstLine="640" w:firstLineChars="200"/>
        <w:textAlignment w:val="auto"/>
        <w:rPr>
          <w:rFonts w:ascii="仿宋_GB2312" w:eastAsia="仿宋_GB2312"/>
          <w:b w:val="0"/>
          <w:bCs w:val="0"/>
        </w:rPr>
      </w:pPr>
      <w:bookmarkStart w:id="1" w:name="_Toc68703828"/>
      <w:r>
        <w:rPr>
          <w:rFonts w:hint="eastAsia" w:ascii="仿宋_GB2312" w:eastAsia="仿宋_GB2312"/>
          <w:b w:val="0"/>
          <w:bCs w:val="0"/>
        </w:rPr>
        <w:t>（一）项目概况。</w:t>
      </w:r>
      <w:bookmarkEnd w:id="1"/>
    </w:p>
    <w:p>
      <w:pPr>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rPr>
        <w:t>1、项目背景</w:t>
      </w:r>
      <w:r>
        <w:rPr>
          <w:rFonts w:hint="eastAsia" w:ascii="仿宋_GB2312" w:hAnsi="仿宋_GB2312" w:eastAsia="仿宋_GB2312" w:cs="仿宋_GB2312"/>
          <w:color w:val="auto"/>
          <w:sz w:val="32"/>
          <w:szCs w:val="32"/>
          <w:lang w:eastAsia="zh-CN"/>
        </w:rPr>
        <w:t>：根据州粮食和物资储备局、州发改委、州财政局、农发行伊犁州分行四部门联合下发的伊州粮【</w:t>
      </w:r>
      <w:r>
        <w:rPr>
          <w:rFonts w:hint="eastAsia" w:ascii="仿宋_GB2312" w:hAnsi="仿宋_GB2312" w:eastAsia="仿宋_GB2312" w:cs="仿宋_GB2312"/>
          <w:color w:val="auto"/>
          <w:sz w:val="32"/>
          <w:szCs w:val="32"/>
          <w:lang w:val="en-US" w:eastAsia="zh-CN"/>
        </w:rPr>
        <w:t>2021】1号关于下达100000吨州县（市）级原粮储备计划的通知精神。为提升特克斯县粮食安全保障能力，特克县人民政府积极响上级号召，下发了特政办函【2021】22号关于建立特克斯县县级粮食储备的通知，决定建立实施0.44万吨县级地方储备粮项目。</w:t>
      </w:r>
    </w:p>
    <w:p>
      <w:pPr>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2、主要内容及实施情况</w:t>
      </w:r>
    </w:p>
    <w:p>
      <w:pPr>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rPr>
        <w:t>主要内容：</w:t>
      </w:r>
      <w:r>
        <w:rPr>
          <w:rFonts w:hint="eastAsia" w:ascii="仿宋_GB2312" w:hAnsi="仿宋_GB2312" w:eastAsia="仿宋_GB2312" w:cs="仿宋_GB2312"/>
          <w:color w:val="auto"/>
          <w:sz w:val="32"/>
          <w:szCs w:val="32"/>
          <w:lang w:eastAsia="zh-CN"/>
        </w:rPr>
        <w:t>按照城镇人口和易受灾人口不低于</w:t>
      </w:r>
      <w:r>
        <w:rPr>
          <w:rFonts w:hint="eastAsia" w:ascii="仿宋_GB2312" w:hAnsi="仿宋_GB2312" w:eastAsia="仿宋_GB2312" w:cs="仿宋_GB2312"/>
          <w:color w:val="auto"/>
          <w:sz w:val="32"/>
          <w:szCs w:val="32"/>
          <w:lang w:val="en-US" w:eastAsia="zh-CN"/>
        </w:rPr>
        <w:t>15天的标准计算，建立县级储备小麦4400吨。储备粮所有权归属县人民政府，未经县人民政府批准，任何部门和个人都不得动用县级储备粮，不得以库存储备粮对外抵押、担保。4400吨县级储备粮于2021年8月建储。</w:t>
      </w:r>
    </w:p>
    <w:p>
      <w:pPr>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实施情况：</w:t>
      </w:r>
      <w:r>
        <w:rPr>
          <w:rFonts w:hint="eastAsia" w:ascii="仿宋_GB2312" w:hAnsi="仿宋_GB2312" w:eastAsia="仿宋_GB2312" w:cs="仿宋_GB2312"/>
          <w:color w:val="auto"/>
          <w:sz w:val="32"/>
          <w:szCs w:val="32"/>
          <w:lang w:val="en-US" w:eastAsia="zh-CN"/>
        </w:rPr>
        <w:t>4400吨县级储备粮于2021年8月建储，2021年8-12月地储粮保管费用补贴175084.12元，截止2022年2月末已支付2021年8-10月保管费补贴101750.78元。2021年8-12月地储粮利息补贴178289.10元，截止2022年2月末已支付2021年8-10月利息补贴104534.22无 ，余2021年11-12月利息补贴73754.88元未到位。</w:t>
      </w:r>
    </w:p>
    <w:p>
      <w:pPr>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3、资金投入和使用情况</w:t>
      </w:r>
    </w:p>
    <w:p>
      <w:pPr>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资金投入情况：该项目年初预算数</w:t>
      </w:r>
      <w:r>
        <w:rPr>
          <w:rFonts w:hint="eastAsia" w:ascii="仿宋_GB2312" w:hAnsi="仿宋_GB2312" w:eastAsia="仿宋_GB2312" w:cs="仿宋_GB2312"/>
          <w:color w:val="auto"/>
          <w:sz w:val="32"/>
          <w:szCs w:val="32"/>
          <w:lang w:val="en-US" w:eastAsia="zh-CN"/>
        </w:rPr>
        <w:t>85.33</w:t>
      </w:r>
      <w:r>
        <w:rPr>
          <w:rFonts w:hint="eastAsia" w:ascii="仿宋_GB2312" w:hAnsi="仿宋_GB2312" w:eastAsia="仿宋_GB2312" w:cs="仿宋_GB2312"/>
          <w:color w:val="auto"/>
          <w:sz w:val="32"/>
          <w:szCs w:val="32"/>
        </w:rPr>
        <w:t xml:space="preserve">万元，全年预算数    </w:t>
      </w:r>
      <w:r>
        <w:rPr>
          <w:rFonts w:hint="eastAsia" w:ascii="仿宋_GB2312" w:hAnsi="仿宋_GB2312" w:eastAsia="仿宋_GB2312" w:cs="仿宋_GB2312"/>
          <w:color w:val="auto"/>
          <w:sz w:val="32"/>
          <w:szCs w:val="32"/>
          <w:lang w:val="en-US" w:eastAsia="zh-CN"/>
        </w:rPr>
        <w:t>85.33</w:t>
      </w:r>
      <w:r>
        <w:rPr>
          <w:rFonts w:hint="eastAsia" w:ascii="仿宋_GB2312" w:hAnsi="仿宋_GB2312" w:eastAsia="仿宋_GB2312" w:cs="仿宋_GB2312"/>
          <w:color w:val="auto"/>
          <w:sz w:val="32"/>
          <w:szCs w:val="32"/>
        </w:rPr>
        <w:t>万元，实际总投入</w:t>
      </w:r>
      <w:r>
        <w:rPr>
          <w:rFonts w:hint="eastAsia" w:ascii="仿宋_GB2312" w:hAnsi="仿宋_GB2312" w:eastAsia="仿宋_GB2312" w:cs="仿宋_GB2312"/>
          <w:color w:val="auto"/>
          <w:sz w:val="32"/>
          <w:szCs w:val="32"/>
          <w:lang w:val="en-US" w:eastAsia="zh-CN"/>
        </w:rPr>
        <w:t>70.62</w:t>
      </w:r>
      <w:r>
        <w:rPr>
          <w:rFonts w:hint="eastAsia" w:ascii="仿宋_GB2312" w:hAnsi="仿宋_GB2312" w:eastAsia="仿宋_GB2312" w:cs="仿宋_GB2312"/>
          <w:color w:val="auto"/>
          <w:sz w:val="32"/>
          <w:szCs w:val="32"/>
        </w:rPr>
        <w:t>万元，该项目资金</w:t>
      </w:r>
      <w:r>
        <w:rPr>
          <w:rFonts w:hint="eastAsia" w:ascii="仿宋_GB2312" w:hAnsi="仿宋_GB2312" w:eastAsia="仿宋_GB2312" w:cs="仿宋_GB2312"/>
          <w:color w:val="auto"/>
          <w:sz w:val="32"/>
          <w:szCs w:val="32"/>
          <w:lang w:val="en-US" w:eastAsia="zh-CN"/>
        </w:rPr>
        <w:t>82.</w:t>
      </w:r>
      <w:r>
        <w:rPr>
          <w:rFonts w:hint="eastAsia" w:ascii="仿宋_GB2312" w:hAnsi="仿宋_GB2312" w:cs="仿宋_GB2312"/>
          <w:color w:val="auto"/>
          <w:sz w:val="32"/>
          <w:szCs w:val="32"/>
          <w:lang w:val="en-US" w:eastAsia="zh-CN"/>
        </w:rPr>
        <w:t>76</w:t>
      </w:r>
      <w:r>
        <w:rPr>
          <w:rFonts w:hint="eastAsia" w:ascii="仿宋_GB2312" w:hAnsi="仿宋_GB2312" w:eastAsia="仿宋_GB2312" w:cs="仿宋_GB2312"/>
          <w:color w:val="auto"/>
          <w:sz w:val="32"/>
          <w:szCs w:val="32"/>
          <w:lang w:val="en-US" w:eastAsia="zh-CN"/>
        </w:rPr>
        <w:t>%</w:t>
      </w:r>
      <w:r>
        <w:rPr>
          <w:rFonts w:hint="eastAsia" w:ascii="仿宋_GB2312" w:hAnsi="仿宋_GB2312" w:eastAsia="仿宋_GB2312" w:cs="仿宋_GB2312"/>
          <w:color w:val="auto"/>
          <w:sz w:val="32"/>
          <w:szCs w:val="32"/>
        </w:rPr>
        <w:t>已落实到位，资金来源为</w:t>
      </w:r>
      <w:r>
        <w:rPr>
          <w:rFonts w:hint="eastAsia" w:ascii="仿宋_GB2312" w:hAnsi="仿宋_GB2312" w:eastAsia="仿宋_GB2312" w:cs="仿宋_GB2312"/>
          <w:color w:val="auto"/>
          <w:sz w:val="32"/>
          <w:szCs w:val="32"/>
          <w:lang w:eastAsia="zh-CN"/>
        </w:rPr>
        <w:t>县级财政保障</w:t>
      </w:r>
      <w:r>
        <w:rPr>
          <w:rFonts w:hint="eastAsia" w:ascii="仿宋_GB2312" w:hAnsi="仿宋_GB2312" w:eastAsia="仿宋_GB2312" w:cs="仿宋_GB2312"/>
          <w:color w:val="auto"/>
          <w:sz w:val="32"/>
          <w:szCs w:val="32"/>
        </w:rPr>
        <w:t>。</w:t>
      </w:r>
    </w:p>
    <w:p>
      <w:pPr>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auto"/>
          <w:sz w:val="32"/>
          <w:szCs w:val="32"/>
          <w:lang w:val="en-US"/>
        </w:rPr>
      </w:pPr>
      <w:r>
        <w:rPr>
          <w:rFonts w:hint="eastAsia" w:ascii="仿宋_GB2312" w:hAnsi="仿宋_GB2312" w:eastAsia="仿宋_GB2312" w:cs="仿宋_GB2312"/>
          <w:color w:val="auto"/>
          <w:sz w:val="32"/>
          <w:szCs w:val="32"/>
        </w:rPr>
        <w:t>资金使用情况：该项目年初预算数</w:t>
      </w:r>
      <w:r>
        <w:rPr>
          <w:rFonts w:hint="eastAsia" w:ascii="仿宋_GB2312" w:hAnsi="仿宋_GB2312" w:eastAsia="仿宋_GB2312" w:cs="仿宋_GB2312"/>
          <w:color w:val="auto"/>
          <w:sz w:val="32"/>
          <w:szCs w:val="32"/>
          <w:lang w:val="en-US" w:eastAsia="zh-CN"/>
        </w:rPr>
        <w:t>85.33</w:t>
      </w:r>
      <w:r>
        <w:rPr>
          <w:rFonts w:hint="eastAsia" w:ascii="仿宋_GB2312" w:hAnsi="仿宋_GB2312" w:eastAsia="仿宋_GB2312" w:cs="仿宋_GB2312"/>
          <w:color w:val="auto"/>
          <w:sz w:val="32"/>
          <w:szCs w:val="32"/>
        </w:rPr>
        <w:t xml:space="preserve">万元，全年预算数 </w:t>
      </w:r>
      <w:r>
        <w:rPr>
          <w:rFonts w:hint="eastAsia" w:ascii="仿宋_GB2312" w:hAnsi="仿宋_GB2312" w:eastAsia="仿宋_GB2312" w:cs="仿宋_GB2312"/>
          <w:color w:val="auto"/>
          <w:sz w:val="32"/>
          <w:szCs w:val="32"/>
          <w:lang w:val="en-US" w:eastAsia="zh-CN"/>
        </w:rPr>
        <w:t>85.33</w:t>
      </w:r>
      <w:r>
        <w:rPr>
          <w:rFonts w:hint="eastAsia" w:ascii="仿宋_GB2312" w:hAnsi="仿宋_GB2312" w:eastAsia="仿宋_GB2312" w:cs="仿宋_GB2312"/>
          <w:color w:val="auto"/>
          <w:sz w:val="32"/>
          <w:szCs w:val="32"/>
        </w:rPr>
        <w:t>万元，全年执行数</w:t>
      </w:r>
      <w:r>
        <w:rPr>
          <w:rFonts w:hint="eastAsia" w:ascii="仿宋_GB2312" w:hAnsi="仿宋_GB2312" w:eastAsia="仿宋_GB2312" w:cs="仿宋_GB2312"/>
          <w:color w:val="auto"/>
          <w:sz w:val="32"/>
          <w:szCs w:val="32"/>
          <w:lang w:val="en-US" w:eastAsia="zh-CN"/>
        </w:rPr>
        <w:t>70.62</w:t>
      </w:r>
      <w:r>
        <w:rPr>
          <w:rFonts w:hint="eastAsia" w:ascii="仿宋_GB2312" w:hAnsi="仿宋_GB2312" w:eastAsia="仿宋_GB2312" w:cs="仿宋_GB2312"/>
          <w:color w:val="auto"/>
          <w:sz w:val="32"/>
          <w:szCs w:val="32"/>
        </w:rPr>
        <w:t>万元，预算执行率为</w:t>
      </w:r>
      <w:r>
        <w:rPr>
          <w:rFonts w:hint="eastAsia" w:ascii="仿宋_GB2312" w:hAnsi="仿宋_GB2312" w:eastAsia="仿宋_GB2312" w:cs="仿宋_GB2312"/>
          <w:color w:val="auto"/>
          <w:sz w:val="32"/>
          <w:szCs w:val="32"/>
          <w:lang w:val="en-US" w:eastAsia="zh-CN"/>
        </w:rPr>
        <w:t>82.</w:t>
      </w:r>
      <w:r>
        <w:rPr>
          <w:rFonts w:hint="eastAsia" w:ascii="仿宋_GB2312" w:hAnsi="仿宋_GB2312" w:cs="仿宋_GB2312"/>
          <w:color w:val="auto"/>
          <w:sz w:val="32"/>
          <w:szCs w:val="32"/>
          <w:lang w:val="en-US" w:eastAsia="zh-CN"/>
        </w:rPr>
        <w:t>76</w:t>
      </w:r>
      <w:r>
        <w:rPr>
          <w:rFonts w:hint="eastAsia" w:ascii="仿宋_GB2312" w:hAnsi="仿宋_GB2312" w:eastAsia="仿宋_GB2312" w:cs="仿宋_GB2312"/>
          <w:color w:val="auto"/>
          <w:sz w:val="32"/>
          <w:szCs w:val="32"/>
        </w:rPr>
        <w:t>%，用于</w:t>
      </w:r>
      <w:r>
        <w:rPr>
          <w:rFonts w:hint="eastAsia" w:ascii="仿宋_GB2312" w:hAnsi="仿宋_GB2312" w:eastAsia="仿宋_GB2312" w:cs="仿宋_GB2312"/>
          <w:color w:val="auto"/>
          <w:sz w:val="32"/>
          <w:szCs w:val="32"/>
          <w:lang w:val="en-US" w:eastAsia="zh-CN"/>
        </w:rPr>
        <w:t>0.44万吨县级地方储备粮建储后的2021年8-10月保管费用补贴10.18</w:t>
      </w:r>
      <w:r>
        <w:rPr>
          <w:rFonts w:hint="eastAsia" w:ascii="仿宋_GB2312" w:hAnsi="仿宋_GB2312" w:eastAsia="仿宋_GB2312" w:cs="仿宋_GB2312"/>
          <w:color w:val="auto"/>
          <w:sz w:val="32"/>
          <w:szCs w:val="32"/>
        </w:rPr>
        <w:t>万元</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2021年8-10月</w:t>
      </w:r>
      <w:r>
        <w:rPr>
          <w:rFonts w:hint="eastAsia" w:ascii="仿宋_GB2312" w:hAnsi="仿宋_GB2312" w:eastAsia="仿宋_GB2312" w:cs="仿宋_GB2312"/>
          <w:color w:val="auto"/>
          <w:sz w:val="32"/>
          <w:szCs w:val="32"/>
          <w:lang w:eastAsia="zh-CN"/>
        </w:rPr>
        <w:t>利息补贴</w:t>
      </w:r>
      <w:r>
        <w:rPr>
          <w:rFonts w:hint="eastAsia" w:ascii="仿宋_GB2312" w:hAnsi="仿宋_GB2312" w:eastAsia="仿宋_GB2312" w:cs="仿宋_GB2312"/>
          <w:color w:val="auto"/>
          <w:sz w:val="32"/>
          <w:szCs w:val="32"/>
          <w:lang w:val="en-US" w:eastAsia="zh-CN"/>
        </w:rPr>
        <w:t>10.45万元。1-12月保管费用补贴预算44万元，多作预算26.49万元。1-12月利息费用补贴预算41.33万元，多作预算23.50万元。余2021年11-12月保管费用补贴7.33万元和利息补贴7.38万元未支付，正在申请中。</w:t>
      </w:r>
    </w:p>
    <w:p>
      <w:pPr>
        <w:pStyle w:val="6"/>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rPr>
          <w:rFonts w:hint="eastAsia" w:ascii="仿宋_GB2312" w:hAnsi="仿宋_GB2312" w:eastAsia="仿宋_GB2312" w:cs="仿宋_GB2312"/>
          <w:b w:val="0"/>
          <w:bCs w:val="0"/>
          <w:color w:val="auto"/>
          <w:sz w:val="32"/>
          <w:szCs w:val="32"/>
        </w:rPr>
      </w:pPr>
      <w:bookmarkStart w:id="2" w:name="_Toc68703829"/>
      <w:r>
        <w:rPr>
          <w:rFonts w:hint="eastAsia" w:ascii="仿宋_GB2312" w:hAnsi="仿宋_GB2312" w:eastAsia="仿宋_GB2312" w:cs="仿宋_GB2312"/>
          <w:b w:val="0"/>
          <w:bCs w:val="0"/>
          <w:color w:val="auto"/>
          <w:sz w:val="32"/>
          <w:szCs w:val="32"/>
        </w:rPr>
        <w:t>（二）项目绩效目标。</w:t>
      </w:r>
      <w:bookmarkEnd w:id="2"/>
    </w:p>
    <w:p>
      <w:pPr>
        <w:pageBreakBefore w:val="0"/>
        <w:widowControl w:val="0"/>
        <w:numPr>
          <w:ilvl w:val="0"/>
          <w:numId w:val="1"/>
        </w:numPr>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总体目标：</w:t>
      </w:r>
    </w:p>
    <w:p>
      <w:pPr>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 xml:space="preserve">目标1：与承储企业签订委托监管责任书，完成年度粮油储备任务，确保数量、质量安全。                                                                                                                  </w:t>
      </w:r>
      <w:r>
        <w:rPr>
          <w:rFonts w:hint="eastAsia" w:ascii="仿宋_GB2312" w:hAnsi="仿宋_GB2312" w:cs="仿宋_GB2312"/>
          <w:color w:val="auto"/>
          <w:sz w:val="32"/>
          <w:szCs w:val="32"/>
          <w:lang w:val="en-US" w:eastAsia="zh-CN"/>
        </w:rPr>
        <w:t xml:space="preserve"> </w:t>
      </w:r>
    </w:p>
    <w:p>
      <w:pPr>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 xml:space="preserve">目标2：促进粮油市场价格平稳，对保障区域粮食安全发挥积极作用。                                                                                                       </w:t>
      </w:r>
    </w:p>
    <w:p>
      <w:pPr>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 xml:space="preserve">目标3：按照企业储备量、承储期、建储价格、一年期银行贷款基准利率给予相关费用补贴资金。  </w:t>
      </w:r>
    </w:p>
    <w:p>
      <w:pPr>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cs="仿宋_GB2312"/>
          <w:color w:val="auto"/>
          <w:sz w:val="32"/>
          <w:szCs w:val="32"/>
          <w:lang w:val="en-US" w:eastAsia="zh-CN"/>
        </w:rPr>
        <w:t>2、</w:t>
      </w:r>
      <w:r>
        <w:rPr>
          <w:rFonts w:hint="eastAsia" w:ascii="仿宋_GB2312" w:hAnsi="仿宋_GB2312" w:eastAsia="仿宋_GB2312" w:cs="仿宋_GB2312"/>
          <w:color w:val="auto"/>
          <w:sz w:val="32"/>
          <w:szCs w:val="32"/>
          <w:lang w:val="en-US" w:eastAsia="zh-CN"/>
        </w:rPr>
        <w:t>阶段性目标：2021年夏粮收购前与承储企业签订委托监管责任书，于2021年底前完成0.44万吨县级储备粮建储任务，确保数量、质量安全。地方储备粮2-5年轮换，期间对</w:t>
      </w:r>
      <w:r>
        <w:rPr>
          <w:rFonts w:hint="eastAsia" w:ascii="仿宋_GB2312" w:hAnsi="仿宋_GB2312" w:eastAsia="仿宋_GB2312" w:cs="仿宋_GB2312"/>
          <w:color w:val="auto"/>
          <w:sz w:val="32"/>
          <w:szCs w:val="32"/>
        </w:rPr>
        <w:t>促进粮油市场价格平稳，对保障区域粮食安全发挥积极作用。按照企业</w:t>
      </w:r>
      <w:r>
        <w:rPr>
          <w:rFonts w:hint="eastAsia" w:ascii="仿宋_GB2312" w:hAnsi="仿宋_GB2312" w:eastAsia="仿宋_GB2312" w:cs="仿宋_GB2312"/>
          <w:color w:val="auto"/>
          <w:sz w:val="32"/>
          <w:szCs w:val="32"/>
          <w:lang w:val="en-US" w:eastAsia="zh-CN"/>
        </w:rPr>
        <w:t>0.44万吨县级</w:t>
      </w:r>
      <w:r>
        <w:rPr>
          <w:rFonts w:hint="eastAsia" w:ascii="仿宋_GB2312" w:hAnsi="仿宋_GB2312" w:eastAsia="仿宋_GB2312" w:cs="仿宋_GB2312"/>
          <w:color w:val="auto"/>
          <w:sz w:val="32"/>
          <w:szCs w:val="32"/>
        </w:rPr>
        <w:t xml:space="preserve">储备量、承储期、建储价格、一年期银行贷款基准利率给予相关费用补贴资金。    </w:t>
      </w:r>
    </w:p>
    <w:p>
      <w:pPr>
        <w:pStyle w:val="5"/>
        <w:pageBreakBefore w:val="0"/>
        <w:widowControl w:val="0"/>
        <w:kinsoku/>
        <w:wordWrap/>
        <w:overflowPunct/>
        <w:topLinePunct w:val="0"/>
        <w:autoSpaceDE/>
        <w:autoSpaceDN/>
        <w:bidi w:val="0"/>
        <w:adjustRightInd/>
        <w:snapToGrid/>
        <w:spacing w:before="0" w:after="0" w:line="560" w:lineRule="exact"/>
        <w:ind w:firstLine="643" w:firstLineChars="200"/>
        <w:textAlignment w:val="auto"/>
        <w:rPr>
          <w:rFonts w:ascii="宋体" w:hAnsi="宋体" w:eastAsia="宋体"/>
          <w:sz w:val="32"/>
          <w:szCs w:val="32"/>
        </w:rPr>
      </w:pPr>
      <w:bookmarkStart w:id="3" w:name="_Toc68703830"/>
      <w:r>
        <w:rPr>
          <w:rFonts w:hint="eastAsia" w:ascii="宋体" w:hAnsi="宋体" w:eastAsia="宋体"/>
          <w:sz w:val="32"/>
          <w:szCs w:val="32"/>
        </w:rPr>
        <w:t>二、绩效评价工作开展情况</w:t>
      </w:r>
      <w:bookmarkEnd w:id="3"/>
    </w:p>
    <w:p>
      <w:pPr>
        <w:pStyle w:val="6"/>
        <w:pageBreakBefore w:val="0"/>
        <w:widowControl w:val="0"/>
        <w:kinsoku/>
        <w:wordWrap/>
        <w:overflowPunct/>
        <w:topLinePunct w:val="0"/>
        <w:autoSpaceDE/>
        <w:autoSpaceDN/>
        <w:bidi w:val="0"/>
        <w:adjustRightInd/>
        <w:snapToGrid/>
        <w:spacing w:before="0" w:after="0" w:line="560" w:lineRule="exact"/>
        <w:ind w:firstLine="640" w:firstLineChars="200"/>
        <w:textAlignment w:val="auto"/>
        <w:rPr>
          <w:rFonts w:hint="eastAsia" w:ascii="仿宋_GB2312" w:hAnsi="仿宋_GB2312" w:eastAsia="仿宋_GB2312" w:cs="仿宋_GB2312"/>
          <w:b w:val="0"/>
          <w:bCs w:val="0"/>
          <w:sz w:val="32"/>
          <w:szCs w:val="32"/>
        </w:rPr>
      </w:pPr>
      <w:bookmarkStart w:id="4" w:name="_Toc68703831"/>
      <w:r>
        <w:rPr>
          <w:rFonts w:hint="eastAsia" w:ascii="仿宋_GB2312" w:hAnsi="仿宋_GB2312" w:eastAsia="仿宋_GB2312" w:cs="仿宋_GB2312"/>
          <w:b w:val="0"/>
          <w:bCs w:val="0"/>
          <w:sz w:val="32"/>
          <w:szCs w:val="32"/>
        </w:rPr>
        <w:t>（一）绩效评价目的、对象和范围。</w:t>
      </w:r>
      <w:bookmarkEnd w:id="4"/>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1、绩效评价目的：</w:t>
      </w:r>
    </w:p>
    <w:p>
      <w:pPr>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bCs/>
          <w:color w:val="000000" w:themeColor="text1"/>
          <w:sz w:val="32"/>
          <w:szCs w:val="32"/>
          <w14:textFill>
            <w14:solidFill>
              <w14:schemeClr w14:val="tx1"/>
            </w14:solidFill>
          </w14:textFill>
        </w:rPr>
      </w:pPr>
      <w:r>
        <w:rPr>
          <w:rFonts w:hint="eastAsia" w:ascii="仿宋_GB2312" w:hAnsi="仿宋_GB2312" w:eastAsia="仿宋_GB2312" w:cs="仿宋_GB2312"/>
          <w:bCs/>
          <w:color w:val="000000" w:themeColor="text1"/>
          <w:sz w:val="32"/>
          <w:szCs w:val="32"/>
          <w14:textFill>
            <w14:solidFill>
              <w14:schemeClr w14:val="tx1"/>
            </w14:solidFill>
          </w14:textFill>
        </w:rPr>
        <w:t>通过绩效评价，客观地评判项目的管理绩效，了解和掌握</w:t>
      </w:r>
      <w:r>
        <w:rPr>
          <w:rFonts w:hint="eastAsia" w:ascii="仿宋_GB2312" w:hAnsi="仿宋_GB2312" w:eastAsia="仿宋_GB2312" w:cs="仿宋_GB2312"/>
          <w:bCs/>
          <w:color w:val="000000" w:themeColor="text1"/>
          <w:sz w:val="32"/>
          <w:szCs w:val="32"/>
          <w:lang w:eastAsia="zh-CN"/>
          <w14:textFill>
            <w14:solidFill>
              <w14:schemeClr w14:val="tx1"/>
            </w14:solidFill>
          </w14:textFill>
        </w:rPr>
        <w:t>县级地方储备粮保管费用补贴和利息补贴</w:t>
      </w:r>
      <w:r>
        <w:rPr>
          <w:rFonts w:hint="eastAsia" w:ascii="仿宋_GB2312" w:hAnsi="仿宋_GB2312" w:eastAsia="仿宋_GB2312" w:cs="仿宋_GB2312"/>
          <w:bCs/>
          <w:color w:val="000000" w:themeColor="text1"/>
          <w:sz w:val="32"/>
          <w:szCs w:val="32"/>
          <w14:textFill>
            <w14:solidFill>
              <w14:schemeClr w14:val="tx1"/>
            </w14:solidFill>
          </w14:textFill>
        </w:rPr>
        <w:t>经费的具体情况，评价该项目资金安排的科学性、合理性、规范性和资金的使用成效，及时总结项目管理经验，完善项目管理办法，提高项目管理水平和资金使用效益。促使我</w:t>
      </w:r>
      <w:r>
        <w:rPr>
          <w:rFonts w:hint="eastAsia" w:ascii="仿宋_GB2312" w:hAnsi="仿宋_GB2312" w:eastAsia="仿宋_GB2312" w:cs="仿宋_GB2312"/>
          <w:bCs/>
          <w:color w:val="000000" w:themeColor="text1"/>
          <w:sz w:val="32"/>
          <w:szCs w:val="32"/>
          <w:lang w:eastAsia="zh-CN"/>
          <w14:textFill>
            <w14:solidFill>
              <w14:schemeClr w14:val="tx1"/>
            </w14:solidFill>
          </w14:textFill>
        </w:rPr>
        <w:t>委</w:t>
      </w:r>
      <w:r>
        <w:rPr>
          <w:rFonts w:hint="eastAsia" w:ascii="仿宋_GB2312" w:hAnsi="仿宋_GB2312" w:eastAsia="仿宋_GB2312" w:cs="仿宋_GB2312"/>
          <w:bCs/>
          <w:color w:val="000000" w:themeColor="text1"/>
          <w:sz w:val="32"/>
          <w:szCs w:val="32"/>
          <w14:textFill>
            <w14:solidFill>
              <w14:schemeClr w14:val="tx1"/>
            </w14:solidFill>
          </w14:textFill>
        </w:rPr>
        <w:t>根据绩效评价中发现的问题，认真加以整改，及时调整和完善单位的工作计划和绩效目标并加强项目管理，提高管理水平，同时为项目后续资金投入、分配和管理提供决策依据。</w:t>
      </w:r>
    </w:p>
    <w:p>
      <w:pPr>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2、绩效评价对象：</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Cs/>
          <w:color w:val="000000" w:themeColor="text1"/>
          <w:sz w:val="32"/>
          <w:szCs w:val="32"/>
          <w:lang w:eastAsia="zh-CN"/>
          <w14:textFill>
            <w14:solidFill>
              <w14:schemeClr w14:val="tx1"/>
            </w14:solidFill>
          </w14:textFill>
        </w:rPr>
      </w:pPr>
      <w:r>
        <w:rPr>
          <w:rFonts w:hint="eastAsia" w:ascii="仿宋_GB2312" w:hAnsi="仿宋_GB2312" w:eastAsia="仿宋_GB2312" w:cs="仿宋_GB2312"/>
          <w:bCs/>
          <w:color w:val="000000" w:themeColor="text1"/>
          <w:sz w:val="32"/>
          <w:szCs w:val="32"/>
          <w:lang w:eastAsia="zh-CN"/>
          <w14:textFill>
            <w14:solidFill>
              <w14:schemeClr w14:val="tx1"/>
            </w14:solidFill>
          </w14:textFill>
        </w:rPr>
        <w:t>县级地方储备粮保管费用补贴和利息补贴</w:t>
      </w:r>
      <w:r>
        <w:rPr>
          <w:rFonts w:hint="eastAsia" w:ascii="仿宋_GB2312" w:hAnsi="仿宋_GB2312" w:cs="仿宋_GB2312"/>
          <w:bCs/>
          <w:color w:val="000000" w:themeColor="text1"/>
          <w:sz w:val="32"/>
          <w:szCs w:val="32"/>
          <w:lang w:eastAsia="zh-CN"/>
          <w14:textFill>
            <w14:solidFill>
              <w14:schemeClr w14:val="tx1"/>
            </w14:solidFill>
          </w14:textFill>
        </w:rPr>
        <w:t>。</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3、绩效评价范围：</w:t>
      </w:r>
    </w:p>
    <w:p>
      <w:pPr>
        <w:spacing w:line="360" w:lineRule="auto"/>
        <w:ind w:firstLine="640" w:firstLineChars="200"/>
        <w:rPr>
          <w:color w:val="auto"/>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color w:val="auto"/>
          <w:sz w:val="32"/>
          <w:szCs w:val="32"/>
          <w:lang w:val="en-US" w:eastAsia="zh-CN"/>
        </w:rPr>
        <w:t xml:space="preserve">  </w:t>
      </w:r>
      <w:r>
        <w:rPr>
          <w:rFonts w:hint="eastAsia"/>
          <w:color w:val="auto"/>
        </w:rPr>
        <w:t>本次评价从项目决策（包括绩效目标、决策过程）、项目管理（包括项目资金、项目实施）、项目产出（包括项目产出数量、产出质量、产出时效和产出成本）项目效益四个维度进行县级地方储备粮1-4季度保管费用补贴、利息补贴</w:t>
      </w:r>
      <w:r>
        <w:rPr>
          <w:rFonts w:hint="eastAsia"/>
          <w:color w:val="auto"/>
          <w:lang w:val="en-US" w:eastAsia="zh-CN"/>
        </w:rPr>
        <w:t>评</w:t>
      </w:r>
      <w:r>
        <w:rPr>
          <w:rFonts w:hint="eastAsia"/>
          <w:color w:val="auto"/>
        </w:rPr>
        <w:t>价，评价核心为专项资金的支出完成情况和效果。</w:t>
      </w:r>
    </w:p>
    <w:p>
      <w:pPr>
        <w:spacing w:line="360" w:lineRule="auto"/>
      </w:pPr>
    </w:p>
    <w:p>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lang w:val="en-US" w:eastAsia="zh-CN"/>
        </w:rPr>
      </w:pPr>
    </w:p>
    <w:p>
      <w:pPr>
        <w:pStyle w:val="6"/>
        <w:pageBreakBefore w:val="0"/>
        <w:widowControl w:val="0"/>
        <w:kinsoku/>
        <w:wordWrap/>
        <w:overflowPunct/>
        <w:topLinePunct w:val="0"/>
        <w:autoSpaceDE/>
        <w:autoSpaceDN/>
        <w:bidi w:val="0"/>
        <w:adjustRightInd/>
        <w:snapToGrid/>
        <w:spacing w:before="0" w:after="0" w:line="560" w:lineRule="exact"/>
        <w:ind w:firstLine="640" w:firstLineChars="200"/>
        <w:textAlignment w:val="auto"/>
        <w:rPr>
          <w:rFonts w:hint="eastAsia" w:ascii="仿宋_GB2312" w:hAnsi="仿宋_GB2312" w:eastAsia="仿宋_GB2312" w:cs="仿宋_GB2312"/>
          <w:b w:val="0"/>
          <w:bCs w:val="0"/>
          <w:sz w:val="32"/>
          <w:szCs w:val="32"/>
        </w:rPr>
      </w:pPr>
      <w:bookmarkStart w:id="5" w:name="_Toc68703832"/>
      <w:r>
        <w:rPr>
          <w:rFonts w:hint="eastAsia" w:ascii="仿宋_GB2312" w:hAnsi="仿宋_GB2312" w:eastAsia="仿宋_GB2312" w:cs="仿宋_GB2312"/>
          <w:b w:val="0"/>
          <w:bCs w:val="0"/>
          <w:sz w:val="32"/>
          <w:szCs w:val="32"/>
        </w:rPr>
        <w:t>（二）绩效评价原则、评价指标体系、评价方法、评价标准等。</w:t>
      </w:r>
      <w:bookmarkEnd w:id="5"/>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1、绩效评价原则</w:t>
      </w:r>
    </w:p>
    <w:p>
      <w:pPr>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hAnsi="仿宋_GB2312" w:eastAsia="仿宋_GB2312" w:cs="仿宋_GB2312"/>
          <w:bCs/>
          <w:color w:val="000000" w:themeColor="text1"/>
          <w:sz w:val="32"/>
          <w:szCs w:val="32"/>
          <w14:textFill>
            <w14:solidFill>
              <w14:schemeClr w14:val="tx1"/>
            </w14:solidFill>
          </w14:textFill>
        </w:rPr>
      </w:pPr>
      <w:r>
        <w:rPr>
          <w:rFonts w:hint="eastAsia" w:ascii="仿宋_GB2312" w:hAnsi="仿宋_GB2312" w:eastAsia="仿宋_GB2312" w:cs="仿宋_GB2312"/>
          <w:bCs/>
          <w:color w:val="000000" w:themeColor="text1"/>
          <w:sz w:val="32"/>
          <w:szCs w:val="32"/>
          <w14:textFill>
            <w14:solidFill>
              <w14:schemeClr w14:val="tx1"/>
            </w14:solidFill>
          </w14:textFill>
        </w:rPr>
        <w:t>（一）科学公正。本次项目支出绩效评价运用科学合理的方法，按照规范的程序，对项目绩效进行客观、公正的反映。</w:t>
      </w:r>
    </w:p>
    <w:p>
      <w:pPr>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hAnsi="仿宋_GB2312" w:eastAsia="仿宋_GB2312" w:cs="仿宋_GB2312"/>
          <w:bCs/>
          <w:color w:val="000000" w:themeColor="text1"/>
          <w:sz w:val="32"/>
          <w:szCs w:val="32"/>
          <w14:textFill>
            <w14:solidFill>
              <w14:schemeClr w14:val="tx1"/>
            </w14:solidFill>
          </w14:textFill>
        </w:rPr>
      </w:pPr>
      <w:r>
        <w:rPr>
          <w:rFonts w:hint="eastAsia" w:ascii="仿宋_GB2312" w:hAnsi="仿宋_GB2312" w:eastAsia="仿宋_GB2312" w:cs="仿宋_GB2312"/>
          <w:bCs/>
          <w:color w:val="000000" w:themeColor="text1"/>
          <w:sz w:val="32"/>
          <w:szCs w:val="32"/>
          <w14:textFill>
            <w14:solidFill>
              <w14:schemeClr w14:val="tx1"/>
            </w14:solidFill>
          </w14:textFill>
        </w:rPr>
        <w:t>（二）统筹兼顾。本次项目支出绩效评价由本单位自主实施，即“谁支出、谁自评”。</w:t>
      </w:r>
    </w:p>
    <w:p>
      <w:pPr>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hAnsi="仿宋_GB2312" w:eastAsia="仿宋_GB2312" w:cs="仿宋_GB2312"/>
          <w:bCs/>
          <w:color w:val="000000" w:themeColor="text1"/>
          <w:sz w:val="32"/>
          <w:szCs w:val="32"/>
          <w14:textFill>
            <w14:solidFill>
              <w14:schemeClr w14:val="tx1"/>
            </w14:solidFill>
          </w14:textFill>
        </w:rPr>
      </w:pPr>
      <w:r>
        <w:rPr>
          <w:rFonts w:hint="eastAsia" w:ascii="仿宋_GB2312" w:hAnsi="仿宋_GB2312" w:eastAsia="仿宋_GB2312" w:cs="仿宋_GB2312"/>
          <w:bCs/>
          <w:color w:val="000000" w:themeColor="text1"/>
          <w:sz w:val="32"/>
          <w:szCs w:val="32"/>
          <w14:textFill>
            <w14:solidFill>
              <w14:schemeClr w14:val="tx1"/>
            </w14:solidFill>
          </w14:textFill>
        </w:rPr>
        <w:t>（三）激励约束。本次项目支出绩效评价结果与预算安排、政策调整、改进管理实质性挂钩，体现奖优罚劣和激励相容导向，有效要安排、低效要压减、无效要问责。</w:t>
      </w:r>
    </w:p>
    <w:p>
      <w:pPr>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hAnsi="仿宋_GB2312" w:eastAsia="仿宋_GB2312" w:cs="仿宋_GB2312"/>
          <w:sz w:val="32"/>
          <w:szCs w:val="32"/>
        </w:rPr>
      </w:pPr>
      <w:r>
        <w:rPr>
          <w:rFonts w:hint="eastAsia" w:ascii="仿宋_GB2312" w:hAnsi="仿宋_GB2312" w:eastAsia="仿宋_GB2312" w:cs="仿宋_GB2312"/>
          <w:bCs/>
          <w:color w:val="000000" w:themeColor="text1"/>
          <w:sz w:val="32"/>
          <w:szCs w:val="32"/>
          <w14:textFill>
            <w14:solidFill>
              <w14:schemeClr w14:val="tx1"/>
            </w14:solidFill>
          </w14:textFill>
        </w:rPr>
        <w:t>（四）公开透明。本次项目支出绩效评价结果已依法依规公开在</w:t>
      </w:r>
      <w:r>
        <w:rPr>
          <w:rFonts w:hint="eastAsia" w:ascii="仿宋_GB2312" w:hAnsi="仿宋_GB2312" w:cs="仿宋_GB2312"/>
          <w:bCs/>
          <w:color w:val="auto"/>
          <w:sz w:val="32"/>
          <w:szCs w:val="32"/>
          <w:lang w:val="en-US" w:eastAsia="zh-CN"/>
        </w:rPr>
        <w:t>特克斯县人民政府</w:t>
      </w:r>
      <w:r>
        <w:rPr>
          <w:rFonts w:hint="eastAsia" w:ascii="仿宋_GB2312" w:hAnsi="仿宋_GB2312" w:eastAsia="仿宋_GB2312" w:cs="仿宋_GB2312"/>
          <w:bCs/>
          <w:color w:val="000000" w:themeColor="text1"/>
          <w:sz w:val="32"/>
          <w:szCs w:val="32"/>
          <w14:textFill>
            <w14:solidFill>
              <w14:schemeClr w14:val="tx1"/>
            </w14:solidFill>
          </w14:textFill>
        </w:rPr>
        <w:t>网站上，并自觉接受社会监督。</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2、评价指标体系（附表说明）</w:t>
      </w:r>
    </w:p>
    <w:p>
      <w:pPr>
        <w:pStyle w:val="6"/>
        <w:spacing w:before="0" w:after="0" w:line="240" w:lineRule="auto"/>
        <w:jc w:val="center"/>
        <w:rPr>
          <w:rFonts w:hint="eastAsia" w:ascii="Times New Roman" w:hAnsi="Times New Roman" w:eastAsia="仿宋_GB2312" w:cs="Times New Roman"/>
          <w:b w:val="0"/>
          <w:bCs w:val="0"/>
          <w:sz w:val="30"/>
          <w:szCs w:val="24"/>
        </w:rPr>
      </w:pPr>
      <w:r>
        <w:rPr>
          <w:rFonts w:hint="eastAsia" w:ascii="Times New Roman" w:hAnsi="Times New Roman" w:eastAsia="仿宋_GB2312" w:cs="Times New Roman"/>
          <w:b w:val="0"/>
          <w:bCs w:val="0"/>
          <w:sz w:val="30"/>
          <w:szCs w:val="24"/>
          <w:lang w:eastAsia="zh-CN"/>
        </w:rPr>
        <w:t>县级地方储备粮</w:t>
      </w:r>
      <w:r>
        <w:rPr>
          <w:rFonts w:hint="eastAsia" w:ascii="Times New Roman" w:hAnsi="Times New Roman" w:eastAsia="仿宋_GB2312" w:cs="Times New Roman"/>
          <w:b w:val="0"/>
          <w:bCs w:val="0"/>
          <w:sz w:val="30"/>
          <w:szCs w:val="24"/>
          <w:lang w:val="en-US" w:eastAsia="zh-CN"/>
        </w:rPr>
        <w:t>1-4季度保管费用补贴、利息补贴</w:t>
      </w:r>
      <w:r>
        <w:rPr>
          <w:rFonts w:hint="eastAsia" w:ascii="Times New Roman" w:hAnsi="Times New Roman" w:eastAsia="仿宋_GB2312" w:cs="Times New Roman"/>
          <w:b w:val="0"/>
          <w:bCs w:val="0"/>
          <w:sz w:val="30"/>
          <w:szCs w:val="24"/>
        </w:rPr>
        <w:t>项目支出绩效评价指标体系</w:t>
      </w:r>
    </w:p>
    <w:tbl>
      <w:tblPr>
        <w:tblStyle w:val="9"/>
        <w:tblW w:w="9859"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757"/>
        <w:gridCol w:w="1478"/>
        <w:gridCol w:w="1875"/>
        <w:gridCol w:w="3885"/>
        <w:gridCol w:w="990"/>
        <w:gridCol w:w="874"/>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757" w:type="dxa"/>
            <w:shd w:val="clear" w:color="auto" w:fill="FFFFFF"/>
            <w:vAlign w:val="center"/>
          </w:tcPr>
          <w:p>
            <w:pPr>
              <w:widowControl/>
              <w:spacing w:line="0" w:lineRule="atLeast"/>
              <w:jc w:val="center"/>
              <w:rPr>
                <w:rFonts w:ascii="宋体" w:hAnsi="宋体" w:eastAsia="宋体" w:cs="宋体"/>
                <w:b/>
                <w:bCs/>
                <w:color w:val="000000"/>
                <w:kern w:val="0"/>
                <w:sz w:val="22"/>
              </w:rPr>
            </w:pPr>
            <w:r>
              <w:rPr>
                <w:rFonts w:hint="eastAsia" w:ascii="宋体" w:hAnsi="宋体" w:eastAsia="宋体" w:cs="宋体"/>
                <w:b/>
                <w:bCs/>
                <w:color w:val="000000"/>
                <w:kern w:val="0"/>
                <w:sz w:val="22"/>
              </w:rPr>
              <w:t>一级指标</w:t>
            </w:r>
          </w:p>
        </w:tc>
        <w:tc>
          <w:tcPr>
            <w:tcW w:w="1478" w:type="dxa"/>
            <w:shd w:val="clear" w:color="auto" w:fill="FFFFFF"/>
            <w:vAlign w:val="center"/>
          </w:tcPr>
          <w:p>
            <w:pPr>
              <w:widowControl/>
              <w:spacing w:line="0" w:lineRule="atLeast"/>
              <w:jc w:val="center"/>
              <w:rPr>
                <w:rFonts w:ascii="宋体" w:hAnsi="宋体" w:eastAsia="宋体" w:cs="宋体"/>
                <w:b/>
                <w:bCs/>
                <w:color w:val="000000"/>
                <w:kern w:val="0"/>
                <w:sz w:val="22"/>
              </w:rPr>
            </w:pPr>
            <w:r>
              <w:rPr>
                <w:rFonts w:hint="eastAsia" w:ascii="宋体" w:hAnsi="宋体" w:eastAsia="宋体" w:cs="宋体"/>
                <w:b/>
                <w:bCs/>
                <w:color w:val="000000"/>
                <w:kern w:val="0"/>
                <w:sz w:val="22"/>
              </w:rPr>
              <w:t>二级指标</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eastAsia="宋体" w:cs="宋体"/>
                <w:b/>
                <w:bCs/>
                <w:color w:val="000000"/>
                <w:kern w:val="0"/>
                <w:sz w:val="22"/>
              </w:rPr>
            </w:pPr>
            <w:r>
              <w:rPr>
                <w:rFonts w:hint="eastAsia" w:ascii="宋体" w:hAnsi="宋体" w:eastAsia="宋体" w:cs="宋体"/>
                <w:b/>
                <w:bCs/>
                <w:color w:val="000000"/>
                <w:kern w:val="0"/>
                <w:sz w:val="22"/>
              </w:rPr>
              <w:t>三级指标</w:t>
            </w:r>
          </w:p>
        </w:tc>
        <w:tc>
          <w:tcPr>
            <w:tcW w:w="3885" w:type="dxa"/>
            <w:tcBorders>
              <w:right w:val="single" w:color="auto" w:sz="4" w:space="0"/>
            </w:tcBorders>
            <w:shd w:val="clear" w:color="auto" w:fill="FFFFFF"/>
          </w:tcPr>
          <w:p>
            <w:pPr>
              <w:widowControl/>
              <w:spacing w:line="600" w:lineRule="auto"/>
              <w:jc w:val="center"/>
              <w:rPr>
                <w:rFonts w:ascii="宋体" w:hAnsi="宋体" w:eastAsia="宋体" w:cs="宋体"/>
                <w:b/>
                <w:bCs/>
                <w:color w:val="000000"/>
                <w:kern w:val="0"/>
                <w:sz w:val="22"/>
              </w:rPr>
            </w:pPr>
            <w:r>
              <w:rPr>
                <w:rFonts w:hint="eastAsia" w:ascii="宋体" w:hAnsi="宋体" w:eastAsia="宋体" w:cs="宋体"/>
                <w:b/>
                <w:bCs/>
                <w:color w:val="000000"/>
                <w:kern w:val="0"/>
                <w:sz w:val="22"/>
              </w:rPr>
              <w:t>指标解释</w:t>
            </w:r>
          </w:p>
        </w:tc>
        <w:tc>
          <w:tcPr>
            <w:tcW w:w="990" w:type="dxa"/>
            <w:tcBorders>
              <w:left w:val="single" w:color="auto" w:sz="4" w:space="0"/>
            </w:tcBorders>
            <w:shd w:val="clear" w:color="auto" w:fill="FFFFFF"/>
          </w:tcPr>
          <w:p>
            <w:pPr>
              <w:widowControl/>
              <w:spacing w:line="600" w:lineRule="auto"/>
              <w:jc w:val="center"/>
              <w:rPr>
                <w:rFonts w:ascii="宋体" w:hAnsi="宋体" w:eastAsia="宋体" w:cs="宋体"/>
                <w:b/>
                <w:bCs/>
                <w:color w:val="000000"/>
                <w:kern w:val="0"/>
                <w:sz w:val="22"/>
              </w:rPr>
            </w:pPr>
            <w:r>
              <w:rPr>
                <w:rFonts w:hint="eastAsia" w:ascii="宋体" w:hAnsi="宋体" w:eastAsia="宋体" w:cs="宋体"/>
                <w:b/>
                <w:bCs/>
                <w:color w:val="000000"/>
                <w:kern w:val="0"/>
                <w:sz w:val="22"/>
              </w:rPr>
              <w:t>分值</w:t>
            </w:r>
          </w:p>
        </w:tc>
        <w:tc>
          <w:tcPr>
            <w:tcW w:w="874" w:type="dxa"/>
            <w:shd w:val="clear" w:color="auto" w:fill="FFFFFF"/>
          </w:tcPr>
          <w:p>
            <w:pPr>
              <w:widowControl/>
              <w:spacing w:line="600" w:lineRule="auto"/>
              <w:jc w:val="center"/>
              <w:rPr>
                <w:rFonts w:ascii="宋体" w:hAnsi="宋体" w:eastAsia="宋体" w:cs="宋体"/>
                <w:b/>
                <w:bCs/>
                <w:color w:val="000000"/>
                <w:kern w:val="0"/>
                <w:sz w:val="22"/>
              </w:rPr>
            </w:pPr>
            <w:r>
              <w:rPr>
                <w:rFonts w:hint="eastAsia" w:ascii="宋体" w:hAnsi="宋体" w:eastAsia="宋体" w:cs="宋体"/>
                <w:b/>
                <w:bCs/>
                <w:color w:val="000000"/>
                <w:kern w:val="0"/>
                <w:sz w:val="22"/>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95" w:hRule="atLeast"/>
          <w:jc w:val="center"/>
        </w:trPr>
        <w:tc>
          <w:tcPr>
            <w:tcW w:w="757"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决策</w:t>
            </w:r>
          </w:p>
        </w:tc>
        <w:tc>
          <w:tcPr>
            <w:tcW w:w="1478"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项目立项　</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立项依据</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充分性</w:t>
            </w:r>
          </w:p>
        </w:tc>
        <w:tc>
          <w:tcPr>
            <w:tcW w:w="388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项目立项是否符合法律法规、相关政策、发展规划以及部门职责，用以反映和考核项目立项依据情况。</w:t>
            </w:r>
          </w:p>
        </w:tc>
        <w:tc>
          <w:tcPr>
            <w:tcW w:w="990" w:type="dxa"/>
            <w:tcBorders>
              <w:left w:val="single" w:color="auto" w:sz="4" w:space="0"/>
            </w:tcBorders>
            <w:shd w:val="clear" w:color="auto" w:fill="FFFFFF"/>
            <w:vAlign w:val="top"/>
          </w:tcPr>
          <w:p>
            <w:pPr>
              <w:pageBreakBefore w:val="0"/>
              <w:kinsoku/>
              <w:wordWrap/>
              <w:overflowPunct/>
              <w:topLinePunct w:val="0"/>
              <w:autoSpaceDE/>
              <w:autoSpaceDN/>
              <w:bidi w:val="0"/>
              <w:adjustRightInd/>
              <w:snapToGrid/>
              <w:spacing w:line="420" w:lineRule="exact"/>
              <w:jc w:val="center"/>
              <w:textAlignment w:val="auto"/>
              <w:rPr>
                <w:rFonts w:hint="default" w:ascii="仿宋_GB2312" w:hAnsi="仿宋_GB2312" w:eastAsia="仿宋_GB2312" w:cs="仿宋_GB2312"/>
                <w:kern w:val="2"/>
                <w:sz w:val="30"/>
                <w:szCs w:val="30"/>
                <w:lang w:val="en-US" w:eastAsia="zh-CN" w:bidi="ar-SA"/>
              </w:rPr>
            </w:pPr>
            <w:r>
              <w:rPr>
                <w:rFonts w:hint="eastAsia" w:ascii="仿宋_GB2312" w:hAnsi="仿宋_GB2312" w:cs="仿宋_GB2312"/>
                <w:kern w:val="2"/>
                <w:sz w:val="30"/>
                <w:szCs w:val="30"/>
                <w:lang w:val="en-US" w:eastAsia="zh-CN" w:bidi="ar-SA"/>
              </w:rPr>
              <w:t>5</w:t>
            </w:r>
          </w:p>
        </w:tc>
        <w:tc>
          <w:tcPr>
            <w:tcW w:w="874" w:type="dxa"/>
            <w:tcBorders>
              <w:bottom w:val="single" w:color="auto" w:sz="4" w:space="0"/>
            </w:tcBorders>
            <w:shd w:val="clear" w:color="auto" w:fill="FFFFFF"/>
            <w:vAlign w:val="top"/>
          </w:tcPr>
          <w:p>
            <w:pPr>
              <w:pageBreakBefore w:val="0"/>
              <w:kinsoku/>
              <w:wordWrap/>
              <w:overflowPunct/>
              <w:topLinePunct w:val="0"/>
              <w:autoSpaceDE/>
              <w:autoSpaceDN/>
              <w:bidi w:val="0"/>
              <w:adjustRightInd/>
              <w:snapToGrid/>
              <w:spacing w:line="420" w:lineRule="exact"/>
              <w:jc w:val="center"/>
              <w:textAlignment w:val="auto"/>
              <w:rPr>
                <w:rFonts w:hint="eastAsia" w:ascii="仿宋_GB2312" w:hAnsi="仿宋_GB2312" w:eastAsia="仿宋_GB2312" w:cs="仿宋_GB2312"/>
                <w:kern w:val="2"/>
                <w:sz w:val="30"/>
                <w:szCs w:val="30"/>
                <w:lang w:val="en-US" w:eastAsia="zh-CN" w:bidi="ar-SA"/>
              </w:rPr>
            </w:pPr>
            <w:r>
              <w:rPr>
                <w:rFonts w:hint="eastAsia" w:ascii="仿宋_GB2312" w:hAnsi="仿宋_GB2312" w:cs="仿宋_GB2312"/>
                <w:kern w:val="2"/>
                <w:sz w:val="30"/>
                <w:szCs w:val="30"/>
                <w:lang w:val="en-US" w:eastAsia="zh-CN" w:bidi="ar-SA"/>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47" w:hRule="atLeast"/>
          <w:jc w:val="center"/>
        </w:trPr>
        <w:tc>
          <w:tcPr>
            <w:tcW w:w="757" w:type="dxa"/>
            <w:vMerge w:val="continue"/>
            <w:shd w:val="clear" w:color="auto" w:fill="FFFFFF"/>
            <w:vAlign w:val="center"/>
          </w:tcPr>
          <w:p>
            <w:pPr>
              <w:spacing w:line="0" w:lineRule="atLeast"/>
              <w:jc w:val="center"/>
              <w:rPr>
                <w:rFonts w:ascii="宋体" w:hAnsi="宋体" w:cs="宋体"/>
                <w:color w:val="000000"/>
                <w:kern w:val="0"/>
                <w:sz w:val="22"/>
              </w:rPr>
            </w:pPr>
          </w:p>
        </w:tc>
        <w:tc>
          <w:tcPr>
            <w:tcW w:w="1478"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立项程序</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规范性</w:t>
            </w:r>
          </w:p>
        </w:tc>
        <w:tc>
          <w:tcPr>
            <w:tcW w:w="388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项目申请、设立过程是否符合相关要求，用以反映和考核项目立项的规范情况</w:t>
            </w:r>
          </w:p>
        </w:tc>
        <w:tc>
          <w:tcPr>
            <w:tcW w:w="990" w:type="dxa"/>
            <w:tcBorders>
              <w:left w:val="single" w:color="auto" w:sz="4" w:space="0"/>
            </w:tcBorders>
            <w:shd w:val="clear" w:color="auto" w:fill="FFFFFF"/>
            <w:vAlign w:val="top"/>
          </w:tcPr>
          <w:p>
            <w:pPr>
              <w:pageBreakBefore w:val="0"/>
              <w:kinsoku/>
              <w:wordWrap/>
              <w:overflowPunct/>
              <w:topLinePunct w:val="0"/>
              <w:autoSpaceDE/>
              <w:autoSpaceDN/>
              <w:bidi w:val="0"/>
              <w:adjustRightInd/>
              <w:snapToGrid/>
              <w:spacing w:line="420" w:lineRule="exact"/>
              <w:jc w:val="center"/>
              <w:textAlignment w:val="auto"/>
              <w:rPr>
                <w:rFonts w:hint="default" w:ascii="仿宋_GB2312" w:hAnsi="仿宋_GB2312" w:eastAsia="仿宋_GB2312" w:cs="仿宋_GB2312"/>
                <w:kern w:val="2"/>
                <w:sz w:val="30"/>
                <w:szCs w:val="30"/>
                <w:lang w:val="en-US" w:eastAsia="zh-CN" w:bidi="ar-SA"/>
              </w:rPr>
            </w:pPr>
            <w:r>
              <w:rPr>
                <w:rFonts w:hint="eastAsia" w:ascii="仿宋_GB2312" w:hAnsi="仿宋_GB2312" w:cs="仿宋_GB2312"/>
                <w:kern w:val="2"/>
                <w:sz w:val="30"/>
                <w:szCs w:val="30"/>
                <w:lang w:val="en-US" w:eastAsia="zh-CN" w:bidi="ar-SA"/>
              </w:rPr>
              <w:t>5</w:t>
            </w:r>
          </w:p>
        </w:tc>
        <w:tc>
          <w:tcPr>
            <w:tcW w:w="874" w:type="dxa"/>
            <w:shd w:val="clear" w:color="auto" w:fill="FFFFFF"/>
            <w:vAlign w:val="top"/>
          </w:tcPr>
          <w:p>
            <w:pPr>
              <w:pageBreakBefore w:val="0"/>
              <w:kinsoku/>
              <w:wordWrap/>
              <w:overflowPunct/>
              <w:topLinePunct w:val="0"/>
              <w:autoSpaceDE/>
              <w:autoSpaceDN/>
              <w:bidi w:val="0"/>
              <w:adjustRightInd/>
              <w:snapToGrid/>
              <w:spacing w:line="420" w:lineRule="exact"/>
              <w:jc w:val="center"/>
              <w:textAlignment w:val="auto"/>
              <w:rPr>
                <w:rFonts w:hint="eastAsia" w:ascii="仿宋_GB2312" w:hAnsi="仿宋_GB2312" w:eastAsia="仿宋_GB2312" w:cs="仿宋_GB2312"/>
                <w:kern w:val="2"/>
                <w:sz w:val="30"/>
                <w:szCs w:val="30"/>
                <w:lang w:val="en-US" w:eastAsia="zh-CN" w:bidi="ar-SA"/>
              </w:rPr>
            </w:pPr>
            <w:r>
              <w:rPr>
                <w:rFonts w:hint="eastAsia" w:ascii="仿宋_GB2312" w:hAnsi="仿宋_GB2312" w:cs="仿宋_GB2312"/>
                <w:kern w:val="2"/>
                <w:sz w:val="30"/>
                <w:szCs w:val="30"/>
                <w:lang w:val="en-US" w:eastAsia="zh-CN" w:bidi="ar-SA"/>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13" w:hRule="atLeast"/>
          <w:jc w:val="center"/>
        </w:trPr>
        <w:tc>
          <w:tcPr>
            <w:tcW w:w="757" w:type="dxa"/>
            <w:vMerge w:val="continue"/>
            <w:shd w:val="clear" w:color="auto" w:fill="FFFFFF"/>
            <w:vAlign w:val="center"/>
          </w:tcPr>
          <w:p>
            <w:pPr>
              <w:spacing w:line="0" w:lineRule="atLeast"/>
              <w:jc w:val="center"/>
              <w:rPr>
                <w:rFonts w:ascii="宋体" w:hAnsi="宋体" w:cs="宋体"/>
                <w:color w:val="000000"/>
                <w:kern w:val="0"/>
                <w:sz w:val="22"/>
              </w:rPr>
            </w:pPr>
          </w:p>
        </w:tc>
        <w:tc>
          <w:tcPr>
            <w:tcW w:w="1478"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绩效目标</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绩效目标</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合理性</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项目所设定的绩效目标是否依据充分，是否符合客观实际，用以反映和考核项目绩效目标与项目实施的相符情况。</w:t>
            </w:r>
          </w:p>
        </w:tc>
        <w:tc>
          <w:tcPr>
            <w:tcW w:w="990" w:type="dxa"/>
            <w:tcBorders>
              <w:left w:val="single" w:color="auto" w:sz="4" w:space="0"/>
            </w:tcBorders>
            <w:shd w:val="clear" w:color="000000" w:fill="FFFFFF"/>
            <w:vAlign w:val="top"/>
          </w:tcPr>
          <w:p>
            <w:pPr>
              <w:pageBreakBefore w:val="0"/>
              <w:kinsoku/>
              <w:wordWrap/>
              <w:overflowPunct/>
              <w:topLinePunct w:val="0"/>
              <w:autoSpaceDE/>
              <w:autoSpaceDN/>
              <w:bidi w:val="0"/>
              <w:adjustRightInd/>
              <w:snapToGrid/>
              <w:spacing w:line="420" w:lineRule="exact"/>
              <w:jc w:val="center"/>
              <w:textAlignment w:val="auto"/>
              <w:rPr>
                <w:rFonts w:hint="default" w:ascii="仿宋_GB2312" w:hAnsi="仿宋_GB2312" w:eastAsia="仿宋_GB2312" w:cs="仿宋_GB2312"/>
                <w:kern w:val="2"/>
                <w:sz w:val="30"/>
                <w:szCs w:val="30"/>
                <w:lang w:val="en-US" w:eastAsia="zh-CN" w:bidi="ar-SA"/>
              </w:rPr>
            </w:pPr>
            <w:r>
              <w:rPr>
                <w:rFonts w:hint="eastAsia" w:ascii="仿宋_GB2312" w:hAnsi="仿宋_GB2312" w:cs="仿宋_GB2312"/>
                <w:kern w:val="2"/>
                <w:sz w:val="30"/>
                <w:szCs w:val="30"/>
                <w:lang w:val="en-US" w:eastAsia="zh-CN" w:bidi="ar-SA"/>
              </w:rPr>
              <w:t>5</w:t>
            </w:r>
          </w:p>
        </w:tc>
        <w:tc>
          <w:tcPr>
            <w:tcW w:w="874" w:type="dxa"/>
            <w:shd w:val="clear" w:color="000000" w:fill="FFFFFF"/>
            <w:vAlign w:val="top"/>
          </w:tcPr>
          <w:p>
            <w:pPr>
              <w:pageBreakBefore w:val="0"/>
              <w:kinsoku/>
              <w:wordWrap/>
              <w:overflowPunct/>
              <w:topLinePunct w:val="0"/>
              <w:autoSpaceDE/>
              <w:autoSpaceDN/>
              <w:bidi w:val="0"/>
              <w:adjustRightInd/>
              <w:snapToGrid/>
              <w:spacing w:line="420" w:lineRule="exact"/>
              <w:jc w:val="center"/>
              <w:textAlignment w:val="auto"/>
              <w:rPr>
                <w:rFonts w:hint="eastAsia" w:ascii="仿宋_GB2312" w:hAnsi="仿宋_GB2312" w:eastAsia="仿宋_GB2312" w:cs="仿宋_GB2312"/>
                <w:kern w:val="2"/>
                <w:sz w:val="30"/>
                <w:szCs w:val="30"/>
                <w:lang w:val="en-US" w:eastAsia="zh-CN" w:bidi="ar-SA"/>
              </w:rPr>
            </w:pPr>
            <w:r>
              <w:rPr>
                <w:rFonts w:hint="eastAsia" w:ascii="仿宋_GB2312" w:hAnsi="仿宋_GB2312" w:cs="仿宋_GB2312"/>
                <w:kern w:val="2"/>
                <w:sz w:val="30"/>
                <w:szCs w:val="30"/>
                <w:lang w:val="en-US" w:eastAsia="zh-CN" w:bidi="ar-SA"/>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93" w:hRule="atLeast"/>
          <w:jc w:val="center"/>
        </w:trPr>
        <w:tc>
          <w:tcPr>
            <w:tcW w:w="757"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478"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绩效指标</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明确性</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依据绩效目标设定的绩效指标是否清晰、细化、可衡量等，用以反映和考核项目绩效目标的明细化情况。</w:t>
            </w:r>
          </w:p>
        </w:tc>
        <w:tc>
          <w:tcPr>
            <w:tcW w:w="990" w:type="dxa"/>
            <w:tcBorders>
              <w:left w:val="single" w:color="auto" w:sz="4" w:space="0"/>
            </w:tcBorders>
            <w:shd w:val="clear" w:color="000000" w:fill="FFFFFF"/>
            <w:vAlign w:val="top"/>
          </w:tcPr>
          <w:p>
            <w:pPr>
              <w:pageBreakBefore w:val="0"/>
              <w:kinsoku/>
              <w:wordWrap/>
              <w:overflowPunct/>
              <w:topLinePunct w:val="0"/>
              <w:autoSpaceDE/>
              <w:autoSpaceDN/>
              <w:bidi w:val="0"/>
              <w:adjustRightInd/>
              <w:snapToGrid/>
              <w:spacing w:line="420" w:lineRule="exact"/>
              <w:jc w:val="center"/>
              <w:textAlignment w:val="auto"/>
              <w:rPr>
                <w:rFonts w:hint="default" w:ascii="仿宋_GB2312" w:hAnsi="仿宋_GB2312" w:eastAsia="仿宋_GB2312" w:cs="仿宋_GB2312"/>
                <w:kern w:val="2"/>
                <w:sz w:val="30"/>
                <w:szCs w:val="30"/>
                <w:lang w:val="en-US" w:eastAsia="zh-CN" w:bidi="ar-SA"/>
              </w:rPr>
            </w:pPr>
            <w:r>
              <w:rPr>
                <w:rFonts w:hint="eastAsia" w:ascii="仿宋_GB2312" w:hAnsi="仿宋_GB2312" w:cs="仿宋_GB2312"/>
                <w:kern w:val="2"/>
                <w:sz w:val="30"/>
                <w:szCs w:val="30"/>
                <w:lang w:val="en-US" w:eastAsia="zh-CN" w:bidi="ar-SA"/>
              </w:rPr>
              <w:t>5</w:t>
            </w:r>
          </w:p>
        </w:tc>
        <w:tc>
          <w:tcPr>
            <w:tcW w:w="874" w:type="dxa"/>
            <w:tcBorders>
              <w:bottom w:val="single" w:color="auto" w:sz="4" w:space="0"/>
            </w:tcBorders>
            <w:shd w:val="clear" w:color="000000" w:fill="FFFFFF"/>
            <w:vAlign w:val="top"/>
          </w:tcPr>
          <w:p>
            <w:pPr>
              <w:pageBreakBefore w:val="0"/>
              <w:kinsoku/>
              <w:wordWrap/>
              <w:overflowPunct/>
              <w:topLinePunct w:val="0"/>
              <w:autoSpaceDE/>
              <w:autoSpaceDN/>
              <w:bidi w:val="0"/>
              <w:adjustRightInd/>
              <w:snapToGrid/>
              <w:spacing w:line="420" w:lineRule="exact"/>
              <w:jc w:val="center"/>
              <w:textAlignment w:val="auto"/>
              <w:rPr>
                <w:rFonts w:hint="eastAsia" w:ascii="仿宋_GB2312" w:hAnsi="仿宋_GB2312" w:eastAsia="仿宋_GB2312" w:cs="仿宋_GB2312"/>
                <w:kern w:val="2"/>
                <w:sz w:val="30"/>
                <w:szCs w:val="30"/>
                <w:lang w:val="en-US" w:eastAsia="zh-CN" w:bidi="ar-SA"/>
              </w:rPr>
            </w:pPr>
            <w:r>
              <w:rPr>
                <w:rFonts w:hint="eastAsia" w:ascii="仿宋_GB2312" w:hAnsi="仿宋_GB2312" w:cs="仿宋_GB2312"/>
                <w:kern w:val="2"/>
                <w:sz w:val="30"/>
                <w:szCs w:val="30"/>
                <w:lang w:val="en-US" w:eastAsia="zh-CN" w:bidi="ar-SA"/>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01" w:hRule="atLeast"/>
          <w:jc w:val="center"/>
        </w:trPr>
        <w:tc>
          <w:tcPr>
            <w:tcW w:w="757" w:type="dxa"/>
            <w:vMerge w:val="continue"/>
            <w:shd w:val="clear" w:color="auto" w:fill="FFFFFF"/>
            <w:vAlign w:val="center"/>
          </w:tcPr>
          <w:p>
            <w:pPr>
              <w:spacing w:line="0" w:lineRule="atLeast"/>
              <w:jc w:val="center"/>
              <w:rPr>
                <w:rFonts w:ascii="宋体" w:hAnsi="宋体" w:cs="宋体"/>
                <w:color w:val="000000"/>
                <w:kern w:val="0"/>
                <w:sz w:val="22"/>
              </w:rPr>
            </w:pPr>
          </w:p>
        </w:tc>
        <w:tc>
          <w:tcPr>
            <w:tcW w:w="1478"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资金投入</w:t>
            </w:r>
          </w:p>
          <w:p>
            <w:pPr>
              <w:spacing w:line="0" w:lineRule="atLeast"/>
              <w:jc w:val="center"/>
              <w:rPr>
                <w:rFonts w:ascii="宋体" w:hAnsi="宋体" w:cs="宋体"/>
                <w:color w:val="000000"/>
                <w:kern w:val="0"/>
                <w:sz w:val="22"/>
              </w:rPr>
            </w:pPr>
            <w:r>
              <w:rPr>
                <w:rFonts w:hint="eastAsia" w:ascii="宋体" w:hAnsi="宋体" w:cs="宋体"/>
                <w:color w:val="000000"/>
                <w:kern w:val="0"/>
                <w:sz w:val="22"/>
              </w:rPr>
              <w:t>　</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预算编制</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科学性</w:t>
            </w:r>
          </w:p>
        </w:tc>
        <w:tc>
          <w:tcPr>
            <w:tcW w:w="388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项目预算编制是否经过科学论证、有明确标准，资金额度与年度目标是否相适应，用以反映和考核项目预算编制的科学性、合理性情况。</w:t>
            </w:r>
          </w:p>
        </w:tc>
        <w:tc>
          <w:tcPr>
            <w:tcW w:w="990" w:type="dxa"/>
            <w:tcBorders>
              <w:left w:val="single" w:color="auto" w:sz="4" w:space="0"/>
            </w:tcBorders>
            <w:shd w:val="clear" w:color="auto" w:fill="FFFFFF"/>
          </w:tcPr>
          <w:p>
            <w:pPr>
              <w:spacing w:line="600" w:lineRule="auto"/>
              <w:jc w:val="center"/>
              <w:rPr>
                <w:rFonts w:hint="eastAsia" w:eastAsia="仿宋_GB2312"/>
                <w:lang w:val="en-US" w:eastAsia="zh-CN"/>
              </w:rPr>
            </w:pPr>
            <w:r>
              <w:rPr>
                <w:rFonts w:hint="eastAsia" w:ascii="仿宋_GB2312" w:hAnsi="仿宋_GB2312" w:cs="仿宋_GB2312"/>
                <w:kern w:val="2"/>
                <w:sz w:val="30"/>
                <w:szCs w:val="30"/>
                <w:lang w:val="en-US" w:eastAsia="zh-CN" w:bidi="ar-SA"/>
              </w:rPr>
              <w:t>5</w:t>
            </w:r>
          </w:p>
        </w:tc>
        <w:tc>
          <w:tcPr>
            <w:tcW w:w="874" w:type="dxa"/>
            <w:tcBorders>
              <w:bottom w:val="single" w:color="auto" w:sz="4" w:space="0"/>
            </w:tcBorders>
            <w:shd w:val="clear" w:color="auto" w:fill="FFFFFF"/>
            <w:vAlign w:val="top"/>
          </w:tcPr>
          <w:p>
            <w:pPr>
              <w:pageBreakBefore w:val="0"/>
              <w:kinsoku/>
              <w:wordWrap/>
              <w:overflowPunct/>
              <w:topLinePunct w:val="0"/>
              <w:autoSpaceDE/>
              <w:autoSpaceDN/>
              <w:bidi w:val="0"/>
              <w:adjustRightInd/>
              <w:snapToGrid/>
              <w:spacing w:line="420" w:lineRule="exact"/>
              <w:jc w:val="center"/>
              <w:textAlignment w:val="auto"/>
              <w:rPr>
                <w:rFonts w:hint="eastAsia" w:eastAsia="仿宋_GB2312"/>
                <w:lang w:val="en-US" w:eastAsia="zh-CN"/>
              </w:rPr>
            </w:pPr>
            <w:r>
              <w:rPr>
                <w:rFonts w:hint="eastAsia" w:ascii="仿宋_GB2312" w:hAnsi="仿宋_GB2312" w:cs="仿宋_GB2312"/>
                <w:kern w:val="2"/>
                <w:sz w:val="30"/>
                <w:szCs w:val="30"/>
                <w:lang w:val="en-US" w:eastAsia="zh-CN" w:bidi="ar-SA"/>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54" w:hRule="atLeast"/>
          <w:jc w:val="center"/>
        </w:trPr>
        <w:tc>
          <w:tcPr>
            <w:tcW w:w="757"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478"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资金分配</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合理性</w:t>
            </w:r>
          </w:p>
        </w:tc>
        <w:tc>
          <w:tcPr>
            <w:tcW w:w="388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项目预算资金分配是否有测算依据，与补助单位或地方实际是否相适应，用以反映和考核项目预算资金分配的科学性、合理性情况。</w:t>
            </w:r>
          </w:p>
        </w:tc>
        <w:tc>
          <w:tcPr>
            <w:tcW w:w="990" w:type="dxa"/>
            <w:tcBorders>
              <w:left w:val="single" w:color="auto" w:sz="4" w:space="0"/>
            </w:tcBorders>
            <w:shd w:val="clear" w:color="auto" w:fill="FFFFFF"/>
            <w:vAlign w:val="top"/>
          </w:tcPr>
          <w:p>
            <w:pPr>
              <w:pageBreakBefore w:val="0"/>
              <w:kinsoku/>
              <w:wordWrap/>
              <w:overflowPunct/>
              <w:topLinePunct w:val="0"/>
              <w:autoSpaceDE/>
              <w:autoSpaceDN/>
              <w:bidi w:val="0"/>
              <w:adjustRightInd/>
              <w:snapToGrid/>
              <w:spacing w:line="420" w:lineRule="exact"/>
              <w:jc w:val="center"/>
              <w:textAlignment w:val="auto"/>
              <w:rPr>
                <w:rFonts w:hint="eastAsia" w:ascii="仿宋_GB2312" w:hAnsi="仿宋_GB2312" w:eastAsia="仿宋_GB2312" w:cs="仿宋_GB2312"/>
                <w:kern w:val="2"/>
                <w:sz w:val="30"/>
                <w:szCs w:val="30"/>
                <w:lang w:val="en-US" w:eastAsia="zh-CN" w:bidi="ar-SA"/>
              </w:rPr>
            </w:pPr>
            <w:r>
              <w:rPr>
                <w:rFonts w:hint="eastAsia" w:ascii="仿宋_GB2312" w:hAnsi="仿宋_GB2312" w:cs="仿宋_GB2312"/>
                <w:kern w:val="2"/>
                <w:sz w:val="30"/>
                <w:szCs w:val="30"/>
                <w:lang w:val="en-US" w:eastAsia="zh-CN" w:bidi="ar-SA"/>
              </w:rPr>
              <w:t>5</w:t>
            </w:r>
          </w:p>
        </w:tc>
        <w:tc>
          <w:tcPr>
            <w:tcW w:w="874" w:type="dxa"/>
            <w:shd w:val="clear" w:color="auto" w:fill="FFFFFF"/>
            <w:vAlign w:val="top"/>
          </w:tcPr>
          <w:p>
            <w:pPr>
              <w:pageBreakBefore w:val="0"/>
              <w:kinsoku/>
              <w:wordWrap/>
              <w:overflowPunct/>
              <w:topLinePunct w:val="0"/>
              <w:autoSpaceDE/>
              <w:autoSpaceDN/>
              <w:bidi w:val="0"/>
              <w:adjustRightInd/>
              <w:snapToGrid/>
              <w:spacing w:line="420" w:lineRule="exact"/>
              <w:jc w:val="center"/>
              <w:textAlignment w:val="auto"/>
              <w:rPr>
                <w:rFonts w:hint="eastAsia" w:ascii="仿宋_GB2312" w:hAnsi="仿宋_GB2312" w:eastAsia="仿宋_GB2312" w:cs="仿宋_GB2312"/>
                <w:kern w:val="2"/>
                <w:sz w:val="30"/>
                <w:szCs w:val="30"/>
                <w:lang w:val="en-US" w:eastAsia="zh-CN" w:bidi="ar-SA"/>
              </w:rPr>
            </w:pPr>
            <w:r>
              <w:rPr>
                <w:rFonts w:hint="eastAsia" w:ascii="仿宋_GB2312" w:hAnsi="仿宋_GB2312" w:cs="仿宋_GB2312"/>
                <w:kern w:val="2"/>
                <w:sz w:val="30"/>
                <w:szCs w:val="30"/>
                <w:lang w:val="en-US" w:eastAsia="zh-CN" w:bidi="ar-SA"/>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48" w:hRule="atLeast"/>
          <w:jc w:val="center"/>
        </w:trPr>
        <w:tc>
          <w:tcPr>
            <w:tcW w:w="757" w:type="dxa"/>
            <w:vMerge w:val="restart"/>
            <w:shd w:val="clear" w:color="auto" w:fill="FFFFFF"/>
            <w:vAlign w:val="center"/>
          </w:tcPr>
          <w:p>
            <w:pPr>
              <w:spacing w:line="0" w:lineRule="atLeast"/>
              <w:jc w:val="center"/>
              <w:rPr>
                <w:rFonts w:ascii="宋体" w:hAnsi="宋体" w:cs="宋体"/>
                <w:color w:val="000000"/>
                <w:kern w:val="0"/>
                <w:sz w:val="22"/>
              </w:rPr>
            </w:pPr>
            <w:r>
              <w:rPr>
                <w:rFonts w:hint="eastAsia" w:ascii="宋体" w:hAnsi="宋体" w:cs="宋体"/>
                <w:color w:val="000000"/>
                <w:kern w:val="0"/>
                <w:sz w:val="22"/>
              </w:rPr>
              <w:t>过程</w:t>
            </w:r>
          </w:p>
        </w:tc>
        <w:tc>
          <w:tcPr>
            <w:tcW w:w="1478"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资金管理</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资金到位率</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实际到位资金与预算资金的比率，用以反映和考核资金落实情况对项目实施的总体保障程度。</w:t>
            </w:r>
          </w:p>
        </w:tc>
        <w:tc>
          <w:tcPr>
            <w:tcW w:w="990" w:type="dxa"/>
            <w:tcBorders>
              <w:left w:val="single" w:color="auto" w:sz="4" w:space="0"/>
            </w:tcBorders>
            <w:shd w:val="clear" w:color="000000" w:fill="FFFFFF"/>
            <w:vAlign w:val="top"/>
          </w:tcPr>
          <w:p>
            <w:pPr>
              <w:pageBreakBefore w:val="0"/>
              <w:kinsoku/>
              <w:wordWrap/>
              <w:overflowPunct/>
              <w:topLinePunct w:val="0"/>
              <w:autoSpaceDE/>
              <w:autoSpaceDN/>
              <w:bidi w:val="0"/>
              <w:adjustRightInd/>
              <w:snapToGrid/>
              <w:spacing w:line="420" w:lineRule="exact"/>
              <w:jc w:val="center"/>
              <w:textAlignment w:val="auto"/>
              <w:rPr>
                <w:rFonts w:hint="eastAsia" w:ascii="仿宋_GB2312" w:hAnsi="仿宋_GB2312" w:eastAsia="仿宋_GB2312" w:cs="仿宋_GB2312"/>
                <w:kern w:val="2"/>
                <w:sz w:val="30"/>
                <w:szCs w:val="30"/>
                <w:lang w:val="en-US" w:eastAsia="zh-CN" w:bidi="ar-SA"/>
              </w:rPr>
            </w:pPr>
            <w:r>
              <w:rPr>
                <w:rFonts w:hint="eastAsia" w:ascii="仿宋_GB2312" w:hAnsi="仿宋_GB2312" w:cs="仿宋_GB2312"/>
                <w:kern w:val="2"/>
                <w:sz w:val="30"/>
                <w:szCs w:val="30"/>
                <w:lang w:val="en-US" w:eastAsia="zh-CN" w:bidi="ar-SA"/>
              </w:rPr>
              <w:t>5</w:t>
            </w:r>
          </w:p>
        </w:tc>
        <w:tc>
          <w:tcPr>
            <w:tcW w:w="874" w:type="dxa"/>
            <w:tcBorders>
              <w:bottom w:val="single" w:color="auto" w:sz="4" w:space="0"/>
            </w:tcBorders>
            <w:shd w:val="clear" w:color="000000" w:fill="FFFFFF"/>
            <w:vAlign w:val="top"/>
          </w:tcPr>
          <w:p>
            <w:pPr>
              <w:pageBreakBefore w:val="0"/>
              <w:kinsoku/>
              <w:wordWrap/>
              <w:overflowPunct/>
              <w:topLinePunct w:val="0"/>
              <w:autoSpaceDE/>
              <w:autoSpaceDN/>
              <w:bidi w:val="0"/>
              <w:adjustRightInd/>
              <w:snapToGrid/>
              <w:spacing w:line="420" w:lineRule="exact"/>
              <w:jc w:val="center"/>
              <w:textAlignment w:val="auto"/>
              <w:rPr>
                <w:rFonts w:hint="eastAsia" w:ascii="仿宋_GB2312" w:hAnsi="仿宋_GB2312" w:eastAsia="仿宋_GB2312" w:cs="仿宋_GB2312"/>
                <w:kern w:val="2"/>
                <w:sz w:val="30"/>
                <w:szCs w:val="30"/>
                <w:lang w:val="en-US" w:eastAsia="zh-CN" w:bidi="ar-SA"/>
              </w:rPr>
            </w:pPr>
            <w:r>
              <w:rPr>
                <w:rFonts w:hint="eastAsia" w:ascii="仿宋_GB2312" w:hAnsi="仿宋_GB2312" w:cs="仿宋_GB2312"/>
                <w:kern w:val="2"/>
                <w:sz w:val="30"/>
                <w:szCs w:val="30"/>
                <w:lang w:val="en-US" w:eastAsia="zh-CN" w:bidi="ar-SA"/>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82" w:hRule="atLeast"/>
          <w:jc w:val="center"/>
        </w:trPr>
        <w:tc>
          <w:tcPr>
            <w:tcW w:w="757" w:type="dxa"/>
            <w:vMerge w:val="continue"/>
            <w:shd w:val="clear" w:color="auto" w:fill="FFFFFF"/>
            <w:vAlign w:val="center"/>
          </w:tcPr>
          <w:p>
            <w:pPr>
              <w:spacing w:line="0" w:lineRule="atLeast"/>
              <w:jc w:val="center"/>
              <w:rPr>
                <w:rFonts w:ascii="宋体" w:hAnsi="宋体" w:cs="宋体"/>
                <w:color w:val="000000"/>
                <w:kern w:val="0"/>
                <w:sz w:val="22"/>
              </w:rPr>
            </w:pPr>
          </w:p>
        </w:tc>
        <w:tc>
          <w:tcPr>
            <w:tcW w:w="1478" w:type="dxa"/>
            <w:vMerge w:val="continue"/>
            <w:shd w:val="clear" w:color="auto" w:fill="FFFFFF"/>
            <w:vAlign w:val="center"/>
          </w:tcPr>
          <w:p>
            <w:pPr>
              <w:spacing w:line="0" w:lineRule="atLeast"/>
              <w:jc w:val="center"/>
              <w:rPr>
                <w:rFonts w:ascii="宋体" w:hAnsi="宋体" w:cs="宋体"/>
                <w:color w:val="000000"/>
                <w:kern w:val="0"/>
                <w:sz w:val="22"/>
              </w:rPr>
            </w:pP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预算执行率</w:t>
            </w:r>
          </w:p>
        </w:tc>
        <w:tc>
          <w:tcPr>
            <w:tcW w:w="388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项目预算资金是否按照计划执行，用以反映或考核项目预算执行情况</w:t>
            </w:r>
          </w:p>
        </w:tc>
        <w:tc>
          <w:tcPr>
            <w:tcW w:w="990" w:type="dxa"/>
            <w:tcBorders>
              <w:left w:val="single" w:color="auto" w:sz="4" w:space="0"/>
            </w:tcBorders>
            <w:shd w:val="clear" w:color="auto" w:fill="FFFFFF"/>
            <w:vAlign w:val="top"/>
          </w:tcPr>
          <w:p>
            <w:pPr>
              <w:pageBreakBefore w:val="0"/>
              <w:kinsoku/>
              <w:wordWrap/>
              <w:overflowPunct/>
              <w:topLinePunct w:val="0"/>
              <w:autoSpaceDE/>
              <w:autoSpaceDN/>
              <w:bidi w:val="0"/>
              <w:adjustRightInd/>
              <w:snapToGrid/>
              <w:spacing w:line="420" w:lineRule="exact"/>
              <w:jc w:val="center"/>
              <w:textAlignment w:val="auto"/>
              <w:rPr>
                <w:rFonts w:hint="eastAsia" w:ascii="仿宋_GB2312" w:hAnsi="仿宋_GB2312" w:eastAsia="仿宋_GB2312" w:cs="仿宋_GB2312"/>
                <w:kern w:val="2"/>
                <w:sz w:val="30"/>
                <w:szCs w:val="30"/>
                <w:lang w:val="en-US" w:eastAsia="zh-CN" w:bidi="ar-SA"/>
              </w:rPr>
            </w:pPr>
            <w:r>
              <w:rPr>
                <w:rFonts w:hint="eastAsia" w:ascii="仿宋_GB2312" w:hAnsi="仿宋_GB2312" w:cs="仿宋_GB2312"/>
                <w:kern w:val="2"/>
                <w:sz w:val="30"/>
                <w:szCs w:val="30"/>
                <w:lang w:val="en-US" w:eastAsia="zh-CN" w:bidi="ar-SA"/>
              </w:rPr>
              <w:t>5</w:t>
            </w:r>
          </w:p>
        </w:tc>
        <w:tc>
          <w:tcPr>
            <w:tcW w:w="874" w:type="dxa"/>
            <w:tcBorders>
              <w:bottom w:val="single" w:color="auto" w:sz="4" w:space="0"/>
            </w:tcBorders>
            <w:shd w:val="clear" w:color="auto" w:fill="FFFFFF"/>
            <w:vAlign w:val="top"/>
          </w:tcPr>
          <w:p>
            <w:pPr>
              <w:pageBreakBefore w:val="0"/>
              <w:kinsoku/>
              <w:wordWrap/>
              <w:overflowPunct/>
              <w:topLinePunct w:val="0"/>
              <w:autoSpaceDE/>
              <w:autoSpaceDN/>
              <w:bidi w:val="0"/>
              <w:adjustRightInd/>
              <w:snapToGrid/>
              <w:spacing w:line="420" w:lineRule="exact"/>
              <w:jc w:val="center"/>
              <w:textAlignment w:val="auto"/>
              <w:rPr>
                <w:rFonts w:hint="default" w:ascii="仿宋_GB2312" w:hAnsi="仿宋_GB2312" w:eastAsia="仿宋_GB2312" w:cs="仿宋_GB2312"/>
                <w:kern w:val="2"/>
                <w:sz w:val="30"/>
                <w:szCs w:val="30"/>
                <w:lang w:val="en-US" w:eastAsia="zh-CN" w:bidi="ar-SA"/>
              </w:rPr>
            </w:pPr>
            <w:r>
              <w:rPr>
                <w:rFonts w:hint="eastAsia" w:ascii="仿宋_GB2312" w:hAnsi="仿宋_GB2312" w:cs="仿宋_GB2312"/>
                <w:kern w:val="2"/>
                <w:sz w:val="30"/>
                <w:szCs w:val="30"/>
                <w:lang w:val="en-US" w:eastAsia="zh-CN" w:bidi="ar-SA"/>
              </w:rPr>
              <w:t>4.14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47" w:hRule="atLeast"/>
          <w:jc w:val="center"/>
        </w:trPr>
        <w:tc>
          <w:tcPr>
            <w:tcW w:w="757" w:type="dxa"/>
            <w:vMerge w:val="continue"/>
            <w:shd w:val="clear" w:color="auto" w:fill="FFFFFF"/>
            <w:vAlign w:val="center"/>
          </w:tcPr>
          <w:p>
            <w:pPr>
              <w:spacing w:line="0" w:lineRule="atLeast"/>
              <w:jc w:val="center"/>
              <w:rPr>
                <w:rFonts w:ascii="宋体" w:hAnsi="宋体" w:cs="宋体"/>
                <w:color w:val="000000"/>
                <w:kern w:val="0"/>
                <w:sz w:val="22"/>
              </w:rPr>
            </w:pPr>
          </w:p>
        </w:tc>
        <w:tc>
          <w:tcPr>
            <w:tcW w:w="1478" w:type="dxa"/>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资金管理</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资金使用</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合规性</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项目资金使用是否符合相关的财务管理制度规定，用以反映和考核项目资金的规范运行情况。</w:t>
            </w:r>
          </w:p>
        </w:tc>
        <w:tc>
          <w:tcPr>
            <w:tcW w:w="990" w:type="dxa"/>
            <w:tcBorders>
              <w:left w:val="single" w:color="auto" w:sz="4" w:space="0"/>
            </w:tcBorders>
            <w:shd w:val="clear" w:color="000000" w:fill="FFFFFF"/>
            <w:vAlign w:val="top"/>
          </w:tcPr>
          <w:p>
            <w:pPr>
              <w:pageBreakBefore w:val="0"/>
              <w:kinsoku/>
              <w:wordWrap/>
              <w:overflowPunct/>
              <w:topLinePunct w:val="0"/>
              <w:autoSpaceDE/>
              <w:autoSpaceDN/>
              <w:bidi w:val="0"/>
              <w:adjustRightInd/>
              <w:snapToGrid/>
              <w:spacing w:line="420" w:lineRule="exact"/>
              <w:jc w:val="center"/>
              <w:textAlignment w:val="auto"/>
              <w:rPr>
                <w:rFonts w:hint="eastAsia" w:ascii="仿宋_GB2312" w:hAnsi="仿宋_GB2312" w:eastAsia="仿宋_GB2312" w:cs="仿宋_GB2312"/>
                <w:kern w:val="2"/>
                <w:sz w:val="30"/>
                <w:szCs w:val="30"/>
                <w:lang w:val="en-US" w:eastAsia="zh-CN" w:bidi="ar-SA"/>
              </w:rPr>
            </w:pPr>
            <w:r>
              <w:rPr>
                <w:rFonts w:hint="eastAsia" w:ascii="仿宋_GB2312" w:hAnsi="仿宋_GB2312" w:cs="仿宋_GB2312"/>
                <w:kern w:val="2"/>
                <w:sz w:val="30"/>
                <w:szCs w:val="30"/>
                <w:lang w:val="en-US" w:eastAsia="zh-CN" w:bidi="ar-SA"/>
              </w:rPr>
              <w:t>5</w:t>
            </w:r>
          </w:p>
        </w:tc>
        <w:tc>
          <w:tcPr>
            <w:tcW w:w="874" w:type="dxa"/>
            <w:tcBorders>
              <w:bottom w:val="single" w:color="auto" w:sz="4" w:space="0"/>
            </w:tcBorders>
            <w:shd w:val="clear" w:color="000000" w:fill="FFFFFF"/>
            <w:vAlign w:val="top"/>
          </w:tcPr>
          <w:p>
            <w:pPr>
              <w:pageBreakBefore w:val="0"/>
              <w:kinsoku/>
              <w:wordWrap/>
              <w:overflowPunct/>
              <w:topLinePunct w:val="0"/>
              <w:autoSpaceDE/>
              <w:autoSpaceDN/>
              <w:bidi w:val="0"/>
              <w:adjustRightInd/>
              <w:snapToGrid/>
              <w:spacing w:line="420" w:lineRule="exact"/>
              <w:jc w:val="center"/>
              <w:textAlignment w:val="auto"/>
              <w:rPr>
                <w:rFonts w:hint="eastAsia" w:ascii="仿宋_GB2312" w:hAnsi="仿宋_GB2312" w:eastAsia="仿宋_GB2312" w:cs="仿宋_GB2312"/>
                <w:kern w:val="2"/>
                <w:sz w:val="30"/>
                <w:szCs w:val="30"/>
                <w:lang w:val="en-US" w:eastAsia="zh-CN" w:bidi="ar-SA"/>
              </w:rPr>
            </w:pPr>
            <w:r>
              <w:rPr>
                <w:rFonts w:hint="eastAsia" w:ascii="仿宋_GB2312" w:hAnsi="仿宋_GB2312" w:cs="仿宋_GB2312"/>
                <w:kern w:val="2"/>
                <w:sz w:val="30"/>
                <w:szCs w:val="30"/>
                <w:lang w:val="en-US" w:eastAsia="zh-CN" w:bidi="ar-SA"/>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86" w:hRule="atLeast"/>
          <w:jc w:val="center"/>
        </w:trPr>
        <w:tc>
          <w:tcPr>
            <w:tcW w:w="757" w:type="dxa"/>
            <w:vMerge w:val="continue"/>
            <w:shd w:val="clear" w:color="auto" w:fill="FFFFFF"/>
            <w:vAlign w:val="center"/>
          </w:tcPr>
          <w:p>
            <w:pPr>
              <w:spacing w:line="0" w:lineRule="atLeast"/>
              <w:jc w:val="center"/>
              <w:rPr>
                <w:rFonts w:ascii="宋体" w:hAnsi="宋体" w:cs="宋体"/>
                <w:color w:val="000000"/>
                <w:kern w:val="0"/>
                <w:sz w:val="22"/>
              </w:rPr>
            </w:pPr>
          </w:p>
        </w:tc>
        <w:tc>
          <w:tcPr>
            <w:tcW w:w="1478"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组织实施</w:t>
            </w:r>
          </w:p>
          <w:p>
            <w:pPr>
              <w:spacing w:line="0" w:lineRule="atLeast"/>
              <w:jc w:val="center"/>
              <w:rPr>
                <w:rFonts w:ascii="宋体" w:hAnsi="宋体" w:cs="宋体"/>
                <w:color w:val="000000"/>
                <w:kern w:val="0"/>
                <w:sz w:val="22"/>
              </w:rPr>
            </w:pPr>
            <w:r>
              <w:rPr>
                <w:rFonts w:hint="eastAsia" w:ascii="宋体" w:hAnsi="宋体" w:cs="宋体"/>
                <w:color w:val="000000"/>
                <w:kern w:val="0"/>
                <w:sz w:val="22"/>
              </w:rPr>
              <w:t>　</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管理制度</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健全性</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项目实施单位的财务和业务管理制度是否健全，用以反映和考核财务和业务管理制度对项目顺利实施的保障情况。</w:t>
            </w:r>
          </w:p>
        </w:tc>
        <w:tc>
          <w:tcPr>
            <w:tcW w:w="990" w:type="dxa"/>
            <w:tcBorders>
              <w:left w:val="single" w:color="auto" w:sz="4" w:space="0"/>
            </w:tcBorders>
            <w:shd w:val="clear" w:color="000000" w:fill="FFFFFF"/>
            <w:vAlign w:val="top"/>
          </w:tcPr>
          <w:p>
            <w:pPr>
              <w:pageBreakBefore w:val="0"/>
              <w:kinsoku/>
              <w:wordWrap/>
              <w:overflowPunct/>
              <w:topLinePunct w:val="0"/>
              <w:autoSpaceDE/>
              <w:autoSpaceDN/>
              <w:bidi w:val="0"/>
              <w:adjustRightInd/>
              <w:snapToGrid/>
              <w:spacing w:line="420" w:lineRule="exact"/>
              <w:jc w:val="center"/>
              <w:textAlignment w:val="auto"/>
              <w:rPr>
                <w:rFonts w:hint="eastAsia" w:ascii="仿宋_GB2312" w:hAnsi="仿宋_GB2312" w:eastAsia="仿宋_GB2312" w:cs="仿宋_GB2312"/>
                <w:kern w:val="2"/>
                <w:sz w:val="30"/>
                <w:szCs w:val="30"/>
                <w:lang w:val="en-US" w:eastAsia="zh-CN" w:bidi="ar-SA"/>
              </w:rPr>
            </w:pPr>
            <w:r>
              <w:rPr>
                <w:rFonts w:hint="eastAsia" w:ascii="仿宋_GB2312" w:hAnsi="仿宋_GB2312" w:cs="仿宋_GB2312"/>
                <w:kern w:val="2"/>
                <w:sz w:val="30"/>
                <w:szCs w:val="30"/>
                <w:lang w:val="en-US" w:eastAsia="zh-CN" w:bidi="ar-SA"/>
              </w:rPr>
              <w:t>5</w:t>
            </w:r>
          </w:p>
        </w:tc>
        <w:tc>
          <w:tcPr>
            <w:tcW w:w="874" w:type="dxa"/>
            <w:tcBorders>
              <w:bottom w:val="single" w:color="auto" w:sz="4" w:space="0"/>
            </w:tcBorders>
            <w:shd w:val="clear" w:color="000000" w:fill="FFFFFF"/>
            <w:vAlign w:val="top"/>
          </w:tcPr>
          <w:p>
            <w:pPr>
              <w:pageBreakBefore w:val="0"/>
              <w:kinsoku/>
              <w:wordWrap/>
              <w:overflowPunct/>
              <w:topLinePunct w:val="0"/>
              <w:autoSpaceDE/>
              <w:autoSpaceDN/>
              <w:bidi w:val="0"/>
              <w:adjustRightInd/>
              <w:snapToGrid/>
              <w:spacing w:line="420" w:lineRule="exact"/>
              <w:jc w:val="center"/>
              <w:textAlignment w:val="auto"/>
              <w:rPr>
                <w:rFonts w:hint="eastAsia" w:ascii="仿宋_GB2312" w:hAnsi="仿宋_GB2312" w:eastAsia="仿宋_GB2312" w:cs="仿宋_GB2312"/>
                <w:kern w:val="2"/>
                <w:sz w:val="30"/>
                <w:szCs w:val="30"/>
                <w:lang w:val="en-US" w:eastAsia="zh-CN" w:bidi="ar-SA"/>
              </w:rPr>
            </w:pPr>
            <w:r>
              <w:rPr>
                <w:rFonts w:hint="eastAsia" w:ascii="仿宋_GB2312" w:hAnsi="仿宋_GB2312" w:cs="仿宋_GB2312"/>
                <w:kern w:val="2"/>
                <w:sz w:val="30"/>
                <w:szCs w:val="30"/>
                <w:lang w:val="en-US" w:eastAsia="zh-CN" w:bidi="ar-SA"/>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777" w:hRule="atLeast"/>
          <w:jc w:val="center"/>
        </w:trPr>
        <w:tc>
          <w:tcPr>
            <w:tcW w:w="757"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478"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制度执行</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有效性</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项目实施是否符合相关管理规定，用以反映和考核相关管理制度的有效执行情况。</w:t>
            </w:r>
          </w:p>
        </w:tc>
        <w:tc>
          <w:tcPr>
            <w:tcW w:w="990" w:type="dxa"/>
            <w:tcBorders>
              <w:left w:val="single" w:color="auto" w:sz="4" w:space="0"/>
            </w:tcBorders>
            <w:shd w:val="clear" w:color="000000" w:fill="FFFFFF"/>
            <w:vAlign w:val="top"/>
          </w:tcPr>
          <w:p>
            <w:pPr>
              <w:pageBreakBefore w:val="0"/>
              <w:kinsoku/>
              <w:wordWrap/>
              <w:overflowPunct/>
              <w:topLinePunct w:val="0"/>
              <w:autoSpaceDE/>
              <w:autoSpaceDN/>
              <w:bidi w:val="0"/>
              <w:adjustRightInd/>
              <w:snapToGrid/>
              <w:spacing w:line="420" w:lineRule="exact"/>
              <w:jc w:val="center"/>
              <w:textAlignment w:val="auto"/>
              <w:rPr>
                <w:rFonts w:hint="eastAsia" w:ascii="仿宋_GB2312" w:hAnsi="仿宋_GB2312" w:eastAsia="仿宋_GB2312" w:cs="仿宋_GB2312"/>
                <w:kern w:val="2"/>
                <w:sz w:val="30"/>
                <w:szCs w:val="30"/>
                <w:lang w:val="en-US" w:eastAsia="zh-CN" w:bidi="ar-SA"/>
              </w:rPr>
            </w:pPr>
            <w:r>
              <w:rPr>
                <w:rFonts w:hint="eastAsia" w:ascii="仿宋_GB2312" w:hAnsi="仿宋_GB2312" w:cs="仿宋_GB2312"/>
                <w:kern w:val="2"/>
                <w:sz w:val="30"/>
                <w:szCs w:val="30"/>
                <w:lang w:val="en-US" w:eastAsia="zh-CN" w:bidi="ar-SA"/>
              </w:rPr>
              <w:t>5</w:t>
            </w:r>
          </w:p>
        </w:tc>
        <w:tc>
          <w:tcPr>
            <w:tcW w:w="874" w:type="dxa"/>
            <w:tcBorders>
              <w:bottom w:val="single" w:color="auto" w:sz="4" w:space="0"/>
            </w:tcBorders>
            <w:shd w:val="clear" w:color="000000" w:fill="FFFFFF"/>
            <w:vAlign w:val="top"/>
          </w:tcPr>
          <w:p>
            <w:pPr>
              <w:pageBreakBefore w:val="0"/>
              <w:kinsoku/>
              <w:wordWrap/>
              <w:overflowPunct/>
              <w:topLinePunct w:val="0"/>
              <w:autoSpaceDE/>
              <w:autoSpaceDN/>
              <w:bidi w:val="0"/>
              <w:adjustRightInd/>
              <w:snapToGrid/>
              <w:spacing w:line="420" w:lineRule="exact"/>
              <w:jc w:val="center"/>
              <w:textAlignment w:val="auto"/>
              <w:rPr>
                <w:rFonts w:hint="eastAsia" w:ascii="仿宋_GB2312" w:hAnsi="仿宋_GB2312" w:eastAsia="仿宋_GB2312" w:cs="仿宋_GB2312"/>
                <w:kern w:val="2"/>
                <w:sz w:val="30"/>
                <w:szCs w:val="30"/>
                <w:lang w:val="en-US" w:eastAsia="zh-CN" w:bidi="ar-SA"/>
              </w:rPr>
            </w:pPr>
            <w:r>
              <w:rPr>
                <w:rFonts w:hint="eastAsia" w:ascii="仿宋_GB2312" w:hAnsi="仿宋_GB2312" w:cs="仿宋_GB2312"/>
                <w:kern w:val="2"/>
                <w:sz w:val="30"/>
                <w:szCs w:val="30"/>
                <w:lang w:val="en-US" w:eastAsia="zh-CN" w:bidi="ar-SA"/>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36" w:hRule="atLeast"/>
          <w:jc w:val="center"/>
        </w:trPr>
        <w:tc>
          <w:tcPr>
            <w:tcW w:w="757"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产出</w:t>
            </w:r>
          </w:p>
        </w:tc>
        <w:tc>
          <w:tcPr>
            <w:tcW w:w="1478" w:type="dxa"/>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产出数量</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实际完成率</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项目实施的实际产出数与计划产出数的比率，用以反映和考核项目产出数量目标的实现程度。</w:t>
            </w:r>
          </w:p>
        </w:tc>
        <w:tc>
          <w:tcPr>
            <w:tcW w:w="990" w:type="dxa"/>
            <w:tcBorders>
              <w:left w:val="single" w:color="auto" w:sz="4" w:space="0"/>
            </w:tcBorders>
            <w:shd w:val="clear" w:color="000000" w:fill="FFFFFF"/>
            <w:vAlign w:val="top"/>
          </w:tcPr>
          <w:p>
            <w:pPr>
              <w:pageBreakBefore w:val="0"/>
              <w:kinsoku/>
              <w:wordWrap/>
              <w:overflowPunct/>
              <w:topLinePunct w:val="0"/>
              <w:autoSpaceDE/>
              <w:autoSpaceDN/>
              <w:bidi w:val="0"/>
              <w:adjustRightInd/>
              <w:snapToGrid/>
              <w:spacing w:line="420" w:lineRule="exact"/>
              <w:jc w:val="center"/>
              <w:textAlignment w:val="auto"/>
              <w:rPr>
                <w:rFonts w:hint="default" w:ascii="仿宋_GB2312" w:hAnsi="仿宋_GB2312" w:eastAsia="仿宋_GB2312" w:cs="仿宋_GB2312"/>
                <w:kern w:val="2"/>
                <w:sz w:val="30"/>
                <w:szCs w:val="30"/>
                <w:lang w:val="en-US" w:eastAsia="zh-CN" w:bidi="ar-SA"/>
              </w:rPr>
            </w:pPr>
            <w:r>
              <w:rPr>
                <w:rFonts w:hint="eastAsia" w:ascii="仿宋_GB2312" w:hAnsi="仿宋_GB2312" w:cs="仿宋_GB2312"/>
                <w:kern w:val="2"/>
                <w:sz w:val="30"/>
                <w:szCs w:val="30"/>
                <w:lang w:val="en-US" w:eastAsia="zh-CN" w:bidi="ar-SA"/>
              </w:rPr>
              <w:t>5</w:t>
            </w:r>
          </w:p>
        </w:tc>
        <w:tc>
          <w:tcPr>
            <w:tcW w:w="874" w:type="dxa"/>
            <w:shd w:val="clear" w:color="000000" w:fill="FFFFFF"/>
            <w:vAlign w:val="top"/>
          </w:tcPr>
          <w:p>
            <w:pPr>
              <w:pageBreakBefore w:val="0"/>
              <w:kinsoku/>
              <w:wordWrap/>
              <w:overflowPunct/>
              <w:topLinePunct w:val="0"/>
              <w:autoSpaceDE/>
              <w:autoSpaceDN/>
              <w:bidi w:val="0"/>
              <w:adjustRightInd/>
              <w:snapToGrid/>
              <w:spacing w:line="420" w:lineRule="exact"/>
              <w:jc w:val="center"/>
              <w:textAlignment w:val="auto"/>
              <w:rPr>
                <w:rFonts w:hint="eastAsia" w:ascii="仿宋_GB2312" w:hAnsi="仿宋_GB2312" w:eastAsia="仿宋_GB2312" w:cs="仿宋_GB2312"/>
                <w:kern w:val="2"/>
                <w:sz w:val="30"/>
                <w:szCs w:val="30"/>
                <w:lang w:val="en-US" w:eastAsia="zh-CN" w:bidi="ar-SA"/>
              </w:rPr>
            </w:pPr>
            <w:r>
              <w:rPr>
                <w:rFonts w:hint="eastAsia" w:ascii="仿宋_GB2312" w:hAnsi="仿宋_GB2312" w:cs="仿宋_GB2312"/>
                <w:kern w:val="2"/>
                <w:sz w:val="30"/>
                <w:szCs w:val="30"/>
                <w:lang w:val="en-US" w:eastAsia="zh-CN" w:bidi="ar-SA"/>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44" w:hRule="atLeast"/>
          <w:jc w:val="center"/>
        </w:trPr>
        <w:tc>
          <w:tcPr>
            <w:tcW w:w="757"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478" w:type="dxa"/>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产出质量</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质量达标率</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项目完成的质量达标产出数与实际产出数的比率，用以反映和考核项目产出质量目标的实现程度。</w:t>
            </w:r>
          </w:p>
        </w:tc>
        <w:tc>
          <w:tcPr>
            <w:tcW w:w="990" w:type="dxa"/>
            <w:tcBorders>
              <w:left w:val="single" w:color="auto" w:sz="4" w:space="0"/>
            </w:tcBorders>
            <w:shd w:val="clear" w:color="000000" w:fill="FFFFFF"/>
            <w:vAlign w:val="top"/>
          </w:tcPr>
          <w:p>
            <w:pPr>
              <w:pageBreakBefore w:val="0"/>
              <w:kinsoku/>
              <w:wordWrap/>
              <w:overflowPunct/>
              <w:topLinePunct w:val="0"/>
              <w:autoSpaceDE/>
              <w:autoSpaceDN/>
              <w:bidi w:val="0"/>
              <w:adjustRightInd/>
              <w:snapToGrid/>
              <w:spacing w:line="420" w:lineRule="exact"/>
              <w:jc w:val="center"/>
              <w:textAlignment w:val="auto"/>
              <w:rPr>
                <w:rFonts w:hint="default" w:ascii="仿宋_GB2312" w:hAnsi="仿宋_GB2312" w:eastAsia="仿宋_GB2312" w:cs="仿宋_GB2312"/>
                <w:kern w:val="2"/>
                <w:sz w:val="30"/>
                <w:szCs w:val="30"/>
                <w:lang w:val="en-US" w:eastAsia="zh-CN" w:bidi="ar-SA"/>
              </w:rPr>
            </w:pPr>
            <w:r>
              <w:rPr>
                <w:rFonts w:hint="eastAsia" w:ascii="仿宋_GB2312" w:hAnsi="仿宋_GB2312" w:cs="仿宋_GB2312"/>
                <w:kern w:val="2"/>
                <w:sz w:val="30"/>
                <w:szCs w:val="30"/>
                <w:lang w:val="en-US" w:eastAsia="zh-CN" w:bidi="ar-SA"/>
              </w:rPr>
              <w:t>5</w:t>
            </w:r>
          </w:p>
        </w:tc>
        <w:tc>
          <w:tcPr>
            <w:tcW w:w="874" w:type="dxa"/>
            <w:shd w:val="clear" w:color="000000" w:fill="FFFFFF"/>
            <w:vAlign w:val="top"/>
          </w:tcPr>
          <w:p>
            <w:pPr>
              <w:pageBreakBefore w:val="0"/>
              <w:kinsoku/>
              <w:wordWrap/>
              <w:overflowPunct/>
              <w:topLinePunct w:val="0"/>
              <w:autoSpaceDE/>
              <w:autoSpaceDN/>
              <w:bidi w:val="0"/>
              <w:adjustRightInd/>
              <w:snapToGrid/>
              <w:spacing w:line="420" w:lineRule="exact"/>
              <w:jc w:val="center"/>
              <w:textAlignment w:val="auto"/>
              <w:rPr>
                <w:rFonts w:hint="eastAsia" w:ascii="仿宋_GB2312" w:hAnsi="仿宋_GB2312" w:eastAsia="仿宋_GB2312" w:cs="仿宋_GB2312"/>
                <w:kern w:val="2"/>
                <w:sz w:val="30"/>
                <w:szCs w:val="30"/>
                <w:lang w:val="en-US" w:eastAsia="zh-CN" w:bidi="ar-SA"/>
              </w:rPr>
            </w:pPr>
            <w:r>
              <w:rPr>
                <w:rFonts w:hint="eastAsia" w:ascii="仿宋_GB2312" w:hAnsi="仿宋_GB2312" w:cs="仿宋_GB2312"/>
                <w:kern w:val="2"/>
                <w:sz w:val="30"/>
                <w:szCs w:val="30"/>
                <w:lang w:val="en-US" w:eastAsia="zh-CN" w:bidi="ar-SA"/>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09" w:hRule="atLeast"/>
          <w:jc w:val="center"/>
        </w:trPr>
        <w:tc>
          <w:tcPr>
            <w:tcW w:w="757" w:type="dxa"/>
            <w:vMerge w:val="continue"/>
            <w:shd w:val="clear" w:color="auto" w:fill="FFFFFF"/>
            <w:vAlign w:val="center"/>
          </w:tcPr>
          <w:p>
            <w:pPr>
              <w:spacing w:line="0" w:lineRule="atLeast"/>
              <w:jc w:val="center"/>
              <w:rPr>
                <w:rFonts w:ascii="宋体" w:hAnsi="宋体" w:cs="宋体"/>
                <w:color w:val="000000"/>
                <w:kern w:val="0"/>
                <w:sz w:val="22"/>
              </w:rPr>
            </w:pPr>
          </w:p>
        </w:tc>
        <w:tc>
          <w:tcPr>
            <w:tcW w:w="1478" w:type="dxa"/>
            <w:shd w:val="clear" w:color="auto" w:fill="FFFFFF"/>
            <w:vAlign w:val="center"/>
          </w:tcPr>
          <w:p>
            <w:pPr>
              <w:spacing w:line="0" w:lineRule="atLeast"/>
              <w:jc w:val="center"/>
              <w:rPr>
                <w:rFonts w:ascii="宋体" w:hAnsi="宋体" w:cs="宋体"/>
                <w:color w:val="000000"/>
                <w:kern w:val="0"/>
                <w:sz w:val="22"/>
              </w:rPr>
            </w:pPr>
            <w:r>
              <w:rPr>
                <w:rFonts w:hint="eastAsia" w:ascii="宋体" w:hAnsi="宋体" w:cs="宋体"/>
                <w:color w:val="000000"/>
                <w:kern w:val="0"/>
                <w:sz w:val="22"/>
              </w:rPr>
              <w:t>产出时效</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完成及时性</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项目实际完成时间与计划完成时间的比较，用以反映和考核项目产出时效目标的实现程度。</w:t>
            </w:r>
          </w:p>
        </w:tc>
        <w:tc>
          <w:tcPr>
            <w:tcW w:w="990" w:type="dxa"/>
            <w:tcBorders>
              <w:left w:val="single" w:color="auto" w:sz="4" w:space="0"/>
            </w:tcBorders>
            <w:shd w:val="clear" w:color="000000" w:fill="FFFFFF"/>
            <w:vAlign w:val="top"/>
          </w:tcPr>
          <w:p>
            <w:pPr>
              <w:pageBreakBefore w:val="0"/>
              <w:kinsoku/>
              <w:wordWrap/>
              <w:overflowPunct/>
              <w:topLinePunct w:val="0"/>
              <w:autoSpaceDE/>
              <w:autoSpaceDN/>
              <w:bidi w:val="0"/>
              <w:adjustRightInd/>
              <w:snapToGrid/>
              <w:spacing w:line="420" w:lineRule="exact"/>
              <w:jc w:val="center"/>
              <w:textAlignment w:val="auto"/>
              <w:rPr>
                <w:rFonts w:hint="default" w:ascii="仿宋_GB2312" w:hAnsi="仿宋_GB2312" w:eastAsia="仿宋_GB2312" w:cs="仿宋_GB2312"/>
                <w:kern w:val="2"/>
                <w:sz w:val="30"/>
                <w:szCs w:val="30"/>
                <w:lang w:val="en-US" w:eastAsia="zh-CN" w:bidi="ar-SA"/>
              </w:rPr>
            </w:pPr>
            <w:r>
              <w:rPr>
                <w:rFonts w:hint="eastAsia" w:ascii="仿宋_GB2312" w:hAnsi="仿宋_GB2312" w:cs="仿宋_GB2312"/>
                <w:kern w:val="2"/>
                <w:sz w:val="30"/>
                <w:szCs w:val="30"/>
                <w:lang w:val="en-US" w:eastAsia="zh-CN" w:bidi="ar-SA"/>
              </w:rPr>
              <w:t>5</w:t>
            </w:r>
          </w:p>
        </w:tc>
        <w:tc>
          <w:tcPr>
            <w:tcW w:w="874" w:type="dxa"/>
            <w:shd w:val="clear" w:color="000000" w:fill="FFFFFF"/>
            <w:vAlign w:val="top"/>
          </w:tcPr>
          <w:p>
            <w:pPr>
              <w:pageBreakBefore w:val="0"/>
              <w:kinsoku/>
              <w:wordWrap/>
              <w:overflowPunct/>
              <w:topLinePunct w:val="0"/>
              <w:autoSpaceDE/>
              <w:autoSpaceDN/>
              <w:bidi w:val="0"/>
              <w:adjustRightInd/>
              <w:snapToGrid/>
              <w:spacing w:line="420" w:lineRule="exact"/>
              <w:jc w:val="center"/>
              <w:textAlignment w:val="auto"/>
              <w:rPr>
                <w:rFonts w:hint="eastAsia" w:ascii="仿宋_GB2312" w:hAnsi="仿宋_GB2312" w:eastAsia="仿宋_GB2312" w:cs="仿宋_GB2312"/>
                <w:kern w:val="2"/>
                <w:sz w:val="30"/>
                <w:szCs w:val="30"/>
                <w:lang w:val="en-US" w:eastAsia="zh-CN" w:bidi="ar-SA"/>
              </w:rPr>
            </w:pPr>
            <w:r>
              <w:rPr>
                <w:rFonts w:hint="eastAsia" w:ascii="仿宋_GB2312" w:hAnsi="仿宋_GB2312" w:cs="仿宋_GB2312"/>
                <w:kern w:val="2"/>
                <w:sz w:val="30"/>
                <w:szCs w:val="30"/>
                <w:lang w:val="en-US" w:eastAsia="zh-CN" w:bidi="ar-SA"/>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16" w:hRule="atLeast"/>
          <w:jc w:val="center"/>
        </w:trPr>
        <w:tc>
          <w:tcPr>
            <w:tcW w:w="757"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478" w:type="dxa"/>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产出成本</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成本节约率</w:t>
            </w:r>
          </w:p>
        </w:tc>
        <w:tc>
          <w:tcPr>
            <w:tcW w:w="388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完成项目计划工作目标的实际节约成本与计划成本的比率，用以反映和考核项目的成本节约程度。</w:t>
            </w:r>
          </w:p>
        </w:tc>
        <w:tc>
          <w:tcPr>
            <w:tcW w:w="990" w:type="dxa"/>
            <w:tcBorders>
              <w:left w:val="single" w:color="auto" w:sz="4" w:space="0"/>
            </w:tcBorders>
            <w:shd w:val="clear" w:color="auto" w:fill="FFFFFF"/>
            <w:vAlign w:val="top"/>
          </w:tcPr>
          <w:p>
            <w:pPr>
              <w:pageBreakBefore w:val="0"/>
              <w:kinsoku/>
              <w:wordWrap/>
              <w:overflowPunct/>
              <w:topLinePunct w:val="0"/>
              <w:autoSpaceDE/>
              <w:autoSpaceDN/>
              <w:bidi w:val="0"/>
              <w:adjustRightInd/>
              <w:snapToGrid/>
              <w:spacing w:line="420" w:lineRule="exact"/>
              <w:jc w:val="center"/>
              <w:textAlignment w:val="auto"/>
              <w:rPr>
                <w:rFonts w:hint="eastAsia" w:ascii="仿宋_GB2312" w:hAnsi="仿宋_GB2312" w:eastAsia="仿宋_GB2312" w:cs="仿宋_GB2312"/>
                <w:kern w:val="2"/>
                <w:sz w:val="30"/>
                <w:szCs w:val="30"/>
                <w:lang w:val="en-US" w:eastAsia="zh-CN" w:bidi="ar-SA"/>
              </w:rPr>
            </w:pPr>
            <w:r>
              <w:rPr>
                <w:rFonts w:hint="eastAsia" w:ascii="仿宋_GB2312" w:hAnsi="仿宋_GB2312" w:eastAsia="仿宋_GB2312" w:cs="仿宋_GB2312"/>
                <w:sz w:val="30"/>
                <w:szCs w:val="30"/>
                <w:lang w:val="en-US" w:eastAsia="zh-CN"/>
              </w:rPr>
              <w:t>10</w:t>
            </w:r>
          </w:p>
        </w:tc>
        <w:tc>
          <w:tcPr>
            <w:tcW w:w="874" w:type="dxa"/>
            <w:shd w:val="clear" w:color="auto" w:fill="FFFFFF"/>
            <w:vAlign w:val="top"/>
          </w:tcPr>
          <w:p>
            <w:pPr>
              <w:pageBreakBefore w:val="0"/>
              <w:kinsoku/>
              <w:wordWrap/>
              <w:overflowPunct/>
              <w:topLinePunct w:val="0"/>
              <w:autoSpaceDE/>
              <w:autoSpaceDN/>
              <w:bidi w:val="0"/>
              <w:adjustRightInd/>
              <w:snapToGrid/>
              <w:spacing w:line="420" w:lineRule="exact"/>
              <w:jc w:val="center"/>
              <w:textAlignment w:val="auto"/>
              <w:rPr>
                <w:rFonts w:hint="default" w:ascii="仿宋_GB2312" w:hAnsi="仿宋_GB2312" w:eastAsia="仿宋_GB2312" w:cs="仿宋_GB2312"/>
                <w:kern w:val="2"/>
                <w:sz w:val="30"/>
                <w:szCs w:val="30"/>
                <w:lang w:val="en-US" w:eastAsia="zh-CN" w:bidi="ar-SA"/>
              </w:rPr>
            </w:pPr>
            <w:r>
              <w:rPr>
                <w:rFonts w:hint="eastAsia" w:ascii="仿宋_GB2312" w:hAnsi="仿宋_GB2312" w:cs="仿宋_GB2312"/>
                <w:kern w:val="2"/>
                <w:sz w:val="30"/>
                <w:szCs w:val="30"/>
                <w:lang w:val="en-US" w:eastAsia="zh-CN" w:bidi="ar-SA"/>
              </w:rPr>
              <w:t>8.28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05" w:hRule="atLeast"/>
          <w:jc w:val="center"/>
        </w:trPr>
        <w:tc>
          <w:tcPr>
            <w:tcW w:w="757"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效益　</w:t>
            </w:r>
          </w:p>
        </w:tc>
        <w:tc>
          <w:tcPr>
            <w:tcW w:w="1478"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项目效益　</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实施效益</w:t>
            </w:r>
          </w:p>
        </w:tc>
        <w:tc>
          <w:tcPr>
            <w:tcW w:w="388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项目实施所产生的效益。</w:t>
            </w:r>
          </w:p>
        </w:tc>
        <w:tc>
          <w:tcPr>
            <w:tcW w:w="990" w:type="dxa"/>
            <w:tcBorders>
              <w:left w:val="single" w:color="auto" w:sz="4" w:space="0"/>
            </w:tcBorders>
            <w:shd w:val="clear" w:color="auto" w:fill="FFFFFF"/>
            <w:vAlign w:val="top"/>
          </w:tcPr>
          <w:p>
            <w:pPr>
              <w:pageBreakBefore w:val="0"/>
              <w:kinsoku/>
              <w:wordWrap/>
              <w:overflowPunct/>
              <w:topLinePunct w:val="0"/>
              <w:autoSpaceDE/>
              <w:autoSpaceDN/>
              <w:bidi w:val="0"/>
              <w:adjustRightInd/>
              <w:snapToGrid/>
              <w:spacing w:line="420" w:lineRule="exact"/>
              <w:jc w:val="center"/>
              <w:textAlignment w:val="auto"/>
              <w:rPr>
                <w:rFonts w:hint="eastAsia" w:ascii="仿宋_GB2312" w:hAnsi="仿宋_GB2312" w:eastAsia="仿宋_GB2312" w:cs="仿宋_GB2312"/>
                <w:kern w:val="2"/>
                <w:sz w:val="30"/>
                <w:szCs w:val="30"/>
                <w:lang w:val="en-US" w:eastAsia="zh-CN" w:bidi="ar-SA"/>
              </w:rPr>
            </w:pPr>
            <w:r>
              <w:rPr>
                <w:rFonts w:hint="eastAsia" w:ascii="仿宋_GB2312" w:hAnsi="仿宋_GB2312" w:eastAsia="仿宋_GB2312" w:cs="仿宋_GB2312"/>
                <w:sz w:val="30"/>
                <w:szCs w:val="30"/>
                <w:lang w:val="en-US" w:eastAsia="zh-CN"/>
              </w:rPr>
              <w:t>10</w:t>
            </w:r>
          </w:p>
        </w:tc>
        <w:tc>
          <w:tcPr>
            <w:tcW w:w="874" w:type="dxa"/>
            <w:shd w:val="clear" w:color="auto" w:fill="FFFFFF"/>
            <w:vAlign w:val="top"/>
          </w:tcPr>
          <w:p>
            <w:pPr>
              <w:pageBreakBefore w:val="0"/>
              <w:kinsoku/>
              <w:wordWrap/>
              <w:overflowPunct/>
              <w:topLinePunct w:val="0"/>
              <w:autoSpaceDE/>
              <w:autoSpaceDN/>
              <w:bidi w:val="0"/>
              <w:adjustRightInd/>
              <w:snapToGrid/>
              <w:spacing w:line="420" w:lineRule="exact"/>
              <w:jc w:val="center"/>
              <w:textAlignment w:val="auto"/>
              <w:rPr>
                <w:rFonts w:hint="eastAsia" w:ascii="仿宋_GB2312" w:hAnsi="仿宋_GB2312" w:eastAsia="仿宋_GB2312" w:cs="仿宋_GB2312"/>
                <w:kern w:val="2"/>
                <w:sz w:val="30"/>
                <w:szCs w:val="30"/>
                <w:lang w:val="en-US" w:eastAsia="zh-CN" w:bidi="ar-SA"/>
              </w:rPr>
            </w:pPr>
            <w:r>
              <w:rPr>
                <w:rFonts w:hint="eastAsia" w:ascii="仿宋_GB2312" w:hAnsi="仿宋_GB2312" w:eastAsia="仿宋_GB2312" w:cs="仿宋_GB2312"/>
                <w:sz w:val="30"/>
                <w:szCs w:val="30"/>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20" w:hRule="atLeast"/>
          <w:jc w:val="center"/>
        </w:trPr>
        <w:tc>
          <w:tcPr>
            <w:tcW w:w="757"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478"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满意度</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社会公众或服务对象对项目实施效果的满意程度。</w:t>
            </w:r>
          </w:p>
        </w:tc>
        <w:tc>
          <w:tcPr>
            <w:tcW w:w="990" w:type="dxa"/>
            <w:tcBorders>
              <w:left w:val="single" w:color="auto" w:sz="4" w:space="0"/>
            </w:tcBorders>
            <w:shd w:val="clear" w:color="000000" w:fill="FFFFFF"/>
            <w:vAlign w:val="top"/>
          </w:tcPr>
          <w:p>
            <w:pPr>
              <w:pageBreakBefore w:val="0"/>
              <w:kinsoku/>
              <w:wordWrap/>
              <w:overflowPunct/>
              <w:topLinePunct w:val="0"/>
              <w:autoSpaceDE/>
              <w:autoSpaceDN/>
              <w:bidi w:val="0"/>
              <w:adjustRightInd/>
              <w:snapToGrid/>
              <w:spacing w:line="420" w:lineRule="exact"/>
              <w:jc w:val="center"/>
              <w:textAlignment w:val="auto"/>
              <w:rPr>
                <w:rFonts w:hint="eastAsia" w:ascii="仿宋_GB2312" w:hAnsi="仿宋_GB2312" w:eastAsia="仿宋_GB2312" w:cs="仿宋_GB2312"/>
                <w:kern w:val="2"/>
                <w:sz w:val="30"/>
                <w:szCs w:val="30"/>
                <w:lang w:val="en-US" w:eastAsia="zh-CN" w:bidi="ar-SA"/>
              </w:rPr>
            </w:pPr>
            <w:r>
              <w:rPr>
                <w:rFonts w:hint="eastAsia" w:ascii="仿宋_GB2312" w:hAnsi="仿宋_GB2312" w:eastAsia="仿宋_GB2312" w:cs="仿宋_GB2312"/>
                <w:sz w:val="30"/>
                <w:szCs w:val="30"/>
                <w:lang w:val="en-US" w:eastAsia="zh-CN"/>
              </w:rPr>
              <w:t>10</w:t>
            </w:r>
          </w:p>
        </w:tc>
        <w:tc>
          <w:tcPr>
            <w:tcW w:w="874" w:type="dxa"/>
            <w:shd w:val="clear" w:color="000000" w:fill="FFFFFF"/>
            <w:vAlign w:val="top"/>
          </w:tcPr>
          <w:p>
            <w:pPr>
              <w:pageBreakBefore w:val="0"/>
              <w:kinsoku/>
              <w:wordWrap/>
              <w:overflowPunct/>
              <w:topLinePunct w:val="0"/>
              <w:autoSpaceDE/>
              <w:autoSpaceDN/>
              <w:bidi w:val="0"/>
              <w:adjustRightInd/>
              <w:snapToGrid/>
              <w:spacing w:line="420" w:lineRule="exact"/>
              <w:jc w:val="center"/>
              <w:textAlignment w:val="auto"/>
              <w:rPr>
                <w:rFonts w:hint="default" w:ascii="仿宋_GB2312" w:hAnsi="仿宋_GB2312" w:eastAsia="仿宋_GB2312" w:cs="仿宋_GB2312"/>
                <w:kern w:val="2"/>
                <w:sz w:val="30"/>
                <w:szCs w:val="30"/>
                <w:lang w:val="en-US" w:eastAsia="zh-CN" w:bidi="ar-SA"/>
              </w:rPr>
            </w:pPr>
            <w:r>
              <w:rPr>
                <w:rFonts w:hint="eastAsia" w:ascii="仿宋_GB2312" w:hAnsi="仿宋_GB2312" w:cs="仿宋_GB2312"/>
                <w:kern w:val="2"/>
                <w:sz w:val="30"/>
                <w:szCs w:val="30"/>
                <w:lang w:val="en-US" w:eastAsia="zh-CN" w:bidi="ar-SA"/>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02" w:hRule="atLeast"/>
          <w:jc w:val="center"/>
        </w:trPr>
        <w:tc>
          <w:tcPr>
            <w:tcW w:w="4110" w:type="dxa"/>
            <w:gridSpan w:val="3"/>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b/>
                <w:bCs/>
                <w:color w:val="000000"/>
                <w:kern w:val="0"/>
                <w:sz w:val="22"/>
              </w:rPr>
              <w:t>总分</w:t>
            </w:r>
          </w:p>
        </w:tc>
        <w:tc>
          <w:tcPr>
            <w:tcW w:w="3885" w:type="dxa"/>
            <w:tcBorders>
              <w:right w:val="single" w:color="auto" w:sz="4" w:space="0"/>
            </w:tcBorders>
            <w:shd w:val="clear" w:color="auto" w:fill="FFFFFF"/>
          </w:tcPr>
          <w:p>
            <w:pPr>
              <w:widowControl/>
              <w:spacing w:line="0" w:lineRule="atLeast"/>
              <w:jc w:val="center"/>
              <w:rPr>
                <w:rFonts w:ascii="宋体" w:hAnsi="宋体" w:cs="宋体"/>
                <w:color w:val="000000"/>
                <w:kern w:val="0"/>
                <w:sz w:val="22"/>
              </w:rPr>
            </w:pPr>
          </w:p>
        </w:tc>
        <w:tc>
          <w:tcPr>
            <w:tcW w:w="990" w:type="dxa"/>
            <w:tcBorders>
              <w:left w:val="single" w:color="auto" w:sz="4" w:space="0"/>
            </w:tcBorders>
            <w:shd w:val="clear" w:color="auto" w:fill="FFFFFF"/>
            <w:vAlign w:val="center"/>
          </w:tcPr>
          <w:p>
            <w:pPr>
              <w:widowControl/>
              <w:spacing w:line="0" w:lineRule="atLeast"/>
              <w:jc w:val="center"/>
              <w:rPr>
                <w:rFonts w:hint="default" w:ascii="宋体" w:hAnsi="宋体" w:eastAsia="仿宋_GB2312" w:cs="宋体"/>
                <w:color w:val="000000"/>
                <w:kern w:val="0"/>
                <w:sz w:val="22"/>
                <w:lang w:val="en-US" w:eastAsia="zh-CN"/>
              </w:rPr>
            </w:pPr>
            <w:r>
              <w:rPr>
                <w:rFonts w:hint="eastAsia" w:ascii="宋体" w:hAnsi="宋体" w:cs="宋体"/>
                <w:color w:val="000000"/>
                <w:kern w:val="0"/>
                <w:sz w:val="22"/>
                <w:lang w:val="en-US" w:eastAsia="zh-CN"/>
              </w:rPr>
              <w:t>100</w:t>
            </w:r>
          </w:p>
        </w:tc>
        <w:tc>
          <w:tcPr>
            <w:tcW w:w="874" w:type="dxa"/>
            <w:shd w:val="clear" w:color="auto" w:fill="FFFFFF"/>
            <w:vAlign w:val="center"/>
          </w:tcPr>
          <w:p>
            <w:pPr>
              <w:widowControl/>
              <w:spacing w:line="0" w:lineRule="atLeast"/>
              <w:jc w:val="center"/>
              <w:rPr>
                <w:rFonts w:hint="default" w:ascii="宋体" w:hAnsi="宋体" w:eastAsia="仿宋_GB2312" w:cs="宋体"/>
                <w:color w:val="000000"/>
                <w:kern w:val="0"/>
                <w:sz w:val="22"/>
                <w:lang w:val="en-US" w:eastAsia="zh-CN"/>
              </w:rPr>
            </w:pPr>
            <w:r>
              <w:rPr>
                <w:rFonts w:hint="eastAsia" w:ascii="宋体" w:hAnsi="宋体" w:cs="宋体"/>
                <w:color w:val="000000"/>
                <w:kern w:val="0"/>
                <w:sz w:val="22"/>
                <w:lang w:val="en-US" w:eastAsia="zh-CN"/>
              </w:rPr>
              <w:t>97.43</w:t>
            </w:r>
          </w:p>
        </w:tc>
      </w:tr>
    </w:tbl>
    <w:p>
      <w:pPr>
        <w:sectPr>
          <w:pgSz w:w="11906" w:h="16838"/>
          <w:pgMar w:top="1928" w:right="1531" w:bottom="1701" w:left="1531" w:header="737" w:footer="851" w:gutter="0"/>
          <w:cols w:space="720" w:num="1"/>
          <w:docGrid w:type="lines" w:linePitch="408" w:charSpace="0"/>
        </w:sectPr>
      </w:pP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3、评价方法</w:t>
      </w:r>
    </w:p>
    <w:p>
      <w:pPr>
        <w:pageBreakBefore w:val="0"/>
        <w:kinsoku/>
        <w:wordWrap/>
        <w:overflowPunct/>
        <w:topLinePunct w:val="0"/>
        <w:autoSpaceDE/>
        <w:autoSpaceDN/>
        <w:bidi w:val="0"/>
        <w:adjustRightInd/>
        <w:snapToGrid/>
        <w:spacing w:line="420" w:lineRule="exact"/>
        <w:ind w:firstLine="60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bCs/>
          <w:color w:val="auto"/>
          <w:sz w:val="30"/>
          <w:szCs w:val="30"/>
        </w:rPr>
        <w:t>本次项目支出绩效自评采用因素分析法方法，原因是：</w:t>
      </w:r>
      <w:r>
        <w:rPr>
          <w:rFonts w:hint="eastAsia" w:ascii="仿宋_GB2312" w:hAnsi="仿宋_GB2312" w:cs="仿宋_GB2312"/>
          <w:bCs/>
          <w:color w:val="auto"/>
          <w:sz w:val="30"/>
          <w:szCs w:val="30"/>
          <w:lang w:eastAsia="zh-CN"/>
        </w:rPr>
        <w:t>按照</w:t>
      </w:r>
      <w:r>
        <w:rPr>
          <w:rFonts w:hint="eastAsia"/>
          <w:color w:val="auto"/>
        </w:rPr>
        <w:t>县级地方储备粮1-4季度保管费用补贴、利息补贴</w:t>
      </w:r>
      <w:r>
        <w:rPr>
          <w:rFonts w:hint="eastAsia" w:ascii="仿宋_GB2312" w:hAnsi="仿宋_GB2312" w:cs="仿宋_GB2312"/>
          <w:bCs/>
          <w:color w:val="auto"/>
          <w:sz w:val="30"/>
          <w:szCs w:val="30"/>
          <w:lang w:eastAsia="zh-CN"/>
        </w:rPr>
        <w:t>项目的</w:t>
      </w:r>
      <w:r>
        <w:rPr>
          <w:rFonts w:hint="eastAsia" w:ascii="仿宋_GB2312" w:hAnsi="仿宋_GB2312" w:eastAsia="仿宋_GB2312" w:cs="仿宋_GB2312"/>
          <w:bCs/>
          <w:color w:val="auto"/>
          <w:sz w:val="30"/>
          <w:szCs w:val="30"/>
        </w:rPr>
        <w:t>综合分析</w:t>
      </w:r>
      <w:r>
        <w:rPr>
          <w:rFonts w:hint="eastAsia" w:ascii="仿宋_GB2312" w:hAnsi="仿宋_GB2312" w:cs="仿宋_GB2312"/>
          <w:bCs/>
          <w:color w:val="auto"/>
          <w:sz w:val="30"/>
          <w:szCs w:val="30"/>
          <w:lang w:eastAsia="zh-CN"/>
        </w:rPr>
        <w:t>结合本地实际情况确定，保障区域粮食安全，</w:t>
      </w:r>
      <w:r>
        <w:rPr>
          <w:rFonts w:hint="eastAsia" w:ascii="仿宋_GB2312" w:hAnsi="仿宋_GB2312" w:eastAsia="仿宋_GB2312" w:cs="仿宋_GB2312"/>
          <w:color w:val="auto"/>
          <w:sz w:val="32"/>
          <w:szCs w:val="32"/>
          <w:lang w:val="en-US" w:eastAsia="zh-CN"/>
        </w:rPr>
        <w:t xml:space="preserve">促进粮油市场价格平稳，对保障区域粮食安全发挥积极作用。      </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4、评价标准</w:t>
      </w:r>
    </w:p>
    <w:p>
      <w:pPr>
        <w:spacing w:line="360" w:lineRule="auto"/>
        <w:ind w:firstLine="600" w:firstLineChars="200"/>
        <w:rPr>
          <w:rFonts w:hint="eastAsia" w:ascii="仿宋_GB2312"/>
          <w:color w:val="auto"/>
          <w:lang w:val="en-US" w:eastAsia="zh-CN"/>
        </w:rPr>
      </w:pPr>
      <w:r>
        <w:rPr>
          <w:rFonts w:hint="eastAsia" w:ascii="仿宋_GB2312" w:hAnsi="仿宋_GB2312" w:eastAsia="仿宋_GB2312" w:cs="仿宋_GB2312"/>
          <w:bCs/>
          <w:color w:val="auto"/>
          <w:sz w:val="30"/>
          <w:szCs w:val="30"/>
        </w:rPr>
        <w:t>本次项目支出绩效自评采用行业标准，原因是：</w:t>
      </w:r>
      <w:r>
        <w:rPr>
          <w:rFonts w:hint="eastAsia"/>
          <w:color w:val="auto"/>
        </w:rPr>
        <w:t>县级地方储备粮1-4季度保管费用补贴、利息补贴</w:t>
      </w:r>
      <w:r>
        <w:rPr>
          <w:rFonts w:hint="eastAsia"/>
          <w:color w:val="auto"/>
          <w:lang w:val="en-US" w:eastAsia="zh-CN"/>
        </w:rPr>
        <w:t>项目</w:t>
      </w:r>
      <w:r>
        <w:rPr>
          <w:rFonts w:hint="eastAsia" w:ascii="仿宋_GB2312" w:hAnsi="仿宋_GB2312" w:eastAsia="仿宋_GB2312" w:cs="仿宋_GB2312"/>
          <w:bCs/>
          <w:color w:val="auto"/>
          <w:sz w:val="30"/>
          <w:szCs w:val="30"/>
        </w:rPr>
        <w:t>参照国家公布的行业指标数据制定的评价标准</w:t>
      </w:r>
      <w:r>
        <w:rPr>
          <w:rFonts w:hint="eastAsia" w:ascii="仿宋_GB2312" w:hAnsi="仿宋_GB2312" w:cs="仿宋_GB2312"/>
          <w:bCs/>
          <w:color w:val="auto"/>
          <w:sz w:val="30"/>
          <w:szCs w:val="30"/>
          <w:lang w:eastAsia="zh-CN"/>
        </w:rPr>
        <w:t>，</w:t>
      </w:r>
      <w:r>
        <w:rPr>
          <w:rFonts w:hint="eastAsia" w:ascii="仿宋_GB2312" w:hAnsi="仿宋_GB2312" w:cs="仿宋_GB2312"/>
          <w:bCs/>
          <w:color w:val="auto"/>
          <w:sz w:val="30"/>
          <w:szCs w:val="30"/>
          <w:lang w:val="en-US" w:eastAsia="zh-CN"/>
        </w:rPr>
        <w:t>促进</w:t>
      </w:r>
      <w:r>
        <w:rPr>
          <w:rFonts w:hint="eastAsia" w:ascii="仿宋_GB2312" w:hAnsi="仿宋_GB2312" w:cs="仿宋_GB2312"/>
          <w:bCs/>
          <w:color w:val="auto"/>
          <w:sz w:val="30"/>
          <w:szCs w:val="30"/>
          <w:lang w:eastAsia="zh-CN"/>
        </w:rPr>
        <w:t>粮油市场价格</w:t>
      </w:r>
      <w:r>
        <w:rPr>
          <w:rFonts w:hint="eastAsia" w:ascii="仿宋_GB2312" w:hAnsi="仿宋_GB2312" w:cs="仿宋_GB2312"/>
          <w:bCs/>
          <w:color w:val="auto"/>
          <w:sz w:val="30"/>
          <w:szCs w:val="30"/>
          <w:lang w:val="en-US" w:eastAsia="zh-CN"/>
        </w:rPr>
        <w:t>平稳，</w:t>
      </w:r>
      <w:r>
        <w:rPr>
          <w:rFonts w:hint="eastAsia" w:ascii="仿宋_GB2312"/>
          <w:color w:val="auto"/>
          <w:lang w:val="en-US" w:eastAsia="zh-CN"/>
        </w:rPr>
        <w:t>采用此标准可以真实有效地检测项目绩效的真实性和准确性。</w:t>
      </w:r>
    </w:p>
    <w:p>
      <w:pPr>
        <w:pageBreakBefore w:val="0"/>
        <w:kinsoku/>
        <w:wordWrap/>
        <w:overflowPunct/>
        <w:topLinePunct w:val="0"/>
        <w:autoSpaceDE/>
        <w:autoSpaceDN/>
        <w:bidi w:val="0"/>
        <w:adjustRightInd/>
        <w:snapToGrid/>
        <w:spacing w:line="420" w:lineRule="exact"/>
        <w:ind w:firstLine="640" w:firstLineChars="200"/>
        <w:textAlignment w:val="auto"/>
        <w:rPr>
          <w:rFonts w:hint="eastAsia" w:ascii="仿宋_GB2312" w:hAnsi="仿宋_GB2312" w:eastAsia="仿宋_GB2312" w:cs="仿宋_GB2312"/>
          <w:bCs/>
          <w:color w:val="auto"/>
          <w:sz w:val="32"/>
          <w:szCs w:val="32"/>
        </w:rPr>
      </w:pPr>
    </w:p>
    <w:p>
      <w:pPr>
        <w:pStyle w:val="6"/>
        <w:pageBreakBefore w:val="0"/>
        <w:widowControl w:val="0"/>
        <w:kinsoku/>
        <w:wordWrap/>
        <w:overflowPunct/>
        <w:topLinePunct w:val="0"/>
        <w:autoSpaceDE/>
        <w:autoSpaceDN/>
        <w:bidi w:val="0"/>
        <w:adjustRightInd/>
        <w:snapToGrid/>
        <w:spacing w:before="0" w:after="0" w:line="560" w:lineRule="exact"/>
        <w:ind w:firstLine="640" w:firstLineChars="200"/>
        <w:textAlignment w:val="auto"/>
        <w:rPr>
          <w:rFonts w:hint="eastAsia" w:ascii="仿宋_GB2312" w:hAnsi="仿宋_GB2312" w:eastAsia="仿宋_GB2312" w:cs="仿宋_GB2312"/>
          <w:b w:val="0"/>
          <w:bCs w:val="0"/>
          <w:sz w:val="32"/>
          <w:szCs w:val="32"/>
        </w:rPr>
      </w:pPr>
      <w:bookmarkStart w:id="6" w:name="_Toc68703833"/>
      <w:r>
        <w:rPr>
          <w:rFonts w:hint="eastAsia" w:ascii="仿宋_GB2312" w:hAnsi="仿宋_GB2312" w:eastAsia="仿宋_GB2312" w:cs="仿宋_GB2312"/>
          <w:b w:val="0"/>
          <w:bCs w:val="0"/>
          <w:sz w:val="32"/>
          <w:szCs w:val="32"/>
        </w:rPr>
        <w:t>（三）绩效评价工作过程。</w:t>
      </w:r>
      <w:bookmarkEnd w:id="6"/>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1、前期准备：</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cs="仿宋_GB2312"/>
          <w:color w:val="auto"/>
          <w:sz w:val="32"/>
          <w:szCs w:val="32"/>
          <w:lang w:val="en-US" w:eastAsia="zh-CN"/>
        </w:rPr>
        <w:t>2</w:t>
      </w:r>
      <w:r>
        <w:rPr>
          <w:rFonts w:hint="eastAsia" w:ascii="仿宋_GB2312" w:hAnsi="仿宋_GB2312" w:eastAsia="仿宋_GB2312" w:cs="仿宋_GB2312"/>
          <w:color w:val="auto"/>
          <w:sz w:val="32"/>
          <w:szCs w:val="32"/>
        </w:rPr>
        <w:t>年</w:t>
      </w:r>
      <w:r>
        <w:rPr>
          <w:rFonts w:hint="eastAsia" w:ascii="仿宋_GB2312" w:hAnsi="仿宋_GB2312" w:cs="仿宋_GB2312"/>
          <w:color w:val="auto"/>
          <w:sz w:val="32"/>
          <w:szCs w:val="32"/>
          <w:lang w:val="en-US" w:eastAsia="zh-CN"/>
        </w:rPr>
        <w:t>3</w:t>
      </w:r>
      <w:r>
        <w:rPr>
          <w:rFonts w:hint="eastAsia" w:ascii="仿宋_GB2312" w:hAnsi="仿宋_GB2312" w:eastAsia="仿宋_GB2312" w:cs="仿宋_GB2312"/>
          <w:color w:val="auto"/>
          <w:sz w:val="32"/>
          <w:szCs w:val="32"/>
        </w:rPr>
        <w:t>月</w:t>
      </w:r>
      <w:r>
        <w:rPr>
          <w:rFonts w:hint="eastAsia" w:ascii="仿宋_GB2312" w:hAnsi="仿宋_GB2312" w:cs="仿宋_GB2312"/>
          <w:color w:val="auto"/>
          <w:sz w:val="32"/>
          <w:szCs w:val="32"/>
          <w:lang w:val="en-US" w:eastAsia="zh-CN"/>
        </w:rPr>
        <w:t>1</w:t>
      </w:r>
      <w:r>
        <w:rPr>
          <w:rFonts w:hint="eastAsia" w:ascii="仿宋_GB2312" w:hAnsi="仿宋_GB2312" w:eastAsia="仿宋_GB2312" w:cs="仿宋_GB2312"/>
          <w:color w:val="auto"/>
          <w:sz w:val="32"/>
          <w:szCs w:val="32"/>
        </w:rPr>
        <w:t>日，</w:t>
      </w:r>
      <w:r>
        <w:rPr>
          <w:rFonts w:hint="eastAsia" w:ascii="仿宋_GB2312" w:hAnsi="仿宋_GB2312" w:eastAsia="仿宋_GB2312" w:cs="仿宋_GB2312"/>
          <w:color w:val="auto"/>
          <w:sz w:val="32"/>
          <w:szCs w:val="32"/>
          <w:lang w:val="zh-CN"/>
        </w:rPr>
        <w:t>开始前期准备工作，评价组通过前期调研</w:t>
      </w:r>
      <w:r>
        <w:rPr>
          <w:rFonts w:hint="eastAsia" w:ascii="仿宋_GB2312" w:hAnsi="仿宋_GB2312" w:eastAsia="仿宋_GB2312" w:cs="仿宋_GB2312"/>
          <w:color w:val="auto"/>
          <w:sz w:val="32"/>
          <w:szCs w:val="32"/>
        </w:rPr>
        <w:t>确定绩效评价对象和范围，</w:t>
      </w:r>
      <w:r>
        <w:rPr>
          <w:rFonts w:hint="eastAsia" w:ascii="仿宋_GB2312" w:hAnsi="仿宋_GB2312" w:eastAsia="仿宋_GB2312" w:cs="仿宋_GB2312"/>
          <w:color w:val="auto"/>
          <w:sz w:val="32"/>
          <w:szCs w:val="32"/>
          <w:lang w:val="zh-CN"/>
        </w:rPr>
        <w:t>确定了评价的目的、方法以及评价的原则，根据项目的内容和特征制定了评价指标体系及评价标准以及评价实施方案，修正并确定所需资料清单，最终确定</w:t>
      </w:r>
      <w:r>
        <w:rPr>
          <w:rFonts w:hint="eastAsia" w:ascii="仿宋_GB2312" w:hAnsi="仿宋_GB2312" w:eastAsia="仿宋_GB2312" w:cs="仿宋_GB2312"/>
          <w:color w:val="auto"/>
          <w:sz w:val="32"/>
          <w:szCs w:val="32"/>
        </w:rPr>
        <w:t>绩效评价工作方案；</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2、组织实施：</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cs="仿宋_GB2312"/>
          <w:color w:val="auto"/>
          <w:sz w:val="32"/>
          <w:szCs w:val="32"/>
          <w:lang w:val="en-US" w:eastAsia="zh-CN"/>
        </w:rPr>
        <w:t>2</w:t>
      </w:r>
      <w:r>
        <w:rPr>
          <w:rFonts w:hint="eastAsia" w:ascii="仿宋_GB2312" w:hAnsi="仿宋_GB2312" w:eastAsia="仿宋_GB2312" w:cs="仿宋_GB2312"/>
          <w:color w:val="auto"/>
          <w:sz w:val="32"/>
          <w:szCs w:val="32"/>
        </w:rPr>
        <w:t xml:space="preserve">年 </w:t>
      </w:r>
      <w:r>
        <w:rPr>
          <w:rFonts w:hint="eastAsia" w:ascii="仿宋_GB2312" w:hAnsi="仿宋_GB2312" w:cs="仿宋_GB2312"/>
          <w:color w:val="auto"/>
          <w:sz w:val="32"/>
          <w:szCs w:val="32"/>
          <w:lang w:val="en-US" w:eastAsia="zh-CN"/>
        </w:rPr>
        <w:t>3</w:t>
      </w:r>
      <w:r>
        <w:rPr>
          <w:rFonts w:hint="eastAsia" w:ascii="仿宋_GB2312" w:hAnsi="仿宋_GB2312" w:eastAsia="仿宋_GB2312" w:cs="仿宋_GB2312"/>
          <w:color w:val="auto"/>
          <w:sz w:val="32"/>
          <w:szCs w:val="32"/>
        </w:rPr>
        <w:t xml:space="preserve">月 </w:t>
      </w:r>
      <w:r>
        <w:rPr>
          <w:rFonts w:hint="eastAsia" w:ascii="仿宋_GB2312" w:hAnsi="仿宋_GB2312" w:cs="仿宋_GB2312"/>
          <w:color w:val="auto"/>
          <w:sz w:val="32"/>
          <w:szCs w:val="32"/>
          <w:lang w:val="en-US" w:eastAsia="zh-CN"/>
        </w:rPr>
        <w:t>13</w:t>
      </w:r>
      <w:r>
        <w:rPr>
          <w:rFonts w:hint="eastAsia" w:ascii="仿宋_GB2312" w:hAnsi="仿宋_GB2312" w:eastAsia="仿宋_GB2312" w:cs="仿宋_GB2312"/>
          <w:color w:val="auto"/>
          <w:sz w:val="32"/>
          <w:szCs w:val="32"/>
        </w:rPr>
        <w:t xml:space="preserve"> 日- </w:t>
      </w:r>
      <w:r>
        <w:rPr>
          <w:rFonts w:hint="eastAsia" w:ascii="仿宋_GB2312" w:hAnsi="仿宋_GB2312" w:cs="仿宋_GB2312"/>
          <w:color w:val="auto"/>
          <w:sz w:val="32"/>
          <w:szCs w:val="32"/>
          <w:lang w:val="en-US" w:eastAsia="zh-CN"/>
        </w:rPr>
        <w:t>3</w:t>
      </w:r>
      <w:r>
        <w:rPr>
          <w:rFonts w:hint="eastAsia" w:ascii="仿宋_GB2312" w:hAnsi="仿宋_GB2312" w:eastAsia="仿宋_GB2312" w:cs="仿宋_GB2312"/>
          <w:color w:val="auto"/>
          <w:sz w:val="32"/>
          <w:szCs w:val="32"/>
        </w:rPr>
        <w:t xml:space="preserve">月 </w:t>
      </w:r>
      <w:r>
        <w:rPr>
          <w:rFonts w:hint="eastAsia" w:ascii="仿宋_GB2312" w:hAnsi="仿宋_GB2312" w:cs="仿宋_GB2312"/>
          <w:color w:val="auto"/>
          <w:sz w:val="32"/>
          <w:szCs w:val="32"/>
          <w:lang w:val="en-US" w:eastAsia="zh-CN"/>
        </w:rPr>
        <w:t>21</w:t>
      </w:r>
      <w:r>
        <w:rPr>
          <w:rFonts w:hint="eastAsia" w:ascii="仿宋_GB2312" w:hAnsi="仿宋_GB2312" w:eastAsia="仿宋_GB2312" w:cs="仿宋_GB2312"/>
          <w:color w:val="auto"/>
          <w:sz w:val="32"/>
          <w:szCs w:val="32"/>
        </w:rPr>
        <w:t xml:space="preserve">日，评价工作进入实施阶段，评价组收集绩效评价相关数据资料，进行现场调研、座谈；并与项目实施负责人沟通，了解资金的内容、操作流程、管理机制、资金使用方向等情况，分析形成初步结论。 </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3、分析评价：</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cs="仿宋_GB2312"/>
          <w:color w:val="auto"/>
          <w:sz w:val="32"/>
          <w:szCs w:val="32"/>
          <w:lang w:val="en-US" w:eastAsia="zh-CN"/>
        </w:rPr>
        <w:t>2</w:t>
      </w:r>
      <w:r>
        <w:rPr>
          <w:rFonts w:hint="eastAsia" w:ascii="仿宋_GB2312" w:hAnsi="仿宋_GB2312" w:eastAsia="仿宋_GB2312" w:cs="仿宋_GB2312"/>
          <w:color w:val="auto"/>
          <w:sz w:val="32"/>
          <w:szCs w:val="32"/>
        </w:rPr>
        <w:t xml:space="preserve">年 </w:t>
      </w:r>
      <w:r>
        <w:rPr>
          <w:rFonts w:hint="eastAsia" w:ascii="仿宋_GB2312" w:hAnsi="仿宋_GB2312" w:cs="仿宋_GB2312"/>
          <w:color w:val="auto"/>
          <w:sz w:val="32"/>
          <w:szCs w:val="32"/>
          <w:lang w:val="en-US" w:eastAsia="zh-CN"/>
        </w:rPr>
        <w:t>3</w:t>
      </w:r>
      <w:r>
        <w:rPr>
          <w:rFonts w:hint="eastAsia" w:ascii="仿宋_GB2312" w:hAnsi="仿宋_GB2312" w:eastAsia="仿宋_GB2312" w:cs="仿宋_GB2312"/>
          <w:color w:val="auto"/>
          <w:sz w:val="32"/>
          <w:szCs w:val="32"/>
        </w:rPr>
        <w:t xml:space="preserve">月 </w:t>
      </w:r>
      <w:r>
        <w:rPr>
          <w:rFonts w:hint="eastAsia" w:ascii="仿宋_GB2312" w:hAnsi="仿宋_GB2312" w:cs="仿宋_GB2312"/>
          <w:color w:val="auto"/>
          <w:sz w:val="32"/>
          <w:szCs w:val="32"/>
          <w:lang w:val="en-US" w:eastAsia="zh-CN"/>
        </w:rPr>
        <w:t>22</w:t>
      </w:r>
      <w:r>
        <w:rPr>
          <w:rFonts w:hint="eastAsia" w:ascii="仿宋_GB2312" w:hAnsi="仿宋_GB2312" w:eastAsia="仿宋_GB2312" w:cs="仿宋_GB2312"/>
          <w:color w:val="auto"/>
          <w:sz w:val="32"/>
          <w:szCs w:val="32"/>
        </w:rPr>
        <w:t xml:space="preserve"> 日-</w:t>
      </w:r>
      <w:r>
        <w:rPr>
          <w:rFonts w:hint="eastAsia" w:ascii="仿宋_GB2312" w:hAnsi="仿宋_GB2312" w:cs="仿宋_GB2312"/>
          <w:color w:val="auto"/>
          <w:sz w:val="32"/>
          <w:szCs w:val="32"/>
          <w:lang w:val="en-US" w:eastAsia="zh-CN"/>
        </w:rPr>
        <w:t>3</w:t>
      </w:r>
      <w:r>
        <w:rPr>
          <w:rFonts w:hint="eastAsia" w:ascii="仿宋_GB2312" w:hAnsi="仿宋_GB2312" w:eastAsia="仿宋_GB2312" w:cs="仿宋_GB2312"/>
          <w:color w:val="auto"/>
          <w:sz w:val="32"/>
          <w:szCs w:val="32"/>
        </w:rPr>
        <w:t>月</w:t>
      </w:r>
      <w:r>
        <w:rPr>
          <w:rFonts w:hint="eastAsia" w:ascii="仿宋_GB2312" w:hAnsi="仿宋_GB2312" w:cs="仿宋_GB2312"/>
          <w:color w:val="auto"/>
          <w:sz w:val="32"/>
          <w:szCs w:val="32"/>
          <w:lang w:val="en-US" w:eastAsia="zh-CN"/>
        </w:rPr>
        <w:t>31</w:t>
      </w:r>
      <w:r>
        <w:rPr>
          <w:rFonts w:hint="eastAsia" w:ascii="仿宋_GB2312" w:hAnsi="仿宋_GB2312" w:eastAsia="仿宋_GB2312" w:cs="仿宋_GB2312"/>
          <w:color w:val="auto"/>
          <w:sz w:val="32"/>
          <w:szCs w:val="32"/>
        </w:rPr>
        <w:t>日，评价组按照绩效评价的原则和规范，对取得的资料进行审查核实，对采集的数据进行分析，按照绩效评价指标评分表逐项进行打分、分析，汇总各方评价结果，综合分析并形成评价结论。</w:t>
      </w:r>
    </w:p>
    <w:p>
      <w:pPr>
        <w:pStyle w:val="5"/>
        <w:pageBreakBefore w:val="0"/>
        <w:widowControl w:val="0"/>
        <w:kinsoku/>
        <w:wordWrap/>
        <w:overflowPunct/>
        <w:topLinePunct w:val="0"/>
        <w:autoSpaceDE/>
        <w:autoSpaceDN/>
        <w:bidi w:val="0"/>
        <w:adjustRightInd/>
        <w:snapToGrid/>
        <w:spacing w:before="0" w:after="0" w:line="560" w:lineRule="exact"/>
        <w:ind w:firstLine="643" w:firstLineChars="200"/>
        <w:textAlignment w:val="auto"/>
        <w:rPr>
          <w:rFonts w:hint="eastAsia" w:ascii="仿宋_GB2312" w:hAnsi="仿宋_GB2312" w:eastAsia="仿宋_GB2312" w:cs="仿宋_GB2312"/>
          <w:color w:val="auto"/>
          <w:sz w:val="32"/>
          <w:szCs w:val="32"/>
        </w:rPr>
      </w:pPr>
      <w:bookmarkStart w:id="7" w:name="_Toc68703834"/>
      <w:r>
        <w:rPr>
          <w:rFonts w:hint="eastAsia" w:ascii="仿宋_GB2312" w:hAnsi="仿宋_GB2312" w:eastAsia="仿宋_GB2312" w:cs="仿宋_GB2312"/>
          <w:color w:val="auto"/>
          <w:sz w:val="32"/>
          <w:szCs w:val="32"/>
        </w:rPr>
        <w:t>三、综合评价情况及评价结论</w:t>
      </w:r>
      <w:bookmarkEnd w:id="7"/>
    </w:p>
    <w:p>
      <w:pPr>
        <w:pStyle w:val="6"/>
        <w:pageBreakBefore w:val="0"/>
        <w:widowControl w:val="0"/>
        <w:kinsoku/>
        <w:wordWrap/>
        <w:overflowPunct/>
        <w:topLinePunct w:val="0"/>
        <w:autoSpaceDE/>
        <w:autoSpaceDN/>
        <w:bidi w:val="0"/>
        <w:adjustRightInd/>
        <w:snapToGrid/>
        <w:spacing w:before="0" w:after="0" w:line="560" w:lineRule="exact"/>
        <w:ind w:firstLine="640" w:firstLineChars="200"/>
        <w:textAlignment w:val="auto"/>
        <w:rPr>
          <w:rFonts w:hint="eastAsia" w:ascii="仿宋_GB2312" w:hAnsi="仿宋_GB2312" w:eastAsia="仿宋_GB2312" w:cs="仿宋_GB2312"/>
          <w:b w:val="0"/>
          <w:bCs w:val="0"/>
          <w:color w:val="auto"/>
          <w:sz w:val="32"/>
          <w:szCs w:val="32"/>
        </w:rPr>
      </w:pPr>
      <w:bookmarkStart w:id="8" w:name="_Toc68703835"/>
      <w:r>
        <w:rPr>
          <w:rFonts w:hint="eastAsia" w:ascii="仿宋_GB2312" w:hAnsi="仿宋_GB2312" w:eastAsia="仿宋_GB2312" w:cs="仿宋_GB2312"/>
          <w:b w:val="0"/>
          <w:bCs w:val="0"/>
          <w:color w:val="auto"/>
          <w:sz w:val="32"/>
          <w:szCs w:val="32"/>
        </w:rPr>
        <w:t>（一）综合评价情况</w:t>
      </w:r>
      <w:bookmarkEnd w:id="8"/>
    </w:p>
    <w:p>
      <w:pPr>
        <w:pageBreakBefore w:val="0"/>
        <w:kinsoku/>
        <w:wordWrap/>
        <w:overflowPunct/>
        <w:topLinePunct w:val="0"/>
        <w:autoSpaceDE/>
        <w:autoSpaceDN/>
        <w:bidi w:val="0"/>
        <w:adjustRightInd/>
        <w:snapToGrid/>
        <w:spacing w:line="420" w:lineRule="exact"/>
        <w:ind w:firstLine="600" w:firstLineChars="200"/>
        <w:textAlignment w:val="auto"/>
        <w:rPr>
          <w:rFonts w:hint="eastAsia" w:ascii="仿宋_GB2312" w:hAnsi="仿宋_GB2312" w:eastAsia="仿宋_GB2312" w:cs="仿宋_GB2312"/>
          <w:color w:val="auto"/>
          <w:sz w:val="30"/>
          <w:szCs w:val="30"/>
        </w:rPr>
      </w:pPr>
      <w:r>
        <w:rPr>
          <w:rFonts w:hint="eastAsia" w:ascii="仿宋_GB2312" w:hAnsi="仿宋_GB2312" w:eastAsia="仿宋_GB2312" w:cs="仿宋_GB2312"/>
          <w:color w:val="auto"/>
          <w:sz w:val="30"/>
          <w:szCs w:val="30"/>
        </w:rPr>
        <w:t>本项目严格按照</w:t>
      </w:r>
      <w:r>
        <w:rPr>
          <w:rFonts w:hint="eastAsia" w:ascii="仿宋_GB2312" w:hAnsi="仿宋_GB2312" w:eastAsia="仿宋_GB2312" w:cs="仿宋_GB2312"/>
          <w:bCs/>
          <w:color w:val="auto"/>
          <w:kern w:val="0"/>
          <w:sz w:val="30"/>
          <w:szCs w:val="30"/>
        </w:rPr>
        <w:t>科学公正、统筹兼顾、激励约束、公开透明的</w:t>
      </w:r>
      <w:r>
        <w:rPr>
          <w:rFonts w:hint="eastAsia" w:ascii="仿宋_GB2312" w:hAnsi="仿宋_GB2312" w:eastAsia="仿宋_GB2312" w:cs="仿宋_GB2312"/>
          <w:color w:val="auto"/>
          <w:sz w:val="30"/>
          <w:szCs w:val="30"/>
        </w:rPr>
        <w:t>绩效评价原则，采用</w:t>
      </w:r>
      <w:r>
        <w:rPr>
          <w:rFonts w:hint="eastAsia" w:ascii="仿宋_GB2312" w:hAnsi="仿宋_GB2312" w:eastAsia="仿宋_GB2312" w:cs="仿宋_GB2312"/>
          <w:bCs/>
          <w:color w:val="auto"/>
          <w:sz w:val="30"/>
          <w:szCs w:val="30"/>
        </w:rPr>
        <w:t>因素分析法</w:t>
      </w:r>
      <w:r>
        <w:rPr>
          <w:rFonts w:hint="eastAsia" w:ascii="仿宋_GB2312" w:hAnsi="仿宋_GB2312" w:eastAsia="仿宋_GB2312" w:cs="仿宋_GB2312"/>
          <w:color w:val="auto"/>
          <w:sz w:val="30"/>
          <w:szCs w:val="30"/>
        </w:rPr>
        <w:t>，坚持</w:t>
      </w:r>
      <w:r>
        <w:rPr>
          <w:rFonts w:hint="eastAsia" w:ascii="仿宋_GB2312" w:hAnsi="仿宋_GB2312" w:eastAsia="仿宋_GB2312" w:cs="仿宋_GB2312"/>
          <w:color w:val="auto"/>
          <w:sz w:val="30"/>
          <w:szCs w:val="30"/>
          <w:lang w:eastAsia="zh-CN"/>
        </w:rPr>
        <w:t>行业标准</w:t>
      </w:r>
      <w:r>
        <w:rPr>
          <w:rFonts w:hint="eastAsia" w:ascii="仿宋_GB2312" w:hAnsi="仿宋_GB2312" w:eastAsia="仿宋_GB2312" w:cs="仿宋_GB2312"/>
          <w:color w:val="auto"/>
          <w:sz w:val="30"/>
          <w:szCs w:val="30"/>
        </w:rPr>
        <w:t>对本项目的立项、项绩效目标、资金投入、资金管理、组织实施、产出数量、产出质量、产出时效、产出成本、项目效益进行了综合评价。</w:t>
      </w:r>
    </w:p>
    <w:p>
      <w:pPr>
        <w:pageBreakBefore w:val="0"/>
        <w:widowControl w:val="0"/>
        <w:kinsoku/>
        <w:wordWrap/>
        <w:overflowPunct/>
        <w:topLinePunct w:val="0"/>
        <w:autoSpaceDE/>
        <w:autoSpaceDN/>
        <w:bidi w:val="0"/>
        <w:adjustRightInd/>
        <w:snapToGrid/>
        <w:spacing w:line="560" w:lineRule="exact"/>
        <w:ind w:firstLine="640" w:firstLineChars="200"/>
        <w:jc w:val="center"/>
        <w:textAlignment w:val="auto"/>
        <w:rPr>
          <w:color w:val="000000" w:themeColor="text1"/>
          <w14:textFill>
            <w14:solidFill>
              <w14:schemeClr w14:val="tx1"/>
            </w14:solidFill>
          </w14:textFill>
        </w:rPr>
      </w:pPr>
      <w:r>
        <w:rPr>
          <w:rFonts w:hint="eastAsia" w:ascii="仿宋_GB2312" w:hAnsi="仿宋_GB2312" w:eastAsia="仿宋_GB2312" w:cs="仿宋_GB2312"/>
          <w:color w:val="000000" w:themeColor="text1"/>
          <w:sz w:val="32"/>
          <w:szCs w:val="32"/>
          <w:lang w:eastAsia="zh-CN"/>
          <w14:textFill>
            <w14:solidFill>
              <w14:schemeClr w14:val="tx1"/>
            </w14:solidFill>
          </w14:textFill>
        </w:rPr>
        <w:t>县级地方储备粮</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1-4季度保管费用补贴、利息补贴</w:t>
      </w:r>
      <w:r>
        <w:rPr>
          <w:rFonts w:hint="eastAsia" w:ascii="仿宋_GB2312" w:hAnsi="仿宋_GB2312" w:eastAsia="仿宋_GB2312" w:cs="仿宋_GB2312"/>
          <w:color w:val="000000" w:themeColor="text1"/>
          <w:sz w:val="32"/>
          <w:szCs w:val="32"/>
          <w14:textFill>
            <w14:solidFill>
              <w14:schemeClr w14:val="tx1"/>
            </w14:solidFill>
          </w14:textFill>
        </w:rPr>
        <w:t>项目评价得分</w:t>
      </w:r>
      <w:r>
        <w:rPr>
          <w:rFonts w:hint="eastAsia"/>
          <w:color w:val="000000" w:themeColor="text1"/>
          <w14:textFill>
            <w14:solidFill>
              <w14:schemeClr w14:val="tx1"/>
            </w14:solidFill>
          </w14:textFill>
        </w:rPr>
        <w:t>情况</w:t>
      </w:r>
    </w:p>
    <w:tbl>
      <w:tblPr>
        <w:tblStyle w:val="9"/>
        <w:tblW w:w="7583" w:type="dxa"/>
        <w:jc w:val="center"/>
        <w:tblLayout w:type="fixed"/>
        <w:tblCellMar>
          <w:top w:w="0" w:type="dxa"/>
          <w:left w:w="108" w:type="dxa"/>
          <w:bottom w:w="0" w:type="dxa"/>
          <w:right w:w="108" w:type="dxa"/>
        </w:tblCellMar>
      </w:tblPr>
      <w:tblGrid>
        <w:gridCol w:w="3137"/>
        <w:gridCol w:w="2168"/>
        <w:gridCol w:w="2278"/>
      </w:tblGrid>
      <w:tr>
        <w:tblPrEx>
          <w:tblCellMar>
            <w:top w:w="0" w:type="dxa"/>
            <w:left w:w="108" w:type="dxa"/>
            <w:bottom w:w="0" w:type="dxa"/>
            <w:right w:w="108" w:type="dxa"/>
          </w:tblCellMar>
        </w:tblPrEx>
        <w:trPr>
          <w:trHeight w:val="90" w:hRule="atLeast"/>
          <w:tblHeader/>
          <w:jc w:val="center"/>
        </w:trPr>
        <w:tc>
          <w:tcPr>
            <w:tcW w:w="313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pPr>
              <w:jc w:val="center"/>
              <w:rPr>
                <w:b/>
                <w:bCs/>
                <w:color w:val="000000"/>
                <w:sz w:val="22"/>
              </w:rPr>
            </w:pPr>
            <w:r>
              <w:rPr>
                <w:rFonts w:hint="eastAsia"/>
                <w:b/>
                <w:bCs/>
                <w:color w:val="000000"/>
                <w:sz w:val="22"/>
              </w:rPr>
              <w:t>一级指标</w:t>
            </w:r>
          </w:p>
        </w:tc>
        <w:tc>
          <w:tcPr>
            <w:tcW w:w="216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jc w:val="center"/>
              <w:rPr>
                <w:b/>
                <w:bCs/>
                <w:color w:val="000000"/>
                <w:sz w:val="22"/>
              </w:rPr>
            </w:pPr>
            <w:r>
              <w:rPr>
                <w:rFonts w:hint="eastAsia"/>
                <w:b/>
                <w:bCs/>
                <w:color w:val="000000"/>
                <w:sz w:val="22"/>
              </w:rPr>
              <w:t>权重分</w:t>
            </w:r>
          </w:p>
        </w:tc>
        <w:tc>
          <w:tcPr>
            <w:tcW w:w="227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jc w:val="center"/>
              <w:rPr>
                <w:b/>
                <w:bCs/>
                <w:color w:val="000000"/>
                <w:sz w:val="22"/>
              </w:rPr>
            </w:pPr>
            <w:r>
              <w:rPr>
                <w:rFonts w:hint="eastAsia"/>
                <w:b/>
                <w:bCs/>
                <w:color w:val="000000"/>
                <w:sz w:val="22"/>
              </w:rPr>
              <w:t>得分</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color w:val="000000"/>
                <w:sz w:val="22"/>
              </w:rPr>
            </w:pPr>
            <w:r>
              <w:rPr>
                <w:rFonts w:hint="eastAsia"/>
                <w:color w:val="000000"/>
                <w:sz w:val="22"/>
              </w:rPr>
              <w:t>项目决策</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eastAsia="仿宋_GB2312"/>
                <w:color w:val="000000"/>
                <w:sz w:val="22"/>
                <w:lang w:val="en-US" w:eastAsia="zh-CN"/>
              </w:rPr>
            </w:pPr>
            <w:r>
              <w:rPr>
                <w:rFonts w:hint="eastAsia"/>
                <w:color w:val="000000"/>
                <w:sz w:val="22"/>
                <w:lang w:val="en-US" w:eastAsia="zh-CN"/>
              </w:rPr>
              <w:t>30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eastAsia="仿宋_GB2312"/>
                <w:color w:val="000000"/>
                <w:sz w:val="22"/>
                <w:lang w:val="en-US" w:eastAsia="zh-CN"/>
              </w:rPr>
            </w:pPr>
            <w:r>
              <w:rPr>
                <w:rFonts w:hint="eastAsia"/>
                <w:color w:val="000000"/>
                <w:sz w:val="22"/>
                <w:lang w:val="en-US" w:eastAsia="zh-CN"/>
              </w:rPr>
              <w:t>30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color w:val="000000"/>
                <w:sz w:val="22"/>
              </w:rPr>
            </w:pPr>
            <w:r>
              <w:rPr>
                <w:rFonts w:hint="eastAsia"/>
                <w:color w:val="000000"/>
                <w:sz w:val="22"/>
              </w:rPr>
              <w:t>项目过程</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eastAsia="仿宋_GB2312"/>
                <w:color w:val="000000"/>
                <w:sz w:val="22"/>
                <w:lang w:val="en-US" w:eastAsia="zh-CN"/>
              </w:rPr>
            </w:pPr>
            <w:r>
              <w:rPr>
                <w:rFonts w:hint="eastAsia"/>
                <w:color w:val="000000"/>
                <w:sz w:val="22"/>
                <w:lang w:val="en-US" w:eastAsia="zh-CN"/>
              </w:rPr>
              <w:t>25</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eastAsia="仿宋_GB2312"/>
                <w:color w:val="000000"/>
                <w:sz w:val="22"/>
                <w:lang w:val="en-US" w:eastAsia="zh-CN"/>
              </w:rPr>
            </w:pPr>
            <w:r>
              <w:rPr>
                <w:rFonts w:hint="eastAsia"/>
                <w:color w:val="000000"/>
                <w:sz w:val="22"/>
                <w:lang w:val="en-US" w:eastAsia="zh-CN"/>
              </w:rPr>
              <w:t>24.15</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color w:val="000000"/>
                <w:sz w:val="22"/>
              </w:rPr>
            </w:pPr>
            <w:r>
              <w:rPr>
                <w:rFonts w:hint="eastAsia"/>
                <w:color w:val="000000"/>
                <w:sz w:val="22"/>
              </w:rPr>
              <w:t>项目产出</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eastAsia="仿宋_GB2312"/>
                <w:color w:val="000000"/>
                <w:sz w:val="22"/>
                <w:lang w:val="en-US" w:eastAsia="zh-CN"/>
              </w:rPr>
            </w:pPr>
            <w:r>
              <w:rPr>
                <w:rFonts w:hint="eastAsia"/>
                <w:color w:val="000000"/>
                <w:sz w:val="22"/>
                <w:lang w:val="en-US" w:eastAsia="zh-CN"/>
              </w:rPr>
              <w:t>25</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eastAsia="仿宋_GB2312"/>
                <w:color w:val="000000"/>
                <w:sz w:val="22"/>
                <w:lang w:val="en-US" w:eastAsia="zh-CN"/>
              </w:rPr>
            </w:pPr>
            <w:r>
              <w:rPr>
                <w:rFonts w:hint="eastAsia"/>
                <w:color w:val="000000"/>
                <w:sz w:val="22"/>
                <w:lang w:val="en-US" w:eastAsia="zh-CN"/>
              </w:rPr>
              <w:t>23.28</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color w:val="000000"/>
                <w:sz w:val="22"/>
              </w:rPr>
            </w:pPr>
            <w:r>
              <w:rPr>
                <w:rFonts w:hint="eastAsia"/>
                <w:color w:val="000000"/>
                <w:sz w:val="22"/>
              </w:rPr>
              <w:t>项目效益</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eastAsia="仿宋_GB2312"/>
                <w:color w:val="000000"/>
                <w:sz w:val="22"/>
                <w:lang w:val="en-US" w:eastAsia="zh-CN"/>
              </w:rPr>
            </w:pPr>
            <w:r>
              <w:rPr>
                <w:rFonts w:hint="eastAsia"/>
                <w:color w:val="000000"/>
                <w:sz w:val="22"/>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eastAsia="仿宋_GB2312"/>
                <w:color w:val="000000"/>
                <w:sz w:val="22"/>
                <w:lang w:val="en-US" w:eastAsia="zh-CN"/>
              </w:rPr>
            </w:pPr>
            <w:r>
              <w:rPr>
                <w:rFonts w:hint="eastAsia"/>
                <w:color w:val="000000"/>
                <w:sz w:val="22"/>
                <w:lang w:val="en-US" w:eastAsia="zh-CN"/>
              </w:rPr>
              <w:t>20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cs="宋体"/>
                <w:b/>
                <w:bCs/>
                <w:color w:val="000000"/>
                <w:sz w:val="22"/>
              </w:rPr>
            </w:pPr>
            <w:r>
              <w:rPr>
                <w:rFonts w:hint="eastAsia" w:cs="宋体"/>
                <w:b/>
                <w:bCs/>
                <w:color w:val="000000"/>
                <w:sz w:val="22"/>
              </w:rPr>
              <w:t>合计</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eastAsia="仿宋_GB2312"/>
                <w:b/>
                <w:bCs/>
                <w:color w:val="000000"/>
                <w:sz w:val="22"/>
                <w:lang w:val="en-US" w:eastAsia="zh-CN"/>
              </w:rPr>
            </w:pPr>
            <w:r>
              <w:rPr>
                <w:rFonts w:hint="eastAsia"/>
                <w:b/>
                <w:bCs/>
                <w:color w:val="000000"/>
                <w:sz w:val="22"/>
                <w:lang w:val="en-US" w:eastAsia="zh-CN"/>
              </w:rPr>
              <w:t>100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eastAsia="仿宋_GB2312"/>
                <w:b/>
                <w:bCs/>
                <w:color w:val="000000"/>
                <w:sz w:val="22"/>
                <w:lang w:val="en-US" w:eastAsia="zh-CN"/>
              </w:rPr>
            </w:pPr>
            <w:r>
              <w:rPr>
                <w:rFonts w:hint="eastAsia"/>
                <w:b/>
                <w:bCs/>
                <w:color w:val="000000"/>
                <w:sz w:val="22"/>
                <w:lang w:val="en-US" w:eastAsia="zh-CN"/>
              </w:rPr>
              <w:t>97.43</w:t>
            </w:r>
          </w:p>
        </w:tc>
      </w:tr>
    </w:tbl>
    <w:p>
      <w:pPr>
        <w:pStyle w:val="6"/>
        <w:keepNext w:val="0"/>
        <w:keepLines w:val="0"/>
        <w:pageBreakBefore w:val="0"/>
        <w:widowControl w:val="0"/>
        <w:kinsoku/>
        <w:wordWrap/>
        <w:overflowPunct/>
        <w:topLinePunct w:val="0"/>
        <w:autoSpaceDE/>
        <w:autoSpaceDN/>
        <w:bidi w:val="0"/>
        <w:adjustRightInd/>
        <w:snapToGrid/>
        <w:spacing w:before="0" w:after="0" w:line="560" w:lineRule="exact"/>
        <w:textAlignment w:val="auto"/>
        <w:rPr>
          <w:rFonts w:hint="eastAsia" w:ascii="仿宋_GB2312" w:hAnsi="仿宋_GB2312" w:eastAsia="仿宋_GB2312" w:cs="仿宋_GB2312"/>
          <w:b w:val="0"/>
          <w:bCs w:val="0"/>
          <w:sz w:val="32"/>
          <w:szCs w:val="32"/>
        </w:rPr>
      </w:pPr>
      <w:bookmarkStart w:id="9" w:name="_Toc68703836"/>
      <w:r>
        <w:rPr>
          <w:rFonts w:hint="eastAsia" w:ascii="仿宋_GB2312" w:hAnsi="仿宋_GB2312" w:eastAsia="仿宋_GB2312" w:cs="仿宋_GB2312"/>
          <w:b w:val="0"/>
          <w:bCs w:val="0"/>
          <w:sz w:val="32"/>
          <w:szCs w:val="32"/>
        </w:rPr>
        <w:t>（二）评价结论</w:t>
      </w:r>
      <w:bookmarkEnd w:id="9"/>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eastAsia"/>
          <w:lang w:eastAsia="zh-CN"/>
        </w:rPr>
      </w:pPr>
      <w:r>
        <w:rPr>
          <w:rFonts w:hint="eastAsia"/>
        </w:rPr>
        <w:t>本项目的项目决策、项目过程、项目产出、项目效益大部分达到了预期要求，得分为</w:t>
      </w:r>
      <w:r>
        <w:rPr>
          <w:rFonts w:hint="eastAsia"/>
          <w:lang w:val="en-US" w:eastAsia="zh-CN"/>
        </w:rPr>
        <w:t>97.43</w:t>
      </w:r>
      <w:r>
        <w:rPr>
          <w:rFonts w:hint="eastAsia"/>
        </w:rPr>
        <w:t>分，项目大部分达成年度指标，</w:t>
      </w:r>
      <w:r>
        <w:rPr>
          <w:rFonts w:hint="eastAsia"/>
          <w:lang w:eastAsia="zh-CN"/>
        </w:rPr>
        <w:t>项目效益</w:t>
      </w:r>
      <w:r>
        <w:rPr>
          <w:rFonts w:hint="eastAsia"/>
        </w:rPr>
        <w:t>指标未达成年度指标的原因</w:t>
      </w:r>
      <w:r>
        <w:rPr>
          <w:rFonts w:hint="eastAsia"/>
          <w:lang w:eastAsia="zh-CN"/>
        </w:rPr>
        <w:t>：</w:t>
      </w:r>
      <w:r>
        <w:rPr>
          <w:rFonts w:hint="eastAsia"/>
          <w:lang w:val="en-US" w:eastAsia="zh-CN"/>
        </w:rPr>
        <w:t>一、</w:t>
      </w:r>
      <w:r>
        <w:rPr>
          <w:rFonts w:hint="eastAsia"/>
        </w:rPr>
        <w:t>储备粮保管费用补贴</w:t>
      </w:r>
      <w:r>
        <w:rPr>
          <w:rFonts w:hint="eastAsia"/>
          <w:lang w:eastAsia="zh-CN"/>
        </w:rPr>
        <w:t>：1、一年预算保管用补贴44万元，2021年8月地方储粮建储，应支付8-12月保管费用175084.12元，已支付8-10月保管费用补贴101750.78元。2、余26.49万元为多作预算。3、积极申请剩余补贴。</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default" w:ascii="仿宋_GB2312" w:hAnsi="仿宋_GB2312" w:eastAsia="仿宋_GB2312" w:cs="仿宋_GB2312"/>
          <w:color w:val="FF0000"/>
          <w:sz w:val="32"/>
          <w:szCs w:val="32"/>
          <w:lang w:val="en-US" w:eastAsia="zh-CN"/>
        </w:rPr>
      </w:pPr>
      <w:r>
        <w:rPr>
          <w:rFonts w:hint="eastAsia"/>
          <w:lang w:val="en-US" w:eastAsia="zh-CN"/>
        </w:rPr>
        <w:t>二、储备粮贷款利息补贴：1、一年预算利息补贴41.33万元，利息自2021年8月发放贷款计算，应支付利息8-12月利息费用178289.10元，实际已支付8-10月104534.22元。2、余23.50万元为多作预算。3、积极申请剩余补贴。</w:t>
      </w:r>
    </w:p>
    <w:p>
      <w:pPr>
        <w:pStyle w:val="5"/>
        <w:keepNext w:val="0"/>
        <w:keepLines w:val="0"/>
        <w:pageBreakBefore w:val="0"/>
        <w:widowControl w:val="0"/>
        <w:kinsoku/>
        <w:wordWrap/>
        <w:overflowPunct/>
        <w:topLinePunct w:val="0"/>
        <w:autoSpaceDE/>
        <w:autoSpaceDN/>
        <w:bidi w:val="0"/>
        <w:adjustRightInd/>
        <w:snapToGrid/>
        <w:spacing w:before="0" w:after="0" w:line="560" w:lineRule="exact"/>
        <w:textAlignment w:val="auto"/>
        <w:rPr>
          <w:rFonts w:hint="eastAsia" w:ascii="仿宋_GB2312" w:hAnsi="仿宋_GB2312" w:eastAsia="仿宋_GB2312" w:cs="仿宋_GB2312"/>
          <w:sz w:val="32"/>
          <w:szCs w:val="32"/>
        </w:rPr>
      </w:pPr>
      <w:bookmarkStart w:id="10" w:name="_Toc68703837"/>
      <w:r>
        <w:rPr>
          <w:rFonts w:hint="eastAsia" w:ascii="仿宋_GB2312" w:hAnsi="仿宋_GB2312" w:eastAsia="仿宋_GB2312" w:cs="仿宋_GB2312"/>
          <w:sz w:val="32"/>
          <w:szCs w:val="32"/>
        </w:rPr>
        <w:t>四、绩效评价指标分析</w:t>
      </w:r>
      <w:bookmarkEnd w:id="10"/>
    </w:p>
    <w:p>
      <w:pPr>
        <w:pStyle w:val="6"/>
        <w:keepNext w:val="0"/>
        <w:keepLines w:val="0"/>
        <w:pageBreakBefore w:val="0"/>
        <w:widowControl w:val="0"/>
        <w:kinsoku/>
        <w:wordWrap/>
        <w:overflowPunct/>
        <w:topLinePunct w:val="0"/>
        <w:autoSpaceDE/>
        <w:autoSpaceDN/>
        <w:bidi w:val="0"/>
        <w:adjustRightInd/>
        <w:snapToGrid/>
        <w:spacing w:before="0" w:after="0" w:line="560" w:lineRule="exact"/>
        <w:textAlignment w:val="auto"/>
        <w:rPr>
          <w:rFonts w:hint="eastAsia" w:ascii="仿宋_GB2312" w:hAnsi="仿宋_GB2312" w:eastAsia="仿宋_GB2312" w:cs="仿宋_GB2312"/>
          <w:b w:val="0"/>
          <w:bCs w:val="0"/>
          <w:sz w:val="32"/>
          <w:szCs w:val="32"/>
        </w:rPr>
      </w:pPr>
      <w:bookmarkStart w:id="11" w:name="_Toc68703838"/>
      <w:r>
        <w:rPr>
          <w:rFonts w:hint="eastAsia" w:ascii="仿宋_GB2312" w:hAnsi="仿宋_GB2312" w:eastAsia="仿宋_GB2312" w:cs="仿宋_GB2312"/>
          <w:b w:val="0"/>
          <w:bCs w:val="0"/>
          <w:sz w:val="32"/>
          <w:szCs w:val="32"/>
        </w:rPr>
        <w:t>（一）项目决策情况。</w:t>
      </w:r>
      <w:bookmarkEnd w:id="11"/>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1、立项依据充分性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sz w:val="32"/>
          <w:szCs w:val="32"/>
          <w:lang w:eastAsia="zh-CN"/>
        </w:rPr>
        <w:t>伊州粮【</w:t>
      </w:r>
      <w:r>
        <w:rPr>
          <w:rFonts w:hint="eastAsia" w:ascii="仿宋_GB2312" w:hAnsi="仿宋_GB2312" w:eastAsia="仿宋_GB2312" w:cs="仿宋_GB2312"/>
          <w:sz w:val="32"/>
          <w:szCs w:val="32"/>
          <w:lang w:val="en-US" w:eastAsia="zh-CN"/>
        </w:rPr>
        <w:t>2021】1号、</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特政办函【2021】22号</w:t>
      </w:r>
      <w:r>
        <w:rPr>
          <w:rFonts w:hint="eastAsia" w:ascii="仿宋_GB2312" w:hAnsi="仿宋_GB2312" w:cs="仿宋_GB2312"/>
          <w:color w:val="000000" w:themeColor="text1"/>
          <w:sz w:val="32"/>
          <w:szCs w:val="32"/>
          <w:lang w:val="en-US" w:eastAsia="zh-CN"/>
          <w14:textFill>
            <w14:solidFill>
              <w14:schemeClr w14:val="tx1"/>
            </w14:solidFill>
          </w14:textFill>
        </w:rPr>
        <w:t>；</w:t>
      </w:r>
      <w:r>
        <w:rPr>
          <w:rFonts w:hint="eastAsia" w:ascii="仿宋_GB2312" w:hAnsi="仿宋_GB2312" w:eastAsia="仿宋_GB2312" w:cs="仿宋_GB2312"/>
          <w:color w:val="auto"/>
          <w:sz w:val="32"/>
          <w:szCs w:val="32"/>
        </w:rPr>
        <w:t>项目立项符合行业发展规划和政策要求；项目立项与部门职责范围相符，属于部门履职所需；项目属于公共财政支持范围，符合中央、地方事权支出责任划分原则；项目</w:t>
      </w:r>
      <w:r>
        <w:rPr>
          <w:rFonts w:hint="eastAsia" w:ascii="仿宋_GB2312" w:hAnsi="仿宋_GB2312" w:cs="仿宋_GB2312"/>
          <w:color w:val="auto"/>
          <w:sz w:val="32"/>
          <w:szCs w:val="32"/>
          <w:lang w:val="en-US" w:eastAsia="zh-CN"/>
        </w:rPr>
        <w:t>不</w:t>
      </w:r>
      <w:r>
        <w:rPr>
          <w:rFonts w:hint="eastAsia" w:ascii="仿宋_GB2312" w:hAnsi="仿宋_GB2312" w:eastAsia="仿宋_GB2312" w:cs="仿宋_GB2312"/>
          <w:color w:val="auto"/>
          <w:sz w:val="32"/>
          <w:szCs w:val="32"/>
        </w:rPr>
        <w:t>与相关部门同类项目或部门内部相关项目重复。</w:t>
      </w:r>
    </w:p>
    <w:p>
      <w:pPr>
        <w:pStyle w:val="2"/>
        <w:rPr>
          <w:rFonts w:hint="eastAsia"/>
        </w:rPr>
      </w:pP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2、立项程序规范性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FF0000"/>
          <w:sz w:val="32"/>
          <w:szCs w:val="32"/>
        </w:rPr>
      </w:pPr>
      <w:r>
        <w:rPr>
          <w:rFonts w:hint="eastAsia" w:ascii="仿宋_GB2312" w:hAnsi="仿宋_GB2312" w:eastAsia="仿宋_GB2312" w:cs="仿宋_GB2312"/>
          <w:color w:val="auto"/>
          <w:sz w:val="32"/>
          <w:szCs w:val="32"/>
        </w:rPr>
        <w:t>项目按照规定的程序申请设立；审批文件、材料符合相关要求；事前经过必要的可行性研究、专家论证、风险评估、绩效评估、集体决策。</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3、绩效目标合理性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lang w:eastAsia="zh-CN"/>
          <w14:textFill>
            <w14:solidFill>
              <w14:schemeClr w14:val="tx1"/>
            </w14:solidFill>
          </w14:textFill>
        </w:rPr>
        <w:t>县级地方储备粮</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1-4季度保管费用补贴、利息补贴</w:t>
      </w:r>
      <w:r>
        <w:rPr>
          <w:rFonts w:hint="eastAsia" w:ascii="仿宋_GB2312" w:hAnsi="仿宋_GB2312" w:eastAsia="仿宋_GB2312" w:cs="仿宋_GB2312"/>
          <w:color w:val="000000" w:themeColor="text1"/>
          <w:sz w:val="32"/>
          <w:szCs w:val="32"/>
          <w14:textFill>
            <w14:solidFill>
              <w14:schemeClr w14:val="tx1"/>
            </w14:solidFill>
          </w14:textFill>
        </w:rPr>
        <w:t>项目设立了项目绩效目标，与</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0.44万吨地方储备粮建储、储存期、农发行借款利息</w:t>
      </w:r>
      <w:r>
        <w:rPr>
          <w:rFonts w:hint="eastAsia" w:ascii="仿宋_GB2312" w:hAnsi="仿宋_GB2312" w:eastAsia="仿宋_GB2312" w:cs="仿宋_GB2312"/>
          <w:color w:val="000000" w:themeColor="text1"/>
          <w:sz w:val="32"/>
          <w:szCs w:val="32"/>
          <w14:textFill>
            <w14:solidFill>
              <w14:schemeClr w14:val="tx1"/>
            </w14:solidFill>
          </w14:textFill>
        </w:rPr>
        <w:t>具有相关性，项目的预期产出效益和效果也均能符合正常的业绩水平，并且与预算确定的项目投资额或资金量相匹配。</w:t>
      </w:r>
    </w:p>
    <w:p>
      <w:pPr>
        <w:pStyle w:val="2"/>
        <w:rPr>
          <w:rFonts w:hint="eastAsia"/>
        </w:rPr>
      </w:pP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4、绩效指标明确性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rPr>
      </w:pPr>
      <w:bookmarkStart w:id="12" w:name="_Hlk68699917"/>
      <w:r>
        <w:rPr>
          <w:rFonts w:hint="eastAsia" w:ascii="仿宋_GB2312" w:hAnsi="仿宋_GB2312" w:eastAsia="仿宋_GB2312" w:cs="仿宋_GB2312"/>
          <w:color w:val="000000" w:themeColor="text1"/>
          <w:sz w:val="32"/>
          <w:szCs w:val="32"/>
          <w:lang w:eastAsia="zh-CN"/>
          <w14:textFill>
            <w14:solidFill>
              <w14:schemeClr w14:val="tx1"/>
            </w14:solidFill>
          </w14:textFill>
        </w:rPr>
        <w:t>县级地方储备粮</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1-4季度保管费用补贴、利息补贴</w:t>
      </w:r>
      <w:r>
        <w:rPr>
          <w:rFonts w:hint="eastAsia" w:ascii="仿宋_GB2312" w:hAnsi="仿宋_GB2312" w:eastAsia="仿宋_GB2312" w:cs="仿宋_GB2312"/>
          <w:color w:val="000000" w:themeColor="text1"/>
          <w:sz w:val="32"/>
          <w:szCs w:val="32"/>
          <w14:textFill>
            <w14:solidFill>
              <w14:schemeClr w14:val="tx1"/>
            </w14:solidFill>
          </w14:textFill>
        </w:rPr>
        <w:t>项目将项目绩效目标细化分解为具体的绩效指标，一级指标共</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3</w:t>
      </w:r>
      <w:r>
        <w:rPr>
          <w:rFonts w:hint="eastAsia" w:ascii="仿宋_GB2312" w:hAnsi="仿宋_GB2312" w:eastAsia="仿宋_GB2312" w:cs="仿宋_GB2312"/>
          <w:color w:val="000000" w:themeColor="text1"/>
          <w:sz w:val="32"/>
          <w:szCs w:val="32"/>
          <w14:textFill>
            <w14:solidFill>
              <w14:schemeClr w14:val="tx1"/>
            </w14:solidFill>
          </w14:textFill>
        </w:rPr>
        <w:t>条，二级指标共</w:t>
      </w:r>
      <w:r>
        <w:rPr>
          <w:rFonts w:hint="eastAsia" w:ascii="仿宋_GB2312" w:hAnsi="仿宋_GB2312" w:cs="仿宋_GB2312"/>
          <w:color w:val="000000" w:themeColor="text1"/>
          <w:sz w:val="32"/>
          <w:szCs w:val="32"/>
          <w:lang w:val="en-US" w:eastAsia="zh-CN"/>
          <w14:textFill>
            <w14:solidFill>
              <w14:schemeClr w14:val="tx1"/>
            </w14:solidFill>
          </w14:textFill>
        </w:rPr>
        <w:t>8</w:t>
      </w:r>
      <w:r>
        <w:rPr>
          <w:rFonts w:hint="eastAsia" w:ascii="仿宋_GB2312" w:hAnsi="仿宋_GB2312" w:eastAsia="仿宋_GB2312" w:cs="仿宋_GB2312"/>
          <w:color w:val="000000" w:themeColor="text1"/>
          <w:sz w:val="32"/>
          <w:szCs w:val="32"/>
          <w14:textFill>
            <w14:solidFill>
              <w14:schemeClr w14:val="tx1"/>
            </w14:solidFill>
          </w14:textFill>
        </w:rPr>
        <w:t>条，三级指标共</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1</w:t>
      </w:r>
      <w:r>
        <w:rPr>
          <w:rFonts w:hint="eastAsia" w:ascii="仿宋_GB2312" w:hAnsi="仿宋_GB2312" w:cs="仿宋_GB2312"/>
          <w:color w:val="000000" w:themeColor="text1"/>
          <w:sz w:val="32"/>
          <w:szCs w:val="32"/>
          <w:lang w:val="en-US" w:eastAsia="zh-CN"/>
          <w14:textFill>
            <w14:solidFill>
              <w14:schemeClr w14:val="tx1"/>
            </w14:solidFill>
          </w14:textFill>
        </w:rPr>
        <w:t>3</w:t>
      </w:r>
      <w:r>
        <w:rPr>
          <w:rFonts w:hint="eastAsia" w:ascii="仿宋_GB2312" w:hAnsi="仿宋_GB2312" w:eastAsia="仿宋_GB2312" w:cs="仿宋_GB2312"/>
          <w:color w:val="000000" w:themeColor="text1"/>
          <w:sz w:val="32"/>
          <w:szCs w:val="32"/>
          <w14:textFill>
            <w14:solidFill>
              <w14:schemeClr w14:val="tx1"/>
            </w14:solidFill>
          </w14:textFill>
        </w:rPr>
        <w:t>条，其中量化指标条数共</w:t>
      </w:r>
      <w:r>
        <w:rPr>
          <w:rFonts w:hint="eastAsia" w:ascii="仿宋_GB2312" w:hAnsi="仿宋_GB2312" w:cs="仿宋_GB2312"/>
          <w:color w:val="000000" w:themeColor="text1"/>
          <w:sz w:val="32"/>
          <w:szCs w:val="32"/>
          <w:lang w:val="en-US" w:eastAsia="zh-CN"/>
          <w14:textFill>
            <w14:solidFill>
              <w14:schemeClr w14:val="tx1"/>
            </w14:solidFill>
          </w14:textFill>
        </w:rPr>
        <w:t>10</w:t>
      </w:r>
      <w:r>
        <w:rPr>
          <w:rFonts w:hint="eastAsia" w:ascii="仿宋_GB2312" w:hAnsi="仿宋_GB2312" w:eastAsia="仿宋_GB2312" w:cs="仿宋_GB2312"/>
          <w:color w:val="000000" w:themeColor="text1"/>
          <w:sz w:val="32"/>
          <w:szCs w:val="32"/>
          <w14:textFill>
            <w14:solidFill>
              <w14:schemeClr w14:val="tx1"/>
            </w14:solidFill>
          </w14:textFill>
        </w:rPr>
        <w:t>条，所有绩效指标均通过清晰、可衡量的指标值予以体现，并且做到了与项目目标任务数或计划数相对应。</w:t>
      </w:r>
      <w:bookmarkEnd w:id="12"/>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5、预算编制科学性</w:t>
      </w:r>
    </w:p>
    <w:p>
      <w:pPr>
        <w:pageBreakBefore w:val="0"/>
        <w:kinsoku/>
        <w:wordWrap/>
        <w:overflowPunct/>
        <w:topLinePunct w:val="0"/>
        <w:autoSpaceDE/>
        <w:autoSpaceDN/>
        <w:bidi w:val="0"/>
        <w:adjustRightInd/>
        <w:snapToGrid/>
        <w:spacing w:line="420" w:lineRule="exact"/>
        <w:ind w:firstLine="600" w:firstLineChars="200"/>
        <w:textAlignment w:val="auto"/>
        <w:rPr>
          <w:rFonts w:hint="eastAsia"/>
        </w:rPr>
      </w:pPr>
      <w:r>
        <w:rPr>
          <w:rFonts w:hint="eastAsia" w:ascii="仿宋_GB2312" w:hAnsi="仿宋_GB2312" w:eastAsia="仿宋_GB2312" w:cs="仿宋_GB2312"/>
          <w:color w:val="auto"/>
          <w:sz w:val="30"/>
          <w:szCs w:val="30"/>
        </w:rPr>
        <w:t>预算编制经过科学论证；预算内容与项目内容匹配；预算额度测算依据充分，按照标准编制；预算确定的项目投资额或资金量与工作任务相匹配。</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6、资金分配合理性</w:t>
      </w:r>
    </w:p>
    <w:p>
      <w:pPr>
        <w:pageBreakBefore w:val="0"/>
        <w:kinsoku/>
        <w:wordWrap/>
        <w:overflowPunct/>
        <w:topLinePunct w:val="0"/>
        <w:autoSpaceDE/>
        <w:autoSpaceDN/>
        <w:bidi w:val="0"/>
        <w:adjustRightInd/>
        <w:snapToGrid/>
        <w:spacing w:line="420" w:lineRule="exact"/>
        <w:ind w:firstLine="600" w:firstLineChars="200"/>
        <w:textAlignment w:val="auto"/>
        <w:rPr>
          <w:rFonts w:hint="eastAsia"/>
        </w:rPr>
      </w:pPr>
      <w:r>
        <w:rPr>
          <w:rFonts w:hint="eastAsia" w:ascii="仿宋_GB2312" w:hAnsi="仿宋_GB2312" w:eastAsia="仿宋_GB2312" w:cs="仿宋_GB2312"/>
          <w:color w:val="auto"/>
          <w:sz w:val="30"/>
          <w:szCs w:val="30"/>
        </w:rPr>
        <w:t>预算资金分配依据充分</w:t>
      </w:r>
      <w:r>
        <w:rPr>
          <w:rFonts w:hint="eastAsia" w:ascii="仿宋_GB2312" w:hAnsi="仿宋_GB2312" w:eastAsia="仿宋_GB2312" w:cs="仿宋_GB2312"/>
          <w:color w:val="auto"/>
          <w:sz w:val="30"/>
          <w:szCs w:val="30"/>
          <w:lang w:eastAsia="zh-CN"/>
        </w:rPr>
        <w:t>；</w:t>
      </w:r>
      <w:r>
        <w:rPr>
          <w:rFonts w:hint="eastAsia" w:ascii="仿宋_GB2312" w:hAnsi="仿宋_GB2312" w:eastAsia="仿宋_GB2312" w:cs="仿宋_GB2312"/>
          <w:color w:val="auto"/>
          <w:sz w:val="30"/>
          <w:szCs w:val="30"/>
        </w:rPr>
        <w:t>资金分配额度合理，与地方实际相适应。</w:t>
      </w:r>
    </w:p>
    <w:p>
      <w:pPr>
        <w:pStyle w:val="6"/>
        <w:keepNext w:val="0"/>
        <w:keepLines w:val="0"/>
        <w:pageBreakBefore w:val="0"/>
        <w:widowControl w:val="0"/>
        <w:kinsoku/>
        <w:wordWrap/>
        <w:overflowPunct/>
        <w:topLinePunct w:val="0"/>
        <w:autoSpaceDE/>
        <w:autoSpaceDN/>
        <w:bidi w:val="0"/>
        <w:adjustRightInd/>
        <w:snapToGrid/>
        <w:spacing w:before="0" w:after="0" w:line="560" w:lineRule="exact"/>
        <w:textAlignment w:val="auto"/>
        <w:rPr>
          <w:rFonts w:hint="eastAsia" w:ascii="仿宋_GB2312" w:hAnsi="仿宋_GB2312" w:eastAsia="仿宋_GB2312" w:cs="仿宋_GB2312"/>
          <w:b w:val="0"/>
          <w:bCs w:val="0"/>
          <w:sz w:val="32"/>
          <w:szCs w:val="32"/>
        </w:rPr>
      </w:pPr>
      <w:bookmarkStart w:id="13" w:name="_Toc68703839"/>
      <w:r>
        <w:rPr>
          <w:rFonts w:hint="eastAsia" w:ascii="仿宋_GB2312" w:hAnsi="仿宋_GB2312" w:eastAsia="仿宋_GB2312" w:cs="仿宋_GB2312"/>
          <w:b w:val="0"/>
          <w:bCs w:val="0"/>
          <w:sz w:val="32"/>
          <w:szCs w:val="32"/>
        </w:rPr>
        <w:t>（二）项目过程情况。</w:t>
      </w:r>
      <w:bookmarkEnd w:id="13"/>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1、资金到位率：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预算资金</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85.33</w:t>
      </w:r>
      <w:r>
        <w:rPr>
          <w:rFonts w:hint="eastAsia" w:ascii="仿宋_GB2312" w:hAnsi="仿宋_GB2312" w:eastAsia="仿宋_GB2312" w:cs="仿宋_GB2312"/>
          <w:color w:val="000000" w:themeColor="text1"/>
          <w:sz w:val="32"/>
          <w:szCs w:val="32"/>
          <w14:textFill>
            <w14:solidFill>
              <w14:schemeClr w14:val="tx1"/>
            </w14:solidFill>
          </w14:textFill>
        </w:rPr>
        <w:t>万元，实际到位资金</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70.62</w:t>
      </w:r>
      <w:r>
        <w:rPr>
          <w:rFonts w:hint="eastAsia" w:ascii="仿宋_GB2312" w:hAnsi="仿宋_GB2312" w:eastAsia="仿宋_GB2312" w:cs="仿宋_GB2312"/>
          <w:color w:val="000000" w:themeColor="text1"/>
          <w:sz w:val="32"/>
          <w:szCs w:val="32"/>
          <w14:textFill>
            <w14:solidFill>
              <w14:schemeClr w14:val="tx1"/>
            </w14:solidFill>
          </w14:textFill>
        </w:rPr>
        <w:t>万元，资金到位率</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82.</w:t>
      </w:r>
      <w:r>
        <w:rPr>
          <w:rFonts w:hint="eastAsia" w:ascii="仿宋_GB2312" w:hAnsi="仿宋_GB2312" w:cs="仿宋_GB2312"/>
          <w:color w:val="000000" w:themeColor="text1"/>
          <w:sz w:val="32"/>
          <w:szCs w:val="32"/>
          <w:lang w:val="en-US" w:eastAsia="zh-CN"/>
          <w14:textFill>
            <w14:solidFill>
              <w14:schemeClr w14:val="tx1"/>
            </w14:solidFill>
          </w14:textFill>
        </w:rPr>
        <w:t>76</w:t>
      </w:r>
      <w:r>
        <w:rPr>
          <w:rFonts w:hint="eastAsia" w:ascii="仿宋_GB2312" w:hAnsi="仿宋_GB2312" w:eastAsia="仿宋_GB2312" w:cs="仿宋_GB2312"/>
          <w:color w:val="000000" w:themeColor="text1"/>
          <w:sz w:val="32"/>
          <w:szCs w:val="32"/>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2、预算执行率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lang w:eastAsia="zh-CN"/>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年初预算数</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85.33</w:t>
      </w:r>
      <w:r>
        <w:rPr>
          <w:rFonts w:hint="eastAsia" w:ascii="仿宋_GB2312" w:hAnsi="仿宋_GB2312" w:eastAsia="仿宋_GB2312" w:cs="仿宋_GB2312"/>
          <w:color w:val="000000" w:themeColor="text1"/>
          <w:sz w:val="32"/>
          <w:szCs w:val="32"/>
          <w14:textFill>
            <w14:solidFill>
              <w14:schemeClr w14:val="tx1"/>
            </w14:solidFill>
          </w14:textFill>
        </w:rPr>
        <w:t>万元，全年预算数</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70.62</w:t>
      </w:r>
      <w:r>
        <w:rPr>
          <w:rFonts w:hint="eastAsia" w:ascii="仿宋_GB2312" w:hAnsi="仿宋_GB2312" w:eastAsia="仿宋_GB2312" w:cs="仿宋_GB2312"/>
          <w:color w:val="000000" w:themeColor="text1"/>
          <w:sz w:val="32"/>
          <w:szCs w:val="32"/>
          <w14:textFill>
            <w14:solidFill>
              <w14:schemeClr w14:val="tx1"/>
            </w14:solidFill>
          </w14:textFill>
        </w:rPr>
        <w:t>万元，全年执行数</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70.62</w:t>
      </w:r>
      <w:r>
        <w:rPr>
          <w:rFonts w:hint="eastAsia" w:ascii="仿宋_GB2312" w:hAnsi="仿宋_GB2312" w:eastAsia="仿宋_GB2312" w:cs="仿宋_GB2312"/>
          <w:color w:val="000000" w:themeColor="text1"/>
          <w:sz w:val="32"/>
          <w:szCs w:val="32"/>
          <w14:textFill>
            <w14:solidFill>
              <w14:schemeClr w14:val="tx1"/>
            </w14:solidFill>
          </w14:textFill>
        </w:rPr>
        <w:t>万元，预算执行率为</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82.</w:t>
      </w:r>
      <w:r>
        <w:rPr>
          <w:rFonts w:hint="eastAsia" w:ascii="仿宋_GB2312" w:hAnsi="仿宋_GB2312" w:cs="仿宋_GB2312"/>
          <w:color w:val="000000" w:themeColor="text1"/>
          <w:sz w:val="32"/>
          <w:szCs w:val="32"/>
          <w:lang w:val="en-US" w:eastAsia="zh-CN"/>
          <w14:textFill>
            <w14:solidFill>
              <w14:schemeClr w14:val="tx1"/>
            </w14:solidFill>
          </w14:textFill>
        </w:rPr>
        <w:t>76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cs="仿宋_GB2312"/>
          <w:color w:val="000000" w:themeColor="text1"/>
          <w:sz w:val="32"/>
          <w:szCs w:val="32"/>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3、资金使用合规性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000000" w:themeColor="text1"/>
          <w:sz w:val="32"/>
          <w:szCs w:val="32"/>
          <w14:textFill>
            <w14:solidFill>
              <w14:schemeClr w14:val="tx1"/>
            </w14:solidFill>
          </w14:textFill>
        </w:rPr>
        <w:t>符合国家财经法规和财务管理制度以及有关专项资金管理办法的规定；资金的拨付有完整的审批程序和手续；符合项目预算批复或合同规定的用途；</w:t>
      </w:r>
      <w:r>
        <w:rPr>
          <w:rFonts w:hint="eastAsia" w:ascii="仿宋_GB2312" w:hAnsi="仿宋_GB2312" w:cs="仿宋_GB2312"/>
          <w:color w:val="000000" w:themeColor="text1"/>
          <w:sz w:val="32"/>
          <w:szCs w:val="32"/>
          <w:lang w:val="en-US" w:eastAsia="zh-CN"/>
          <w14:textFill>
            <w14:solidFill>
              <w14:schemeClr w14:val="tx1"/>
            </w14:solidFill>
          </w14:textFill>
        </w:rPr>
        <w:t>不</w:t>
      </w:r>
      <w:r>
        <w:rPr>
          <w:rFonts w:hint="eastAsia"/>
          <w:color w:val="auto"/>
        </w:rPr>
        <w:t>存在截留、挤占、挪用、虚列支出等情况</w:t>
      </w:r>
      <w:r>
        <w:rPr>
          <w:rFonts w:hint="eastAsia"/>
          <w:color w:val="auto"/>
          <w:lang w:eastAsia="zh-CN"/>
        </w:rPr>
        <w:t>。</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4、管理制度健全性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已制定或具有相应的财务和业务管理制度；财务和业务管理制度合法、合规、完整。</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5、制度执行有效性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000000" w:themeColor="text1"/>
          <w:sz w:val="32"/>
          <w:szCs w:val="32"/>
          <w14:textFill>
            <w14:solidFill>
              <w14:schemeClr w14:val="tx1"/>
            </w14:solidFill>
          </w14:textFill>
        </w:rPr>
        <w:t>遵守相关法律法规和相关管理规定</w:t>
      </w:r>
      <w:r>
        <w:rPr>
          <w:rFonts w:hint="eastAsia" w:ascii="仿宋_GB2312" w:hAnsi="仿宋_GB2312" w:eastAsia="仿宋_GB2312" w:cs="仿宋_GB2312"/>
          <w:color w:val="auto"/>
          <w:sz w:val="32"/>
          <w:szCs w:val="32"/>
        </w:rPr>
        <w:t>；</w:t>
      </w:r>
      <w:r>
        <w:rPr>
          <w:rFonts w:hint="eastAsia"/>
          <w:color w:val="auto"/>
        </w:rPr>
        <w:t>项目调整及支出调整手续完备；</w:t>
      </w:r>
      <w:r>
        <w:rPr>
          <w:rFonts w:hint="eastAsia" w:ascii="仿宋_GB2312" w:hAnsi="仿宋_GB2312" w:eastAsia="仿宋_GB2312" w:cs="仿宋_GB2312"/>
          <w:color w:val="auto"/>
          <w:sz w:val="32"/>
          <w:szCs w:val="32"/>
        </w:rPr>
        <w:t>项目合同书、验收报告、技术鉴定等资料齐全并及时归档；项目实施的人员条件、场地设备、信息支撑等落实到位。</w:t>
      </w:r>
    </w:p>
    <w:p>
      <w:pPr>
        <w:pStyle w:val="6"/>
        <w:keepNext w:val="0"/>
        <w:keepLines w:val="0"/>
        <w:pageBreakBefore w:val="0"/>
        <w:widowControl w:val="0"/>
        <w:kinsoku/>
        <w:wordWrap/>
        <w:overflowPunct/>
        <w:topLinePunct w:val="0"/>
        <w:autoSpaceDE/>
        <w:autoSpaceDN/>
        <w:bidi w:val="0"/>
        <w:adjustRightInd/>
        <w:snapToGrid/>
        <w:spacing w:before="0" w:after="0" w:line="560" w:lineRule="exact"/>
        <w:textAlignment w:val="auto"/>
        <w:rPr>
          <w:rFonts w:hint="eastAsia" w:ascii="仿宋_GB2312" w:hAnsi="仿宋_GB2312" w:eastAsia="仿宋_GB2312" w:cs="仿宋_GB2312"/>
          <w:b w:val="0"/>
          <w:bCs w:val="0"/>
          <w:sz w:val="32"/>
          <w:szCs w:val="32"/>
        </w:rPr>
      </w:pPr>
      <w:bookmarkStart w:id="14" w:name="_Toc68703840"/>
      <w:r>
        <w:rPr>
          <w:rFonts w:hint="eastAsia" w:ascii="仿宋_GB2312" w:hAnsi="仿宋_GB2312" w:eastAsia="仿宋_GB2312" w:cs="仿宋_GB2312"/>
          <w:b w:val="0"/>
          <w:bCs w:val="0"/>
          <w:sz w:val="32"/>
          <w:szCs w:val="32"/>
        </w:rPr>
        <w:t>（三）项目产出情况。</w:t>
      </w:r>
      <w:bookmarkEnd w:id="14"/>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1、数量指标：指标1：</w:t>
      </w:r>
      <w:r>
        <w:rPr>
          <w:rFonts w:hint="eastAsia" w:ascii="仿宋_GB2312" w:hAnsi="仿宋_GB2312" w:eastAsia="仿宋_GB2312" w:cs="仿宋_GB2312"/>
          <w:color w:val="000000" w:themeColor="text1"/>
          <w:sz w:val="32"/>
          <w:szCs w:val="32"/>
          <w:lang w:eastAsia="zh-CN"/>
          <w14:textFill>
            <w14:solidFill>
              <w14:schemeClr w14:val="tx1"/>
            </w14:solidFill>
          </w14:textFill>
        </w:rPr>
        <w:t>储备粮数量</w:t>
      </w:r>
      <w:r>
        <w:rPr>
          <w:rFonts w:hint="eastAsia" w:ascii="仿宋_GB2312" w:hAnsi="仿宋_GB2312" w:eastAsia="仿宋_GB2312" w:cs="仿宋_GB2312"/>
          <w:color w:val="000000" w:themeColor="text1"/>
          <w:sz w:val="32"/>
          <w:szCs w:val="32"/>
          <w14:textFill>
            <w14:solidFill>
              <w14:schemeClr w14:val="tx1"/>
            </w14:solidFill>
          </w14:textFill>
        </w:rPr>
        <w:t>，指标值：</w:t>
      </w:r>
      <w:r>
        <w:rPr>
          <w:rFonts w:hint="eastAsia" w:ascii="仿宋_GB2312" w:hAnsi="仿宋_GB2312" w:cs="仿宋_GB2312"/>
          <w:color w:val="000000" w:themeColor="text1"/>
          <w:sz w:val="32"/>
          <w:szCs w:val="32"/>
          <w:lang w:val="en-US" w:eastAsia="zh-CN"/>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0.44万吨</w:t>
      </w:r>
      <w:r>
        <w:rPr>
          <w:rFonts w:hint="eastAsia" w:ascii="仿宋_GB2312" w:hAnsi="仿宋_GB2312" w:eastAsia="仿宋_GB2312" w:cs="仿宋_GB2312"/>
          <w:color w:val="000000" w:themeColor="text1"/>
          <w:sz w:val="32"/>
          <w:szCs w:val="32"/>
          <w14:textFill>
            <w14:solidFill>
              <w14:schemeClr w14:val="tx1"/>
            </w14:solidFill>
          </w14:textFill>
        </w:rPr>
        <w:t>，实际完成值</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0.44万吨</w:t>
      </w:r>
      <w:r>
        <w:rPr>
          <w:rFonts w:hint="eastAsia" w:ascii="仿宋_GB2312" w:hAnsi="仿宋_GB2312" w:eastAsia="仿宋_GB2312" w:cs="仿宋_GB2312"/>
          <w:color w:val="000000" w:themeColor="text1"/>
          <w:sz w:val="32"/>
          <w:szCs w:val="32"/>
          <w14:textFill>
            <w14:solidFill>
              <w14:schemeClr w14:val="tx1"/>
            </w14:solidFill>
          </w14:textFill>
        </w:rPr>
        <w:t>，指标完成率</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100</w:t>
      </w:r>
      <w:r>
        <w:rPr>
          <w:rFonts w:hint="eastAsia" w:ascii="仿宋_GB2312" w:hAnsi="仿宋_GB2312" w:eastAsia="仿宋_GB2312" w:cs="仿宋_GB2312"/>
          <w:color w:val="000000" w:themeColor="text1"/>
          <w:sz w:val="32"/>
          <w:szCs w:val="32"/>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lang w:eastAsia="zh-CN"/>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2、质量指标：指标1：县级地方储备粮油贷款利息补贴按一年期银行贷款基准利率确定，指标值：</w:t>
      </w:r>
      <w:r>
        <w:rPr>
          <w:rFonts w:hint="eastAsia" w:ascii="仿宋_GB2312" w:hAnsi="仿宋_GB2312" w:cs="仿宋_GB2312"/>
          <w:color w:val="000000" w:themeColor="text1"/>
          <w:sz w:val="32"/>
          <w:szCs w:val="32"/>
          <w:lang w:val="en-US" w:eastAsia="zh-CN"/>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100%</w:t>
      </w:r>
      <w:r>
        <w:rPr>
          <w:rFonts w:hint="eastAsia" w:ascii="仿宋_GB2312" w:hAnsi="仿宋_GB2312" w:eastAsia="仿宋_GB2312" w:cs="仿宋_GB2312"/>
          <w:color w:val="000000" w:themeColor="text1"/>
          <w:sz w:val="32"/>
          <w:szCs w:val="32"/>
          <w14:textFill>
            <w14:solidFill>
              <w14:schemeClr w14:val="tx1"/>
            </w14:solidFill>
          </w14:textFill>
        </w:rPr>
        <w:t xml:space="preserve"> ，实际完成值</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100%</w:t>
      </w:r>
      <w:r>
        <w:rPr>
          <w:rFonts w:hint="eastAsia" w:ascii="仿宋_GB2312" w:hAnsi="仿宋_GB2312" w:eastAsia="仿宋_GB2312" w:cs="仿宋_GB2312"/>
          <w:color w:val="000000" w:themeColor="text1"/>
          <w:sz w:val="32"/>
          <w:szCs w:val="32"/>
          <w14:textFill>
            <w14:solidFill>
              <w14:schemeClr w14:val="tx1"/>
            </w14:solidFill>
          </w14:textFill>
        </w:rPr>
        <w:t xml:space="preserve"> ，指标完成率</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100</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eastAsia="zh-CN"/>
          <w14:textFill>
            <w14:solidFill>
              <w14:schemeClr w14:val="tx1"/>
            </w14:solidFill>
          </w14:textFill>
        </w:rPr>
        <w:t>；</w:t>
      </w:r>
      <w:r>
        <w:rPr>
          <w:rFonts w:hint="eastAsia" w:ascii="仿宋_GB2312" w:hAnsi="仿宋_GB2312" w:eastAsia="仿宋_GB2312" w:cs="仿宋_GB2312"/>
          <w:color w:val="000000" w:themeColor="text1"/>
          <w:sz w:val="32"/>
          <w:szCs w:val="32"/>
          <w14:textFill>
            <w14:solidFill>
              <w14:schemeClr w14:val="tx1"/>
            </w14:solidFill>
          </w14:textFill>
        </w:rPr>
        <w:t>指标2：县级地方储备粮油保管费用补贴按文件规定标准确定 ，指标值：</w:t>
      </w:r>
      <w:r>
        <w:rPr>
          <w:rFonts w:hint="eastAsia" w:ascii="仿宋_GB2312" w:hAnsi="仿宋_GB2312" w:cs="仿宋_GB2312"/>
          <w:color w:val="000000" w:themeColor="text1"/>
          <w:sz w:val="32"/>
          <w:szCs w:val="32"/>
          <w:lang w:val="en-US" w:eastAsia="zh-CN"/>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100%</w:t>
      </w:r>
      <w:r>
        <w:rPr>
          <w:rFonts w:hint="eastAsia" w:ascii="仿宋_GB2312" w:hAnsi="仿宋_GB2312" w:eastAsia="仿宋_GB2312" w:cs="仿宋_GB2312"/>
          <w:color w:val="000000" w:themeColor="text1"/>
          <w:sz w:val="32"/>
          <w:szCs w:val="32"/>
          <w14:textFill>
            <w14:solidFill>
              <w14:schemeClr w14:val="tx1"/>
            </w14:solidFill>
          </w14:textFill>
        </w:rPr>
        <w:t>，实际完成值</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100%</w:t>
      </w:r>
      <w:r>
        <w:rPr>
          <w:rFonts w:hint="eastAsia" w:ascii="仿宋_GB2312" w:hAnsi="仿宋_GB2312" w:eastAsia="仿宋_GB2312" w:cs="仿宋_GB2312"/>
          <w:color w:val="000000" w:themeColor="text1"/>
          <w:sz w:val="32"/>
          <w:szCs w:val="32"/>
          <w14:textFill>
            <w14:solidFill>
              <w14:schemeClr w14:val="tx1"/>
            </w14:solidFill>
          </w14:textFill>
        </w:rPr>
        <w:t>，指标完成率</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100</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eastAsia="zh-CN"/>
          <w14:textFill>
            <w14:solidFill>
              <w14:schemeClr w14:val="tx1"/>
            </w14:solidFill>
          </w14:textFill>
        </w:rPr>
        <w:t>；</w:t>
      </w:r>
      <w:r>
        <w:rPr>
          <w:rFonts w:hint="eastAsia" w:ascii="仿宋_GB2312" w:hAnsi="仿宋_GB2312" w:eastAsia="仿宋_GB2312" w:cs="仿宋_GB2312"/>
          <w:color w:val="000000" w:themeColor="text1"/>
          <w:sz w:val="32"/>
          <w:szCs w:val="32"/>
          <w14:textFill>
            <w14:solidFill>
              <w14:schemeClr w14:val="tx1"/>
            </w14:solidFill>
          </w14:textFill>
        </w:rPr>
        <w:t>指标</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3</w:t>
      </w:r>
      <w:r>
        <w:rPr>
          <w:rFonts w:hint="eastAsia" w:ascii="仿宋_GB2312" w:hAnsi="仿宋_GB2312" w:eastAsia="仿宋_GB2312" w:cs="仿宋_GB2312"/>
          <w:color w:val="000000" w:themeColor="text1"/>
          <w:sz w:val="32"/>
          <w:szCs w:val="32"/>
          <w14:textFill>
            <w14:solidFill>
              <w14:schemeClr w14:val="tx1"/>
            </w14:solidFill>
          </w14:textFill>
        </w:rPr>
        <w:t>：符合国标中等（含中等，三等）以上质量标准和国家规定的安全水分要求，气味、气味正常，指标值：</w:t>
      </w:r>
      <w:r>
        <w:rPr>
          <w:rFonts w:hint="eastAsia" w:ascii="仿宋_GB2312" w:hAnsi="仿宋_GB2312" w:cs="仿宋_GB2312"/>
          <w:color w:val="000000" w:themeColor="text1"/>
          <w:sz w:val="32"/>
          <w:szCs w:val="32"/>
          <w:lang w:val="en-US" w:eastAsia="zh-CN"/>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100%</w:t>
      </w:r>
      <w:r>
        <w:rPr>
          <w:rFonts w:hint="eastAsia" w:ascii="仿宋_GB2312" w:hAnsi="仿宋_GB2312" w:eastAsia="仿宋_GB2312" w:cs="仿宋_GB2312"/>
          <w:color w:val="000000" w:themeColor="text1"/>
          <w:sz w:val="32"/>
          <w:szCs w:val="32"/>
          <w14:textFill>
            <w14:solidFill>
              <w14:schemeClr w14:val="tx1"/>
            </w14:solidFill>
          </w14:textFill>
        </w:rPr>
        <w:t>，实际完成值</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100%</w:t>
      </w:r>
      <w:r>
        <w:rPr>
          <w:rFonts w:hint="eastAsia" w:ascii="仿宋_GB2312" w:hAnsi="仿宋_GB2312" w:eastAsia="仿宋_GB2312" w:cs="仿宋_GB2312"/>
          <w:color w:val="000000" w:themeColor="text1"/>
          <w:sz w:val="32"/>
          <w:szCs w:val="32"/>
          <w14:textFill>
            <w14:solidFill>
              <w14:schemeClr w14:val="tx1"/>
            </w14:solidFill>
          </w14:textFill>
        </w:rPr>
        <w:t>，指标完成率</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100</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3、时效指标：</w:t>
      </w:r>
      <w:r>
        <w:rPr>
          <w:rFonts w:hint="eastAsia" w:ascii="仿宋_GB2312" w:hAnsi="仿宋_GB2312" w:cs="仿宋_GB2312"/>
          <w:color w:val="000000" w:themeColor="text1"/>
          <w:sz w:val="32"/>
          <w:szCs w:val="32"/>
          <w:lang w:val="en-US" w:eastAsia="zh-CN"/>
          <w14:textFill>
            <w14:solidFill>
              <w14:schemeClr w14:val="tx1"/>
            </w14:solidFill>
          </w14:textFill>
        </w:rPr>
        <w:t>指标1：</w:t>
      </w:r>
      <w:r>
        <w:rPr>
          <w:rFonts w:hint="eastAsia" w:ascii="仿宋_GB2312" w:hAnsi="仿宋_GB2312" w:eastAsia="仿宋_GB2312" w:cs="仿宋_GB2312"/>
          <w:color w:val="000000" w:themeColor="text1"/>
          <w:sz w:val="32"/>
          <w:szCs w:val="32"/>
          <w:lang w:eastAsia="zh-CN"/>
          <w14:textFill>
            <w14:solidFill>
              <w14:schemeClr w14:val="tx1"/>
            </w14:solidFill>
          </w14:textFill>
        </w:rPr>
        <w:t>储备粮储备时间</w:t>
      </w:r>
      <w:r>
        <w:rPr>
          <w:rFonts w:hint="eastAsia" w:ascii="仿宋_GB2312" w:hAnsi="仿宋_GB2312" w:cs="仿宋_GB2312"/>
          <w:color w:val="000000" w:themeColor="text1"/>
          <w:sz w:val="32"/>
          <w:szCs w:val="32"/>
          <w:lang w:eastAsia="zh-CN"/>
          <w14:textFill>
            <w14:solidFill>
              <w14:schemeClr w14:val="tx1"/>
            </w14:solidFill>
          </w14:textFill>
        </w:rPr>
        <w:t>，</w:t>
      </w:r>
      <w:r>
        <w:rPr>
          <w:rFonts w:hint="eastAsia" w:ascii="仿宋_GB2312" w:hAnsi="仿宋_GB2312" w:cs="仿宋_GB2312"/>
          <w:color w:val="000000" w:themeColor="text1"/>
          <w:sz w:val="32"/>
          <w:szCs w:val="32"/>
          <w:lang w:val="en-US" w:eastAsia="zh-CN"/>
          <w14:textFill>
            <w14:solidFill>
              <w14:schemeClr w14:val="tx1"/>
            </w14:solidFill>
          </w14:textFill>
        </w:rPr>
        <w:t>指标值：</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5年</w:t>
      </w:r>
      <w:r>
        <w:rPr>
          <w:rFonts w:hint="eastAsia" w:ascii="仿宋_GB2312" w:hAnsi="仿宋_GB2312" w:cs="仿宋_GB2312"/>
          <w:color w:val="000000" w:themeColor="text1"/>
          <w:sz w:val="32"/>
          <w:szCs w:val="32"/>
          <w:lang w:val="en-US" w:eastAsia="zh-CN"/>
          <w14:textFill>
            <w14:solidFill>
              <w14:schemeClr w14:val="tx1"/>
            </w14:solidFill>
          </w14:textFill>
        </w:rPr>
        <w:t>，实际完成值：5年，指标完成率：100%；</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4、成本指标</w:t>
      </w:r>
      <w:r>
        <w:rPr>
          <w:rFonts w:hint="eastAsia" w:ascii="仿宋_GB2312" w:hAnsi="仿宋_GB2312" w:eastAsia="仿宋_GB2312" w:cs="仿宋_GB2312"/>
          <w:color w:val="000000" w:themeColor="text1"/>
          <w:sz w:val="32"/>
          <w:szCs w:val="32"/>
          <w:lang w:eastAsia="zh-CN"/>
          <w14:textFill>
            <w14:solidFill>
              <w14:schemeClr w14:val="tx1"/>
            </w14:solidFill>
          </w14:textFill>
        </w:rPr>
        <w:t>：</w:t>
      </w:r>
      <w:r>
        <w:rPr>
          <w:rFonts w:hint="eastAsia" w:ascii="仿宋_GB2312" w:hAnsi="仿宋_GB2312" w:cs="仿宋_GB2312"/>
          <w:color w:val="000000" w:themeColor="text1"/>
          <w:sz w:val="32"/>
          <w:szCs w:val="32"/>
          <w:lang w:val="en-US" w:eastAsia="zh-CN"/>
          <w14:textFill>
            <w14:solidFill>
              <w14:schemeClr w14:val="tx1"/>
            </w14:solidFill>
          </w14:textFill>
        </w:rPr>
        <w:t>指标1：</w:t>
      </w:r>
      <w:r>
        <w:rPr>
          <w:rFonts w:hint="eastAsia" w:ascii="仿宋_GB2312" w:hAnsi="仿宋_GB2312" w:eastAsia="仿宋_GB2312" w:cs="仿宋_GB2312"/>
          <w:color w:val="000000" w:themeColor="text1"/>
          <w:sz w:val="32"/>
          <w:szCs w:val="32"/>
          <w:lang w:eastAsia="zh-CN"/>
          <w14:textFill>
            <w14:solidFill>
              <w14:schemeClr w14:val="tx1"/>
            </w14:solidFill>
          </w14:textFill>
        </w:rPr>
        <w:t>储备粮保管费用补贴</w:t>
      </w:r>
      <w:r>
        <w:rPr>
          <w:rFonts w:hint="eastAsia" w:ascii="仿宋_GB2312" w:hAnsi="仿宋_GB2312" w:cs="仿宋_GB2312"/>
          <w:color w:val="000000" w:themeColor="text1"/>
          <w:sz w:val="32"/>
          <w:szCs w:val="32"/>
          <w:lang w:val="en-US" w:eastAsia="zh-CN"/>
          <w14:textFill>
            <w14:solidFill>
              <w14:schemeClr w14:val="tx1"/>
            </w14:solidFill>
          </w14:textFill>
        </w:rPr>
        <w:t>指标值：=</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44万元，</w:t>
      </w:r>
      <w:r>
        <w:rPr>
          <w:rFonts w:hint="eastAsia" w:ascii="仿宋_GB2312" w:hAnsi="仿宋_GB2312" w:cs="仿宋_GB2312"/>
          <w:color w:val="000000" w:themeColor="text1"/>
          <w:sz w:val="32"/>
          <w:szCs w:val="32"/>
          <w:lang w:val="en-US" w:eastAsia="zh-CN"/>
          <w14:textFill>
            <w14:solidFill>
              <w14:schemeClr w14:val="tx1"/>
            </w14:solidFill>
          </w14:textFill>
        </w:rPr>
        <w:t>实际完成值：36.67万元，指标完成率：83.34%。偏差原因及改进措施：1、一年预算保管用补贴44万元，2021年8月地方储粮建储，应支付8-12月保管费用175084.12元，已支付8-10月保管费用补贴101750.78元。2、余26.49万元为多作预算。3、积极申请剩余补贴。指标2：</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储备粮贷款利息补贴</w:t>
      </w:r>
      <w:r>
        <w:rPr>
          <w:rFonts w:hint="eastAsia" w:ascii="仿宋_GB2312" w:hAnsi="仿宋_GB2312" w:cs="仿宋_GB2312"/>
          <w:color w:val="000000" w:themeColor="text1"/>
          <w:sz w:val="32"/>
          <w:szCs w:val="32"/>
          <w:lang w:val="en-US" w:eastAsia="zh-CN"/>
          <w14:textFill>
            <w14:solidFill>
              <w14:schemeClr w14:val="tx1"/>
            </w14:solidFill>
          </w14:textFill>
        </w:rPr>
        <w:t>，指标值=</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41.33万元</w:t>
      </w:r>
      <w:r>
        <w:rPr>
          <w:rFonts w:hint="eastAsia" w:ascii="仿宋_GB2312" w:hAnsi="仿宋_GB2312" w:cs="仿宋_GB2312"/>
          <w:color w:val="000000" w:themeColor="text1"/>
          <w:sz w:val="32"/>
          <w:szCs w:val="32"/>
          <w:lang w:val="en-US" w:eastAsia="zh-CN"/>
          <w14:textFill>
            <w14:solidFill>
              <w14:schemeClr w14:val="tx1"/>
            </w14:solidFill>
          </w14:textFill>
        </w:rPr>
        <w:t>，实际完成值：33.95万元，指标完成率：82.14%偏差原因及改进措施：1、一年预算利息补贴41.33万元，利息自2021年8月发放贷款计算，应支付利息8-12月利息费用178289.10元，实际已支付8-10月104534.22元。2、余23.50万元为多作预算。3、积极申请剩余补贴。</w:t>
      </w:r>
    </w:p>
    <w:p>
      <w:pPr>
        <w:pStyle w:val="6"/>
        <w:keepNext w:val="0"/>
        <w:keepLines w:val="0"/>
        <w:pageBreakBefore w:val="0"/>
        <w:widowControl w:val="0"/>
        <w:kinsoku/>
        <w:wordWrap/>
        <w:overflowPunct/>
        <w:topLinePunct w:val="0"/>
        <w:autoSpaceDE/>
        <w:autoSpaceDN/>
        <w:bidi w:val="0"/>
        <w:adjustRightInd/>
        <w:snapToGrid/>
        <w:spacing w:before="0" w:after="0" w:line="560" w:lineRule="exact"/>
        <w:textAlignment w:val="auto"/>
        <w:rPr>
          <w:rFonts w:hint="eastAsia" w:ascii="仿宋_GB2312" w:hAnsi="仿宋_GB2312" w:eastAsia="仿宋_GB2312" w:cs="仿宋_GB2312"/>
          <w:b w:val="0"/>
          <w:bCs w:val="0"/>
          <w:sz w:val="32"/>
          <w:szCs w:val="32"/>
        </w:rPr>
      </w:pPr>
      <w:bookmarkStart w:id="15" w:name="_Toc68703841"/>
      <w:r>
        <w:rPr>
          <w:rFonts w:hint="eastAsia" w:ascii="仿宋_GB2312" w:hAnsi="仿宋_GB2312" w:eastAsia="仿宋_GB2312" w:cs="仿宋_GB2312"/>
          <w:b w:val="0"/>
          <w:bCs w:val="0"/>
          <w:sz w:val="32"/>
          <w:szCs w:val="32"/>
        </w:rPr>
        <w:t>（四）项目效益情况。</w:t>
      </w:r>
      <w:bookmarkEnd w:id="15"/>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1、经济效益指标：</w:t>
      </w:r>
      <w:r>
        <w:rPr>
          <w:rFonts w:hint="eastAsia" w:ascii="仿宋_GB2312" w:hAnsi="仿宋_GB2312" w:cs="仿宋_GB2312"/>
          <w:color w:val="000000" w:themeColor="text1"/>
          <w:sz w:val="32"/>
          <w:szCs w:val="32"/>
          <w:lang w:val="en-US" w:eastAsia="zh-CN"/>
          <w14:textFill>
            <w14:solidFill>
              <w14:schemeClr w14:val="tx1"/>
            </w14:solidFill>
          </w14:textFill>
        </w:rPr>
        <w:t>指标1：粮油市场价格指标值：促进平稳，实际完成值：促进平稳，指标完成率：100%；</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2、社会效益指标：</w:t>
      </w:r>
      <w:r>
        <w:rPr>
          <w:rFonts w:hint="eastAsia" w:ascii="仿宋_GB2312" w:hAnsi="仿宋_GB2312" w:cs="仿宋_GB2312"/>
          <w:color w:val="000000" w:themeColor="text1"/>
          <w:sz w:val="32"/>
          <w:szCs w:val="32"/>
          <w:lang w:val="en-US" w:eastAsia="zh-CN"/>
          <w14:textFill>
            <w14:solidFill>
              <w14:schemeClr w14:val="tx1"/>
            </w14:solidFill>
          </w14:textFill>
        </w:rPr>
        <w:t>指标1：</w:t>
      </w:r>
      <w:r>
        <w:rPr>
          <w:rFonts w:hint="eastAsia" w:ascii="仿宋_GB2312" w:hAnsi="仿宋_GB2312" w:eastAsia="仿宋_GB2312" w:cs="仿宋_GB2312"/>
          <w:color w:val="000000" w:themeColor="text1"/>
          <w:sz w:val="32"/>
          <w:szCs w:val="32"/>
          <w:lang w:eastAsia="zh-CN"/>
          <w14:textFill>
            <w14:solidFill>
              <w14:schemeClr w14:val="tx1"/>
            </w14:solidFill>
          </w14:textFill>
        </w:rPr>
        <w:t>保障区域粮食安全</w:t>
      </w:r>
      <w:r>
        <w:rPr>
          <w:rFonts w:hint="eastAsia" w:ascii="仿宋_GB2312" w:hAnsi="仿宋_GB2312" w:cs="仿宋_GB2312"/>
          <w:color w:val="000000" w:themeColor="text1"/>
          <w:sz w:val="32"/>
          <w:szCs w:val="32"/>
          <w:lang w:val="en-US" w:eastAsia="zh-CN"/>
          <w14:textFill>
            <w14:solidFill>
              <w14:schemeClr w14:val="tx1"/>
            </w14:solidFill>
          </w14:textFill>
        </w:rPr>
        <w:t>指标值：发挥积极作用，实际完成值：发挥积极作用，指标完成率：100%。</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4、可持续影响指标：</w:t>
      </w:r>
      <w:r>
        <w:rPr>
          <w:rFonts w:hint="eastAsia" w:ascii="仿宋_GB2312" w:hAnsi="仿宋_GB2312" w:cs="仿宋_GB2312"/>
          <w:color w:val="000000" w:themeColor="text1"/>
          <w:sz w:val="32"/>
          <w:szCs w:val="32"/>
          <w:lang w:val="en-US" w:eastAsia="zh-CN"/>
          <w14:textFill>
            <w14:solidFill>
              <w14:schemeClr w14:val="tx1"/>
            </w14:solidFill>
          </w14:textFill>
        </w:rPr>
        <w:t>指标1：</w:t>
      </w:r>
      <w:r>
        <w:rPr>
          <w:rFonts w:hint="eastAsia" w:ascii="仿宋_GB2312" w:hAnsi="仿宋_GB2312" w:eastAsia="仿宋_GB2312" w:cs="仿宋_GB2312"/>
          <w:color w:val="000000" w:themeColor="text1"/>
          <w:sz w:val="32"/>
          <w:szCs w:val="32"/>
          <w:lang w:eastAsia="zh-CN"/>
          <w14:textFill>
            <w14:solidFill>
              <w14:schemeClr w14:val="tx1"/>
            </w14:solidFill>
          </w14:textFill>
        </w:rPr>
        <w:t>粮食安全</w:t>
      </w:r>
      <w:r>
        <w:rPr>
          <w:rFonts w:hint="eastAsia" w:ascii="仿宋_GB2312" w:hAnsi="仿宋_GB2312" w:cs="仿宋_GB2312"/>
          <w:color w:val="000000" w:themeColor="text1"/>
          <w:sz w:val="32"/>
          <w:szCs w:val="32"/>
          <w:lang w:val="en-US" w:eastAsia="zh-CN"/>
          <w14:textFill>
            <w14:solidFill>
              <w14:schemeClr w14:val="tx1"/>
            </w14:solidFill>
          </w14:textFill>
        </w:rPr>
        <w:t>，指标值：有效确保，实际完成值：有效确保，指标完成率：100%；</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5、满意度指标：</w:t>
      </w:r>
      <w:r>
        <w:rPr>
          <w:rFonts w:hint="eastAsia" w:ascii="仿宋_GB2312" w:hAnsi="仿宋_GB2312" w:cs="仿宋_GB2312"/>
          <w:color w:val="000000" w:themeColor="text1"/>
          <w:sz w:val="32"/>
          <w:szCs w:val="32"/>
          <w:lang w:val="en-US" w:eastAsia="zh-CN"/>
          <w14:textFill>
            <w14:solidFill>
              <w14:schemeClr w14:val="tx1"/>
            </w14:solidFill>
          </w14:textFill>
        </w:rPr>
        <w:t>指标1:</w:t>
      </w:r>
      <w:r>
        <w:rPr>
          <w:rFonts w:hint="eastAsia" w:ascii="仿宋_GB2312" w:hAnsi="仿宋_GB2312" w:eastAsia="仿宋_GB2312" w:cs="仿宋_GB2312"/>
          <w:color w:val="000000" w:themeColor="text1"/>
          <w:sz w:val="32"/>
          <w:szCs w:val="32"/>
          <w:lang w:eastAsia="zh-CN"/>
          <w14:textFill>
            <w14:solidFill>
              <w14:schemeClr w14:val="tx1"/>
            </w14:solidFill>
          </w14:textFill>
        </w:rPr>
        <w:t>承储企业满意度</w:t>
      </w:r>
      <w:bookmarkStart w:id="16" w:name="_Toc68703842"/>
      <w:r>
        <w:rPr>
          <w:rFonts w:hint="eastAsia" w:ascii="仿宋_GB2312" w:hAnsi="仿宋_GB2312" w:cs="仿宋_GB2312"/>
          <w:color w:val="000000" w:themeColor="text1"/>
          <w:sz w:val="32"/>
          <w:szCs w:val="32"/>
          <w:lang w:val="en-US" w:eastAsia="zh-CN"/>
          <w14:textFill>
            <w14:solidFill>
              <w14:schemeClr w14:val="tx1"/>
            </w14:solidFill>
          </w14:textFill>
        </w:rPr>
        <w:t>指标值：≥95%，实际完成值：95%，指标完成率：100%。</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五、主要经验及做法、存在的问题及原因分析</w:t>
      </w:r>
      <w:bookmarkEnd w:id="16"/>
    </w:p>
    <w:p>
      <w:pPr>
        <w:pStyle w:val="6"/>
        <w:keepNext w:val="0"/>
        <w:keepLines w:val="0"/>
        <w:pageBreakBefore w:val="0"/>
        <w:widowControl w:val="0"/>
        <w:kinsoku/>
        <w:wordWrap/>
        <w:overflowPunct/>
        <w:topLinePunct w:val="0"/>
        <w:autoSpaceDE/>
        <w:autoSpaceDN/>
        <w:bidi w:val="0"/>
        <w:adjustRightInd/>
        <w:snapToGrid/>
        <w:spacing w:before="0" w:after="0" w:line="560" w:lineRule="exact"/>
        <w:textAlignment w:val="auto"/>
        <w:rPr>
          <w:rFonts w:hint="eastAsia" w:ascii="仿宋_GB2312" w:hAnsi="仿宋_GB2312" w:eastAsia="仿宋_GB2312" w:cs="仿宋_GB2312"/>
          <w:b w:val="0"/>
          <w:bCs w:val="0"/>
          <w:sz w:val="32"/>
          <w:szCs w:val="32"/>
        </w:rPr>
      </w:pPr>
      <w:bookmarkStart w:id="17" w:name="_Toc68703843"/>
      <w:r>
        <w:rPr>
          <w:rFonts w:hint="eastAsia" w:ascii="仿宋_GB2312" w:hAnsi="仿宋_GB2312" w:eastAsia="仿宋_GB2312" w:cs="仿宋_GB2312"/>
          <w:b w:val="0"/>
          <w:bCs w:val="0"/>
          <w:sz w:val="32"/>
          <w:szCs w:val="32"/>
        </w:rPr>
        <w:t>（一）主要经验及做法</w:t>
      </w:r>
      <w:bookmarkEnd w:id="17"/>
    </w:p>
    <w:p>
      <w:pPr>
        <w:spacing w:line="360" w:lineRule="auto"/>
        <w:ind w:firstLine="600" w:firstLineChars="200"/>
        <w:rPr>
          <w:rFonts w:hint="eastAsia" w:ascii="仿宋_GB2312" w:hAnsi="Times New Roman" w:cs="Times New Roman"/>
          <w:b w:val="0"/>
          <w:bCs w:val="0"/>
          <w:color w:val="auto"/>
          <w:kern w:val="2"/>
          <w:sz w:val="30"/>
          <w:szCs w:val="24"/>
          <w:lang w:val="en-US" w:eastAsia="zh-CN" w:bidi="ar-SA"/>
        </w:rPr>
      </w:pPr>
      <w:r>
        <w:rPr>
          <w:rFonts w:hint="eastAsia" w:ascii="仿宋_GB2312" w:hAnsi="Times New Roman" w:cs="Times New Roman"/>
          <w:b w:val="0"/>
          <w:bCs w:val="0"/>
          <w:color w:val="auto"/>
          <w:kern w:val="2"/>
          <w:sz w:val="30"/>
          <w:szCs w:val="24"/>
          <w:lang w:val="en-US" w:eastAsia="zh-CN" w:bidi="ar-SA"/>
        </w:rPr>
        <w:t>我单位</w:t>
      </w:r>
      <w:r>
        <w:rPr>
          <w:rFonts w:hint="eastAsia" w:ascii="仿宋_GB2312" w:hAnsi="Times New Roman" w:eastAsia="仿宋_GB2312" w:cs="Times New Roman"/>
          <w:b w:val="0"/>
          <w:bCs w:val="0"/>
          <w:color w:val="auto"/>
          <w:kern w:val="2"/>
          <w:sz w:val="30"/>
          <w:szCs w:val="24"/>
          <w:lang w:val="en-US" w:eastAsia="zh-CN" w:bidi="ar-SA"/>
        </w:rPr>
        <w:t>主动核实绩效考核指标进度，深入剖析任务指标落后和工作进度缓慢的原因，勇于揭短亮丑，查摆问题，进一步明确思路，分类施策。明确要求对已经超额或全面完成任务的指标，进一步挖掘潜力，保持优势</w:t>
      </w:r>
      <w:r>
        <w:rPr>
          <w:rFonts w:hint="eastAsia" w:ascii="仿宋_GB2312" w:hAnsi="Times New Roman" w:cs="Times New Roman"/>
          <w:b w:val="0"/>
          <w:bCs w:val="0"/>
          <w:color w:val="auto"/>
          <w:kern w:val="2"/>
          <w:sz w:val="30"/>
          <w:szCs w:val="24"/>
          <w:lang w:val="en-US" w:eastAsia="zh-CN" w:bidi="ar-SA"/>
        </w:rPr>
        <w:t>。</w:t>
      </w:r>
    </w:p>
    <w:p>
      <w:pPr>
        <w:pStyle w:val="2"/>
        <w:rPr>
          <w:rFonts w:hint="eastAsia"/>
        </w:rPr>
      </w:pPr>
    </w:p>
    <w:p>
      <w:pPr>
        <w:pStyle w:val="6"/>
        <w:keepNext w:val="0"/>
        <w:keepLines w:val="0"/>
        <w:pageBreakBefore w:val="0"/>
        <w:widowControl w:val="0"/>
        <w:kinsoku/>
        <w:wordWrap/>
        <w:overflowPunct/>
        <w:topLinePunct w:val="0"/>
        <w:autoSpaceDE/>
        <w:autoSpaceDN/>
        <w:bidi w:val="0"/>
        <w:adjustRightInd/>
        <w:snapToGrid/>
        <w:spacing w:before="0" w:after="0" w:line="560" w:lineRule="exact"/>
        <w:textAlignment w:val="auto"/>
        <w:rPr>
          <w:rFonts w:hint="eastAsia" w:ascii="仿宋_GB2312" w:hAnsi="仿宋_GB2312" w:eastAsia="仿宋_GB2312" w:cs="仿宋_GB2312"/>
          <w:b w:val="0"/>
          <w:bCs w:val="0"/>
          <w:sz w:val="32"/>
          <w:szCs w:val="32"/>
        </w:rPr>
      </w:pPr>
      <w:bookmarkStart w:id="18" w:name="_Toc68703844"/>
      <w:r>
        <w:rPr>
          <w:rFonts w:hint="eastAsia" w:ascii="仿宋_GB2312" w:hAnsi="仿宋_GB2312" w:eastAsia="仿宋_GB2312" w:cs="仿宋_GB2312"/>
          <w:b w:val="0"/>
          <w:bCs w:val="0"/>
          <w:sz w:val="32"/>
          <w:szCs w:val="32"/>
        </w:rPr>
        <w:t>（二）存在的问题及原因分析</w:t>
      </w:r>
      <w:bookmarkEnd w:id="18"/>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cs="仿宋_GB2312"/>
          <w:color w:val="000000" w:themeColor="text1"/>
          <w:sz w:val="32"/>
          <w:szCs w:val="32"/>
          <w:lang w:val="en-US" w:eastAsia="zh-CN"/>
          <w14:textFill>
            <w14:solidFill>
              <w14:schemeClr w14:val="tx1"/>
            </w14:solidFill>
          </w14:textFill>
        </w:rPr>
        <w:t>我单位</w:t>
      </w:r>
      <w:r>
        <w:rPr>
          <w:rFonts w:hint="eastAsia" w:ascii="仿宋_GB2312" w:hAnsi="仿宋_GB2312" w:eastAsia="仿宋_GB2312" w:cs="仿宋_GB2312"/>
          <w:color w:val="000000" w:themeColor="text1"/>
          <w:sz w:val="32"/>
          <w:szCs w:val="32"/>
          <w14:textFill>
            <w14:solidFill>
              <w14:schemeClr w14:val="tx1"/>
            </w14:solidFill>
          </w14:textFill>
        </w:rPr>
        <w:t>绩效指标产生偏差的原因</w:t>
      </w:r>
      <w:bookmarkStart w:id="19" w:name="_Toc68703845"/>
      <w:r>
        <w:rPr>
          <w:rFonts w:hint="eastAsia" w:ascii="仿宋_GB2312" w:hAnsi="仿宋_GB2312" w:cs="仿宋_GB2312"/>
          <w:color w:val="000000" w:themeColor="text1"/>
          <w:sz w:val="32"/>
          <w:szCs w:val="32"/>
          <w:lang w:eastAsia="zh-CN"/>
          <w14:textFill>
            <w14:solidFill>
              <w14:schemeClr w14:val="tx1"/>
            </w14:solidFill>
          </w14:textFill>
        </w:rPr>
        <w:t>：</w:t>
      </w:r>
      <w:r>
        <w:rPr>
          <w:rFonts w:hint="eastAsia" w:ascii="仿宋_GB2312" w:hAnsi="仿宋_GB2312" w:eastAsia="仿宋_GB2312" w:cs="仿宋_GB2312"/>
          <w:color w:val="000000" w:themeColor="text1"/>
          <w:sz w:val="32"/>
          <w:szCs w:val="32"/>
          <w14:textFill>
            <w14:solidFill>
              <w14:schemeClr w14:val="tx1"/>
            </w14:solidFill>
          </w14:textFill>
        </w:rPr>
        <w:t>储备粮保管费用补贴</w:t>
      </w:r>
      <w:r>
        <w:rPr>
          <w:rFonts w:hint="eastAsia" w:ascii="仿宋_GB2312" w:hAnsi="仿宋_GB2312" w:eastAsia="仿宋_GB2312" w:cs="仿宋_GB2312"/>
          <w:color w:val="000000" w:themeColor="text1"/>
          <w:sz w:val="32"/>
          <w:szCs w:val="32"/>
          <w:lang w:eastAsia="zh-CN"/>
          <w14:textFill>
            <w14:solidFill>
              <w14:schemeClr w14:val="tx1"/>
            </w14:solidFill>
          </w14:textFill>
        </w:rPr>
        <w:t>：一年预算保管用补贴44万元，2021年8月地方储粮建储，应支付8-12月保管费用175084.12元，已支付8-10月保管费用补贴101750.78元，余26.49万元为多作预算。</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储备粮贷款利息补贴：一年预算利息补贴41.33万元，利息自2021年8月发放贷款计算，应支付利息8-12月利息费用178289.10元，实际已支付8-10月104534.22元，余23.50万元为多作预算。</w:t>
      </w:r>
    </w:p>
    <w:p>
      <w:pPr>
        <w:pStyle w:val="2"/>
        <w:rPr>
          <w:rFonts w:hint="eastAsia"/>
          <w:lang w:val="en-US" w:eastAsia="zh-CN"/>
        </w:rPr>
      </w:pP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有关建议</w:t>
      </w:r>
      <w:bookmarkEnd w:id="19"/>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color w:val="000000" w:themeColor="text1"/>
          <w:sz w:val="32"/>
          <w:szCs w:val="32"/>
          <w:lang w:val="en-US" w:eastAsia="zh-CN"/>
          <w14:textFill>
            <w14:solidFill>
              <w14:schemeClr w14:val="tx1"/>
            </w14:solidFill>
          </w14:textFill>
        </w:rPr>
      </w:pPr>
      <w:bookmarkStart w:id="21" w:name="_GoBack"/>
      <w:bookmarkStart w:id="20" w:name="_Toc68703846"/>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希望上级单位加大对项目绩效的培训力度，特别是主要领导，让其认识到项目绩效的重要性，提高认识；提高责任意识，在财政资金的使用过程中，相关人员应做到及时发现风险隐患并予以解决。</w:t>
      </w:r>
    </w:p>
    <w:bookmarkEnd w:id="21"/>
    <w:p>
      <w:pPr>
        <w:pStyle w:val="5"/>
        <w:keepNext w:val="0"/>
        <w:keepLines w:val="0"/>
        <w:pageBreakBefore w:val="0"/>
        <w:widowControl w:val="0"/>
        <w:kinsoku/>
        <w:wordWrap/>
        <w:overflowPunct/>
        <w:topLinePunct w:val="0"/>
        <w:autoSpaceDE/>
        <w:autoSpaceDN/>
        <w:bidi w:val="0"/>
        <w:adjustRightInd/>
        <w:snapToGrid/>
        <w:spacing w:before="0" w:after="0" w:line="560" w:lineRule="exact"/>
        <w:textAlignment w:val="auto"/>
        <w:rPr>
          <w:rFonts w:hint="eastAsia" w:ascii="仿宋_GB2312" w:hAnsi="仿宋_GB2312" w:eastAsia="仿宋_GB2312" w:cs="仿宋_GB2312"/>
          <w:sz w:val="32"/>
          <w:szCs w:val="32"/>
        </w:rPr>
      </w:pPr>
    </w:p>
    <w:p>
      <w:pPr>
        <w:pStyle w:val="5"/>
        <w:keepNext w:val="0"/>
        <w:keepLines w:val="0"/>
        <w:pageBreakBefore w:val="0"/>
        <w:widowControl w:val="0"/>
        <w:kinsoku/>
        <w:wordWrap/>
        <w:overflowPunct/>
        <w:topLinePunct w:val="0"/>
        <w:autoSpaceDE/>
        <w:autoSpaceDN/>
        <w:bidi w:val="0"/>
        <w:adjustRightInd/>
        <w:snapToGrid/>
        <w:spacing w:before="0" w:after="0"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七、其他需要说明的问题</w:t>
      </w:r>
      <w:bookmarkEnd w:id="20"/>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无</w:t>
      </w:r>
    </w:p>
    <w:sectPr>
      <w:pgSz w:w="11906" w:h="16838"/>
      <w:pgMar w:top="1928" w:right="1531" w:bottom="1701" w:left="1531" w:header="737" w:footer="851" w:gutter="0"/>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等线 Light">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62C685D"/>
    <w:multiLevelType w:val="singleLevel"/>
    <w:tmpl w:val="462C685D"/>
    <w:lvl w:ilvl="0" w:tentative="0">
      <w:start w:val="6"/>
      <w:numFmt w:val="chineseCounting"/>
      <w:suff w:val="nothing"/>
      <w:lvlText w:val="%1、"/>
      <w:lvlJc w:val="left"/>
      <w:rPr>
        <w:rFonts w:hint="eastAsia"/>
      </w:rPr>
    </w:lvl>
  </w:abstractNum>
  <w:abstractNum w:abstractNumId="1">
    <w:nsid w:val="5C695E7B"/>
    <w:multiLevelType w:val="singleLevel"/>
    <w:tmpl w:val="5C695E7B"/>
    <w:lvl w:ilvl="0" w:tentative="0">
      <w:start w:val="1"/>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7"/>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I1MDZlYmI5MDk0MTg0NGQ5YjU3MzZhZWMwZGE3NjIifQ=="/>
  </w:docVars>
  <w:rsids>
    <w:rsidRoot w:val="007D49C5"/>
    <w:rsid w:val="005B64E8"/>
    <w:rsid w:val="00614288"/>
    <w:rsid w:val="00792CFE"/>
    <w:rsid w:val="007D49C5"/>
    <w:rsid w:val="008C631D"/>
    <w:rsid w:val="00B24331"/>
    <w:rsid w:val="00D12415"/>
    <w:rsid w:val="09ED08BD"/>
    <w:rsid w:val="0DED0D26"/>
    <w:rsid w:val="16424547"/>
    <w:rsid w:val="17066166"/>
    <w:rsid w:val="173F197D"/>
    <w:rsid w:val="18351947"/>
    <w:rsid w:val="198B6029"/>
    <w:rsid w:val="1F041FDD"/>
    <w:rsid w:val="1FE4709C"/>
    <w:rsid w:val="200702FB"/>
    <w:rsid w:val="21442F91"/>
    <w:rsid w:val="25594AF7"/>
    <w:rsid w:val="2AD211AE"/>
    <w:rsid w:val="362A7B91"/>
    <w:rsid w:val="38AC47EA"/>
    <w:rsid w:val="3F842F76"/>
    <w:rsid w:val="41C65B9A"/>
    <w:rsid w:val="44B816CA"/>
    <w:rsid w:val="4E24203C"/>
    <w:rsid w:val="4F67680A"/>
    <w:rsid w:val="581E41CE"/>
    <w:rsid w:val="5B750C67"/>
    <w:rsid w:val="62F92B06"/>
    <w:rsid w:val="6555186B"/>
    <w:rsid w:val="67D079BC"/>
    <w:rsid w:val="68A57387"/>
    <w:rsid w:val="69023A0D"/>
    <w:rsid w:val="709A2B18"/>
    <w:rsid w:val="739540E8"/>
    <w:rsid w:val="799B4341"/>
    <w:rsid w:val="7A2829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qFormat="1" w:unhideWhenUsed="0" w:uiPriority="0" w:semiHidden="0"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0"/>
      <w:szCs w:val="24"/>
      <w:lang w:val="en-US" w:eastAsia="zh-CN" w:bidi="ar-SA"/>
    </w:rPr>
  </w:style>
  <w:style w:type="paragraph" w:styleId="5">
    <w:name w:val="heading 1"/>
    <w:basedOn w:val="1"/>
    <w:next w:val="1"/>
    <w:link w:val="12"/>
    <w:qFormat/>
    <w:uiPriority w:val="9"/>
    <w:pPr>
      <w:keepNext/>
      <w:keepLines/>
      <w:spacing w:before="340" w:after="330" w:line="578" w:lineRule="auto"/>
      <w:outlineLvl w:val="0"/>
    </w:pPr>
    <w:rPr>
      <w:b/>
      <w:bCs/>
      <w:kern w:val="44"/>
      <w:sz w:val="44"/>
      <w:szCs w:val="44"/>
    </w:rPr>
  </w:style>
  <w:style w:type="paragraph" w:styleId="6">
    <w:name w:val="heading 2"/>
    <w:basedOn w:val="1"/>
    <w:next w:val="1"/>
    <w:link w:val="13"/>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next w:val="1"/>
    <w:semiHidden/>
    <w:unhideWhenUsed/>
    <w:qFormat/>
    <w:uiPriority w:val="99"/>
    <w:pPr>
      <w:ind w:firstLine="420" w:firstLineChars="200"/>
    </w:pPr>
  </w:style>
  <w:style w:type="paragraph" w:styleId="3">
    <w:name w:val="Body Text Indent"/>
    <w:basedOn w:val="1"/>
    <w:next w:val="4"/>
    <w:semiHidden/>
    <w:unhideWhenUsed/>
    <w:qFormat/>
    <w:uiPriority w:val="99"/>
    <w:pPr>
      <w:spacing w:after="120" w:afterLines="0" w:afterAutospacing="0"/>
      <w:ind w:left="420" w:leftChars="200"/>
    </w:pPr>
  </w:style>
  <w:style w:type="paragraph" w:styleId="4">
    <w:name w:val="index 6"/>
    <w:basedOn w:val="1"/>
    <w:next w:val="1"/>
    <w:qFormat/>
    <w:uiPriority w:val="0"/>
    <w:pPr>
      <w:ind w:left="1000" w:leftChars="1000"/>
    </w:pPr>
  </w:style>
  <w:style w:type="paragraph" w:styleId="7">
    <w:name w:val="toc 1"/>
    <w:basedOn w:val="1"/>
    <w:next w:val="1"/>
    <w:unhideWhenUsed/>
    <w:qFormat/>
    <w:uiPriority w:val="39"/>
    <w:pPr>
      <w:widowControl/>
      <w:spacing w:after="100" w:line="259" w:lineRule="auto"/>
      <w:jc w:val="left"/>
    </w:pPr>
    <w:rPr>
      <w:rFonts w:asciiTheme="minorHAnsi" w:hAnsiTheme="minorHAnsi" w:eastAsiaTheme="minorEastAsia"/>
      <w:kern w:val="0"/>
      <w:sz w:val="22"/>
      <w:szCs w:val="22"/>
    </w:rPr>
  </w:style>
  <w:style w:type="paragraph" w:styleId="8">
    <w:name w:val="toc 2"/>
    <w:basedOn w:val="1"/>
    <w:next w:val="1"/>
    <w:unhideWhenUsed/>
    <w:qFormat/>
    <w:uiPriority w:val="39"/>
    <w:pPr>
      <w:widowControl/>
      <w:spacing w:after="100" w:line="259" w:lineRule="auto"/>
      <w:ind w:left="220"/>
      <w:jc w:val="left"/>
    </w:pPr>
    <w:rPr>
      <w:rFonts w:asciiTheme="minorHAnsi" w:hAnsiTheme="minorHAnsi" w:eastAsiaTheme="minorEastAsia"/>
      <w:kern w:val="0"/>
      <w:sz w:val="22"/>
      <w:szCs w:val="22"/>
    </w:rPr>
  </w:style>
  <w:style w:type="character" w:styleId="11">
    <w:name w:val="Hyperlink"/>
    <w:basedOn w:val="10"/>
    <w:unhideWhenUsed/>
    <w:qFormat/>
    <w:uiPriority w:val="99"/>
    <w:rPr>
      <w:color w:val="0563C1" w:themeColor="hyperlink"/>
      <w:u w:val="single"/>
      <w14:textFill>
        <w14:solidFill>
          <w14:schemeClr w14:val="hlink"/>
        </w14:solidFill>
      </w14:textFill>
    </w:rPr>
  </w:style>
  <w:style w:type="character" w:customStyle="1" w:styleId="12">
    <w:name w:val="标题 1 字符"/>
    <w:basedOn w:val="10"/>
    <w:link w:val="5"/>
    <w:qFormat/>
    <w:uiPriority w:val="9"/>
    <w:rPr>
      <w:rFonts w:ascii="Times New Roman" w:hAnsi="Times New Roman" w:eastAsia="仿宋_GB2312" w:cs="Times New Roman"/>
      <w:b/>
      <w:bCs/>
      <w:kern w:val="44"/>
      <w:sz w:val="44"/>
      <w:szCs w:val="44"/>
    </w:rPr>
  </w:style>
  <w:style w:type="character" w:customStyle="1" w:styleId="13">
    <w:name w:val="标题 2 字符"/>
    <w:basedOn w:val="10"/>
    <w:link w:val="6"/>
    <w:qFormat/>
    <w:uiPriority w:val="9"/>
    <w:rPr>
      <w:rFonts w:asciiTheme="majorHAnsi" w:hAnsiTheme="majorHAnsi" w:eastAsiaTheme="majorEastAsia" w:cstheme="majorBidi"/>
      <w:b/>
      <w:bCs/>
      <w:sz w:val="32"/>
      <w:szCs w:val="32"/>
    </w:rPr>
  </w:style>
  <w:style w:type="paragraph" w:customStyle="1" w:styleId="14">
    <w:name w:val="TOC Heading"/>
    <w:basedOn w:val="5"/>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F5597" w:themeColor="accent1" w:themeShade="BF"/>
      <w:kern w:val="0"/>
      <w:sz w:val="32"/>
      <w:szCs w:val="3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13</Pages>
  <Words>5625</Words>
  <Characters>6229</Characters>
  <Lines>38</Lines>
  <Paragraphs>10</Paragraphs>
  <TotalTime>16</TotalTime>
  <ScaleCrop>false</ScaleCrop>
  <LinksUpToDate>false</LinksUpToDate>
  <CharactersWithSpaces>6489</CharactersWithSpaces>
  <Application>WPS Office_11.1.0.11636_F1E327BC-269C-435d-A152-05C5408002CA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2021-04-07T08:01:00Z</dcterms:created>
  <dc:creator>翘楚</dc:creator>
  <cp:lastModifiedBy>A.X</cp:lastModifiedBy>
  <dcterms:modified xsi:type="dcterms:W3CDTF">2022-04-26T03:38:30Z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426AADAED4B649F9A22FB2C8714BF52D</vt:lpwstr>
  </property>
</Properties>
</file>