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hAnsi="宋体" w:cs="宋体"/>
          <w:kern w:val="0"/>
          <w:sz w:val="32"/>
          <w:szCs w:val="32"/>
          <w:lang w:eastAsia="zh-CN"/>
        </w:rPr>
        <w:t>基层人大补助经费</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hAnsi="宋体" w:cs="宋体"/>
          <w:kern w:val="0"/>
          <w:sz w:val="32"/>
          <w:szCs w:val="32"/>
          <w:lang w:eastAsia="zh-CN"/>
        </w:rPr>
        <w:t>特克斯县人民代表大会常务委员会办公室</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hAnsi="宋体" w:cs="宋体"/>
          <w:kern w:val="0"/>
          <w:sz w:val="32"/>
          <w:szCs w:val="32"/>
          <w:lang w:eastAsia="zh-CN"/>
        </w:rPr>
        <w:t>特克斯县人民代表大会常务委员会办公室</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hAnsi="宋体" w:cs="宋体"/>
          <w:kern w:val="0"/>
          <w:sz w:val="32"/>
          <w:szCs w:val="32"/>
          <w:lang w:eastAsia="zh-CN"/>
        </w:rPr>
        <w:t>李建民</w:t>
      </w:r>
    </w:p>
    <w:p>
      <w:pPr>
        <w:spacing w:line="560" w:lineRule="exact"/>
        <w:ind w:firstLine="321" w:firstLineChars="100"/>
        <w:rPr>
          <w:rFonts w:hint="eastAsia" w:hAnsi="宋体" w:cs="宋体"/>
          <w:kern w:val="0"/>
          <w:sz w:val="32"/>
          <w:szCs w:val="32"/>
          <w:lang w:eastAsia="zh-CN"/>
        </w:rPr>
      </w:pPr>
      <w:r>
        <w:rPr>
          <w:rFonts w:hint="eastAsia" w:ascii="宋体" w:hAnsi="宋体" w:eastAsia="宋体" w:cs="仿宋_GB2312"/>
          <w:b/>
          <w:bCs/>
          <w:color w:val="000000"/>
          <w:kern w:val="0"/>
          <w:sz w:val="32"/>
          <w:szCs w:val="32"/>
        </w:rPr>
        <w:t>填报时间：</w:t>
      </w:r>
      <w:r>
        <w:rPr>
          <w:rFonts w:hint="eastAsia" w:hAnsi="宋体" w:cs="宋体"/>
          <w:kern w:val="0"/>
          <w:sz w:val="32"/>
          <w:szCs w:val="32"/>
          <w:lang w:eastAsia="zh-CN"/>
        </w:rPr>
        <w:t>2022年</w:t>
      </w:r>
      <w:r>
        <w:rPr>
          <w:rFonts w:hint="eastAsia" w:hAnsi="宋体" w:cs="宋体"/>
          <w:kern w:val="0"/>
          <w:sz w:val="32"/>
          <w:szCs w:val="32"/>
          <w:lang w:val="en-US" w:eastAsia="zh-CN"/>
        </w:rPr>
        <w:t>4</w:t>
      </w:r>
      <w:r>
        <w:rPr>
          <w:rFonts w:hint="eastAsia" w:hAnsi="宋体" w:cs="宋体"/>
          <w:kern w:val="0"/>
          <w:sz w:val="32"/>
          <w:szCs w:val="32"/>
          <w:lang w:eastAsia="zh-CN"/>
        </w:rPr>
        <w:t>月</w:t>
      </w:r>
      <w:r>
        <w:rPr>
          <w:rFonts w:hint="eastAsia" w:hAnsi="宋体" w:cs="宋体"/>
          <w:kern w:val="0"/>
          <w:sz w:val="32"/>
          <w:szCs w:val="32"/>
          <w:lang w:val="en-US" w:eastAsia="zh-CN"/>
        </w:rPr>
        <w:t>14</w:t>
      </w:r>
      <w:r>
        <w:rPr>
          <w:rFonts w:hint="eastAsia" w:hAnsi="宋体" w:cs="宋体"/>
          <w:kern w:val="0"/>
          <w:sz w:val="32"/>
          <w:szCs w:val="32"/>
          <w:lang w:eastAsia="zh-CN"/>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ascii="仿宋_GB2312"/>
        </w:rPr>
      </w:pPr>
      <w:r>
        <w:rPr>
          <w:rFonts w:hint="eastAsia" w:ascii="仿宋_GB2312"/>
        </w:rPr>
        <w:t>1、项目背景</w:t>
      </w:r>
    </w:p>
    <w:p>
      <w:pPr>
        <w:spacing w:line="360" w:lineRule="auto"/>
        <w:ind w:firstLine="600" w:firstLineChars="200"/>
        <w:rPr>
          <w:rFonts w:hint="eastAsia" w:ascii="仿宋_GB2312"/>
        </w:rPr>
      </w:pPr>
      <w:r>
        <w:rPr>
          <w:rFonts w:hint="default" w:ascii="仿宋_GB2312" w:hAnsi="Times New Roman" w:eastAsia="仿宋_GB2312" w:cs="Times New Roman"/>
          <w:kern w:val="2"/>
          <w:sz w:val="30"/>
          <w:szCs w:val="24"/>
          <w:lang w:val="en-US" w:eastAsia="zh-CN" w:bidi="ar-SA"/>
        </w:rPr>
        <w:t>乡镇人大是我国最基层的国家权力机关，距离广大人民群众最近、直接反映民意，始终处于民主法治建设的最前沿，其作用重要且具有不可代替性。</w:t>
      </w:r>
      <w:r>
        <w:rPr>
          <w:rFonts w:hint="eastAsia" w:ascii="仿宋_GB2312"/>
          <w:color w:val="000000" w:themeColor="text1"/>
          <w:sz w:val="30"/>
          <w:szCs w:val="30"/>
          <w:lang w:val="en-US" w:eastAsia="zh-CN"/>
          <w14:textFill>
            <w14:solidFill>
              <w14:schemeClr w14:val="tx1"/>
            </w14:solidFill>
          </w14:textFill>
        </w:rPr>
        <w:t>资金支付于全县人大代表视察调研、执法检查、基层人大购买办公设备，办公经费和人民群众关心的问题开展专题考察、调研，认真履行人大四个工委工作，组织人大代表培训工作。</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hint="eastAsia" w:ascii="仿宋_GB2312" w:hAnsi="Times New Roman" w:eastAsia="仿宋_GB2312" w:cs="Times New Roman"/>
          <w:kern w:val="2"/>
          <w:sz w:val="30"/>
          <w:szCs w:val="24"/>
          <w:lang w:val="en-US" w:eastAsia="zh-CN" w:bidi="ar-SA"/>
        </w:rPr>
      </w:pPr>
      <w:r>
        <w:rPr>
          <w:rFonts w:hint="eastAsia" w:ascii="仿宋_GB2312"/>
        </w:rPr>
        <w:t>主要内容：</w:t>
      </w:r>
      <w:r>
        <w:rPr>
          <w:rFonts w:hint="eastAsia" w:ascii="仿宋_GB2312" w:hAnsi="Times New Roman" w:eastAsia="仿宋_GB2312" w:cs="Times New Roman"/>
          <w:kern w:val="2"/>
          <w:sz w:val="30"/>
          <w:szCs w:val="24"/>
          <w:lang w:val="en-US" w:eastAsia="zh-CN" w:bidi="ar-SA"/>
        </w:rPr>
        <w:t>围绕全县人大代表视察调研、执法检查、基层人大购买办公设备，办公经费和人民群众关心的问题开展专题考察、调研，认真履行人大办公室和四个工委工作，通过组织开展人大代表活动，不断提高人大代表水平。</w:t>
      </w:r>
    </w:p>
    <w:p>
      <w:pPr>
        <w:spacing w:line="360" w:lineRule="auto"/>
        <w:ind w:firstLine="600" w:firstLineChars="200"/>
        <w:rPr>
          <w:rFonts w:ascii="仿宋_GB2312"/>
          <w:color w:val="FF0000"/>
        </w:rPr>
      </w:pPr>
      <w:r>
        <w:rPr>
          <w:rFonts w:hint="eastAsia" w:ascii="仿宋_GB2312"/>
        </w:rPr>
        <w:t>实施情况：</w:t>
      </w:r>
      <w:r>
        <w:rPr>
          <w:rFonts w:hint="eastAsia" w:ascii="仿宋_GB2312"/>
          <w:color w:val="000000" w:themeColor="text1"/>
          <w:sz w:val="30"/>
          <w:szCs w:val="30"/>
          <w14:textFill>
            <w14:solidFill>
              <w14:schemeClr w14:val="tx1"/>
            </w14:solidFill>
          </w14:textFill>
        </w:rPr>
        <w:t>该项目做到有计划、有安排，扎实开展，严格按照项目资金管理办法对资金进行计划申请、划拨、使用，及时、规范对收支进行账务处理和会计核算。在202</w:t>
      </w:r>
      <w:r>
        <w:rPr>
          <w:rFonts w:hint="eastAsia" w:ascii="仿宋_GB2312"/>
          <w:color w:val="000000" w:themeColor="text1"/>
          <w:sz w:val="30"/>
          <w:szCs w:val="30"/>
          <w:lang w:val="en-US" w:eastAsia="zh-CN"/>
          <w14:textFill>
            <w14:solidFill>
              <w14:schemeClr w14:val="tx1"/>
            </w14:solidFill>
          </w14:textFill>
        </w:rPr>
        <w:t>1</w:t>
      </w:r>
      <w:r>
        <w:rPr>
          <w:rFonts w:hint="eastAsia" w:ascii="仿宋_GB2312"/>
          <w:color w:val="000000" w:themeColor="text1"/>
          <w:sz w:val="30"/>
          <w:szCs w:val="30"/>
          <w14:textFill>
            <w14:solidFill>
              <w14:schemeClr w14:val="tx1"/>
            </w14:solidFill>
          </w14:textFill>
        </w:rPr>
        <w:t>年底，该项目全部完成。</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6</w:t>
      </w:r>
      <w:r>
        <w:rPr>
          <w:rFonts w:hint="eastAsia"/>
          <w:color w:val="auto"/>
        </w:rPr>
        <w:t>万元，全年预算数</w:t>
      </w:r>
      <w:r>
        <w:rPr>
          <w:rFonts w:hint="eastAsia"/>
          <w:color w:val="auto"/>
          <w:lang w:val="en-US" w:eastAsia="zh-CN"/>
        </w:rPr>
        <w:t>6</w:t>
      </w:r>
      <w:r>
        <w:rPr>
          <w:rFonts w:hint="eastAsia"/>
          <w:color w:val="auto"/>
        </w:rPr>
        <w:t>万元，实际总投入</w:t>
      </w:r>
      <w:r>
        <w:rPr>
          <w:rFonts w:hint="eastAsia"/>
          <w:color w:val="auto"/>
          <w:lang w:val="en-US" w:eastAsia="zh-CN"/>
        </w:rPr>
        <w:t>6</w:t>
      </w:r>
      <w:r>
        <w:rPr>
          <w:rFonts w:hint="eastAsia"/>
          <w:color w:val="auto"/>
        </w:rPr>
        <w:t>万元，该项目资金已全部落实到位，资金来源为</w:t>
      </w:r>
      <w:r>
        <w:rPr>
          <w:rFonts w:hint="eastAsia"/>
          <w:color w:val="auto"/>
          <w:lang w:val="en-US" w:eastAsia="zh-CN"/>
        </w:rPr>
        <w:t>财政拨款</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6</w:t>
      </w:r>
      <w:r>
        <w:rPr>
          <w:rFonts w:hint="eastAsia"/>
          <w:color w:val="auto"/>
        </w:rPr>
        <w:t>万元，全年预算数</w:t>
      </w:r>
      <w:r>
        <w:rPr>
          <w:rFonts w:hint="eastAsia"/>
          <w:color w:val="auto"/>
          <w:lang w:val="en-US" w:eastAsia="zh-CN"/>
        </w:rPr>
        <w:t>6</w:t>
      </w:r>
      <w:r>
        <w:rPr>
          <w:rFonts w:hint="eastAsia"/>
          <w:color w:val="auto"/>
        </w:rPr>
        <w:t>万元，全年执行数</w:t>
      </w:r>
      <w:r>
        <w:rPr>
          <w:rFonts w:hint="eastAsia"/>
          <w:color w:val="auto"/>
          <w:lang w:val="en-US" w:eastAsia="zh-CN"/>
        </w:rPr>
        <w:t>6</w:t>
      </w:r>
      <w:r>
        <w:rPr>
          <w:rFonts w:hint="eastAsia"/>
          <w:color w:val="auto"/>
        </w:rPr>
        <w:t>万元，预算执行率为</w:t>
      </w:r>
      <w:r>
        <w:rPr>
          <w:rFonts w:hint="eastAsia"/>
          <w:color w:val="auto"/>
          <w:lang w:val="en-US" w:eastAsia="zh-CN"/>
        </w:rPr>
        <w:t>100</w:t>
      </w:r>
      <w:r>
        <w:rPr>
          <w:rFonts w:hint="eastAsia"/>
          <w:color w:val="auto"/>
        </w:rPr>
        <w:t>%，用于：基层人大补助资金</w:t>
      </w:r>
      <w:r>
        <w:rPr>
          <w:rFonts w:hint="eastAsia"/>
          <w:color w:val="auto"/>
          <w:lang w:val="en-US" w:eastAsia="zh-CN"/>
        </w:rPr>
        <w:t>6万元</w:t>
      </w:r>
      <w:r>
        <w:rPr>
          <w:rFonts w:hint="eastAsia"/>
          <w:color w:val="auto"/>
        </w:rPr>
        <w:t>。</w:t>
      </w:r>
    </w:p>
    <w:p>
      <w:pPr>
        <w:pStyle w:val="4"/>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pPr>
      <w:r>
        <w:rPr>
          <w:rFonts w:hint="eastAsia"/>
        </w:rPr>
        <w:t>1、总体目标：围绕全县人大代表视察调研、执法检查、基层人大购买办公设备，办公经费和人民群众关心的问题开展专题考察、调研，认真履行人大四个工委工作，通过组织开展人大代表活动，不断提高人大代表水平。预期效果：通过基层人大补助经费，先后开展考察、调研活动2次，人大代表的满意度测评100%，项目取得了较好的社会效益。充分体现了自治区人大对基层人大的的关怀和支持，有效弥补了基层人大经费不足的问题。</w:t>
      </w:r>
    </w:p>
    <w:p>
      <w:pPr>
        <w:spacing w:line="360" w:lineRule="auto"/>
        <w:ind w:firstLine="600" w:firstLineChars="200"/>
        <w:rPr>
          <w:rFonts w:hint="eastAsia"/>
        </w:rPr>
      </w:pPr>
      <w:r>
        <w:t>2</w:t>
      </w:r>
      <w:r>
        <w:rPr>
          <w:rFonts w:hint="eastAsia"/>
        </w:rPr>
        <w:t>、阶段性目标：</w:t>
      </w:r>
    </w:p>
    <w:p>
      <w:pPr>
        <w:spacing w:line="360" w:lineRule="auto"/>
        <w:ind w:firstLine="560" w:firstLineChars="200"/>
        <w:rPr>
          <w:rFonts w:hint="eastAsia" w:ascii="Times New Roman" w:hAnsi="Times New Roman" w:cs="Times New Roman"/>
          <w:color w:val="auto"/>
          <w:highlight w:val="none"/>
        </w:rPr>
      </w:pPr>
      <w:bookmarkStart w:id="3" w:name="_Toc68703830"/>
      <w:r>
        <w:rPr>
          <w:rFonts w:hint="eastAsia" w:ascii="仿宋_GB2312" w:hAnsi="仿宋_GB2312" w:eastAsia="仿宋_GB2312" w:cs="仿宋_GB2312"/>
          <w:sz w:val="28"/>
          <w:szCs w:val="28"/>
          <w:highlight w:val="none"/>
        </w:rPr>
        <w:t>（</w:t>
      </w:r>
      <w:r>
        <w:rPr>
          <w:rFonts w:hint="eastAsia" w:ascii="Times New Roman" w:hAnsi="Times New Roman" w:cs="Times New Roman"/>
          <w:color w:val="auto"/>
          <w:highlight w:val="none"/>
        </w:rPr>
        <w:t>1）前期准备：</w:t>
      </w:r>
      <w:r>
        <w:rPr>
          <w:rFonts w:hint="eastAsia" w:cs="Times New Roman"/>
          <w:color w:val="auto"/>
          <w:highlight w:val="none"/>
          <w:lang w:eastAsia="zh-CN"/>
        </w:rPr>
        <w:t>按照上级拨付经费文件要求，</w:t>
      </w:r>
      <w:r>
        <w:rPr>
          <w:rFonts w:hint="eastAsia" w:ascii="Times New Roman" w:hAnsi="Times New Roman" w:cs="Times New Roman"/>
          <w:color w:val="auto"/>
          <w:highlight w:val="none"/>
        </w:rPr>
        <w:t>制定</w:t>
      </w:r>
      <w:r>
        <w:rPr>
          <w:rFonts w:hint="eastAsia" w:cs="Times New Roman"/>
          <w:color w:val="auto"/>
          <w:highlight w:val="none"/>
          <w:lang w:eastAsia="zh-CN"/>
        </w:rPr>
        <w:t>基层人大补助资金</w:t>
      </w:r>
      <w:r>
        <w:rPr>
          <w:rFonts w:hint="eastAsia" w:ascii="Times New Roman" w:hAnsi="Times New Roman" w:cs="Times New Roman"/>
          <w:color w:val="auto"/>
          <w:highlight w:val="none"/>
        </w:rPr>
        <w:t>实施方案，</w:t>
      </w:r>
      <w:r>
        <w:rPr>
          <w:rFonts w:hint="eastAsia" w:cs="Times New Roman"/>
          <w:color w:val="auto"/>
          <w:highlight w:val="none"/>
          <w:lang w:eastAsia="zh-CN"/>
        </w:rPr>
        <w:t>确定工作指标以及预期目标值，按绩效评价三级指标按阶段完成相关工作，</w:t>
      </w:r>
      <w:r>
        <w:rPr>
          <w:rFonts w:hint="eastAsia" w:ascii="Times New Roman" w:hAnsi="Times New Roman" w:cs="Times New Roman"/>
          <w:color w:val="auto"/>
          <w:highlight w:val="none"/>
        </w:rPr>
        <w:t>经项目负责人审核通过后，有序开展后续</w:t>
      </w:r>
      <w:r>
        <w:rPr>
          <w:rFonts w:hint="eastAsia" w:ascii="Times New Roman" w:hAnsi="Times New Roman" w:cs="Times New Roman"/>
          <w:color w:val="auto"/>
          <w:highlight w:val="none"/>
          <w:lang w:eastAsia="zh-CN"/>
        </w:rPr>
        <w:t>工作</w:t>
      </w:r>
      <w:r>
        <w:rPr>
          <w:rFonts w:hint="eastAsia" w:ascii="Times New Roman" w:hAnsi="Times New Roman" w:cs="Times New Roman"/>
          <w:color w:val="auto"/>
          <w:highlight w:val="none"/>
        </w:rPr>
        <w:t>。</w:t>
      </w:r>
    </w:p>
    <w:p>
      <w:pPr>
        <w:spacing w:line="360" w:lineRule="auto"/>
        <w:ind w:firstLine="600" w:firstLineChars="200"/>
        <w:rPr>
          <w:rFonts w:hint="eastAsia" w:ascii="Times New Roman" w:hAnsi="Times New Roman" w:cs="Times New Roman"/>
          <w:color w:val="auto"/>
          <w:highlight w:val="none"/>
        </w:rPr>
      </w:pPr>
      <w:r>
        <w:rPr>
          <w:rFonts w:hint="eastAsia" w:ascii="Times New Roman" w:hAnsi="Times New Roman" w:cs="Times New Roman"/>
          <w:color w:val="auto"/>
          <w:highlight w:val="none"/>
        </w:rPr>
        <w:t>（2）组织实施：资金到位</w:t>
      </w:r>
      <w:r>
        <w:rPr>
          <w:rFonts w:hint="eastAsia" w:cs="Times New Roman"/>
          <w:color w:val="auto"/>
          <w:highlight w:val="none"/>
          <w:lang w:eastAsia="zh-CN"/>
        </w:rPr>
        <w:t>后</w:t>
      </w:r>
      <w:r>
        <w:rPr>
          <w:rFonts w:hint="eastAsia" w:ascii="Times New Roman" w:hAnsi="Times New Roman" w:cs="Times New Roman"/>
          <w:color w:val="auto"/>
          <w:highlight w:val="none"/>
        </w:rPr>
        <w:t>，立即根据项目要求</w:t>
      </w:r>
      <w:r>
        <w:rPr>
          <w:rFonts w:hint="eastAsia" w:cs="Times New Roman"/>
          <w:color w:val="auto"/>
          <w:highlight w:val="none"/>
          <w:lang w:eastAsia="zh-CN"/>
        </w:rPr>
        <w:t>及实施方案内容来</w:t>
      </w:r>
      <w:r>
        <w:rPr>
          <w:rFonts w:hint="eastAsia" w:ascii="Times New Roman" w:hAnsi="Times New Roman" w:cs="Times New Roman"/>
          <w:color w:val="auto"/>
          <w:highlight w:val="none"/>
        </w:rPr>
        <w:t>实施项目。项目责任人按照</w:t>
      </w:r>
      <w:r>
        <w:rPr>
          <w:rFonts w:hint="eastAsia" w:cs="Times New Roman"/>
          <w:color w:val="auto"/>
          <w:highlight w:val="none"/>
          <w:lang w:eastAsia="zh-CN"/>
        </w:rPr>
        <w:t>总体目标</w:t>
      </w:r>
      <w:r>
        <w:rPr>
          <w:rFonts w:hint="eastAsia" w:ascii="Times New Roman" w:hAnsi="Times New Roman" w:cs="Times New Roman"/>
          <w:color w:val="auto"/>
          <w:highlight w:val="none"/>
        </w:rPr>
        <w:t>逐一进行项目部署安排，组织人大代表调研、视察，</w:t>
      </w:r>
      <w:r>
        <w:rPr>
          <w:rFonts w:hint="eastAsia" w:cs="Times New Roman"/>
          <w:color w:val="auto"/>
          <w:highlight w:val="none"/>
          <w:lang w:eastAsia="zh-CN"/>
        </w:rPr>
        <w:t>代表培训</w:t>
      </w:r>
      <w:r>
        <w:rPr>
          <w:rFonts w:hint="eastAsia" w:ascii="Times New Roman" w:hAnsi="Times New Roman" w:cs="Times New Roman"/>
          <w:color w:val="auto"/>
          <w:highlight w:val="none"/>
        </w:rPr>
        <w:t>、提案督办</w:t>
      </w:r>
      <w:r>
        <w:rPr>
          <w:rFonts w:hint="eastAsia" w:cs="Times New Roman"/>
          <w:color w:val="auto"/>
          <w:highlight w:val="none"/>
          <w:lang w:eastAsia="zh-CN"/>
        </w:rPr>
        <w:t>等相关工作，</w:t>
      </w:r>
      <w:r>
        <w:rPr>
          <w:rFonts w:hint="eastAsia" w:ascii="Times New Roman" w:hAnsi="Times New Roman" w:cs="Times New Roman"/>
          <w:color w:val="auto"/>
          <w:highlight w:val="none"/>
        </w:rPr>
        <w:t>提高项目质量及效率性。</w:t>
      </w:r>
    </w:p>
    <w:p>
      <w:pPr>
        <w:pStyle w:val="3"/>
        <w:pageBreakBefore w:val="0"/>
        <w:widowControl w:val="0"/>
        <w:kinsoku/>
        <w:wordWrap/>
        <w:overflowPunct/>
        <w:topLinePunct w:val="0"/>
        <w:autoSpaceDE/>
        <w:autoSpaceDN/>
        <w:bidi w:val="0"/>
        <w:adjustRightInd/>
        <w:snapToGrid/>
        <w:spacing w:before="0" w:after="0" w:line="240" w:lineRule="auto"/>
        <w:ind w:left="0" w:leftChars="0" w:right="0" w:rightChars="0" w:firstLine="643" w:firstLineChars="200"/>
        <w:jc w:val="both"/>
        <w:textAlignment w:val="auto"/>
        <w:rPr>
          <w:rFonts w:ascii="宋体" w:hAnsi="宋体" w:eastAsia="宋体"/>
          <w:sz w:val="32"/>
          <w:szCs w:val="32"/>
        </w:rPr>
      </w:pPr>
      <w:r>
        <w:rPr>
          <w:rFonts w:hint="eastAsia" w:ascii="宋体" w:hAnsi="宋体" w:eastAsia="宋体"/>
          <w:sz w:val="32"/>
          <w:szCs w:val="32"/>
        </w:rPr>
        <w:t>二、绩效评价工作开展情况</w:t>
      </w:r>
      <w:bookmarkEnd w:id="3"/>
    </w:p>
    <w:p>
      <w:pPr>
        <w:pStyle w:val="4"/>
        <w:pageBreakBefore w:val="0"/>
        <w:widowControl w:val="0"/>
        <w:kinsoku/>
        <w:wordWrap/>
        <w:overflowPunct/>
        <w:topLinePunct w:val="0"/>
        <w:autoSpaceDE/>
        <w:autoSpaceDN/>
        <w:bidi w:val="0"/>
        <w:adjustRightInd/>
        <w:snapToGrid/>
        <w:spacing w:before="0" w:after="0" w:line="360" w:lineRule="auto"/>
        <w:ind w:left="0" w:leftChars="0" w:right="0" w:rightChars="0" w:firstLine="640" w:firstLineChars="200"/>
        <w:jc w:val="both"/>
        <w:textAlignment w:val="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rPr>
          <w:sz w:val="30"/>
          <w:szCs w:val="30"/>
        </w:rPr>
      </w:pPr>
      <w:r>
        <w:rPr>
          <w:rFonts w:hint="eastAsia"/>
          <w:sz w:val="30"/>
          <w:szCs w:val="30"/>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基层人大补助资金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rFonts w:hint="eastAsia" w:ascii="仿宋_GB2312" w:cs="Times New Roman"/>
          <w:kern w:val="2"/>
          <w:sz w:val="30"/>
          <w:szCs w:val="30"/>
          <w:lang w:val="en-US" w:eastAsia="zh-CN" w:bidi="ar-SA"/>
        </w:rPr>
      </w:pPr>
    </w:p>
    <w:p>
      <w:pPr>
        <w:spacing w:line="360" w:lineRule="auto"/>
        <w:ind w:firstLine="600" w:firstLineChars="200"/>
        <w:jc w:val="left"/>
        <w:rPr>
          <w:sz w:val="30"/>
          <w:szCs w:val="30"/>
        </w:rPr>
      </w:pPr>
      <w:r>
        <w:rPr>
          <w:rFonts w:hint="eastAsia"/>
          <w:sz w:val="30"/>
          <w:szCs w:val="30"/>
        </w:rPr>
        <w:t>2、绩效评价对象：</w:t>
      </w:r>
    </w:p>
    <w:p>
      <w:pPr>
        <w:spacing w:line="360" w:lineRule="auto"/>
        <w:ind w:firstLine="600" w:firstLineChars="200"/>
        <w:rPr>
          <w:rFonts w:hint="eastAsia" w:hAnsi="宋体" w:cs="宋体"/>
          <w:kern w:val="0"/>
          <w:sz w:val="30"/>
          <w:szCs w:val="30"/>
          <w:lang w:eastAsia="zh-CN"/>
        </w:rPr>
      </w:pPr>
      <w:r>
        <w:rPr>
          <w:rFonts w:hint="eastAsia" w:hAnsi="宋体" w:cs="宋体"/>
          <w:kern w:val="0"/>
          <w:sz w:val="30"/>
          <w:szCs w:val="30"/>
          <w:lang w:eastAsia="zh-CN"/>
        </w:rPr>
        <w:t>基层人大补助经费。</w:t>
      </w:r>
    </w:p>
    <w:p>
      <w:pPr>
        <w:spacing w:line="360" w:lineRule="auto"/>
        <w:ind w:firstLine="600" w:firstLineChars="200"/>
        <w:rPr>
          <w:sz w:val="30"/>
          <w:szCs w:val="30"/>
        </w:rPr>
      </w:pPr>
      <w:r>
        <w:rPr>
          <w:rFonts w:hint="eastAsia"/>
          <w:sz w:val="30"/>
          <w:szCs w:val="30"/>
        </w:rPr>
        <w:t>3、绩效评价范围：</w:t>
      </w:r>
    </w:p>
    <w:p>
      <w:pPr>
        <w:spacing w:line="360" w:lineRule="auto"/>
        <w:ind w:firstLine="600" w:firstLineChars="200"/>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color w:val="auto"/>
          <w:lang w:eastAsia="zh-CN"/>
        </w:rPr>
        <w:t>基层人大补助经费</w:t>
      </w:r>
      <w:r>
        <w:rPr>
          <w:rFonts w:hint="eastAsia"/>
          <w:color w:val="auto"/>
        </w:rPr>
        <w:t>评价，评价核心为专项资金的支出完成情况和效果。</w:t>
      </w:r>
    </w:p>
    <w:p>
      <w:pPr>
        <w:pStyle w:val="4"/>
        <w:pageBreakBefore w:val="0"/>
        <w:widowControl w:val="0"/>
        <w:kinsoku/>
        <w:wordWrap/>
        <w:overflowPunct/>
        <w:topLinePunct w:val="0"/>
        <w:autoSpaceDE/>
        <w:autoSpaceDN/>
        <w:bidi w:val="0"/>
        <w:adjustRightInd/>
        <w:snapToGrid/>
        <w:spacing w:before="0" w:after="0" w:line="360" w:lineRule="auto"/>
        <w:ind w:left="0" w:leftChars="0" w:right="0" w:rightChars="0" w:firstLine="560" w:firstLineChars="200"/>
        <w:jc w:val="both"/>
        <w:textAlignment w:val="auto"/>
        <w:rPr>
          <w:rFonts w:ascii="仿宋_GB2312" w:eastAsia="仿宋_GB2312"/>
          <w:b w:val="0"/>
          <w:bCs w:val="0"/>
        </w:rPr>
      </w:pPr>
      <w:bookmarkStart w:id="5" w:name="_Toc68703832"/>
      <w:r>
        <w:rPr>
          <w:rFonts w:hint="eastAsia" w:ascii="仿宋_GB2312" w:eastAsia="仿宋_GB2312"/>
          <w:b w:val="0"/>
          <w:bCs w:val="0"/>
          <w:spacing w:val="-20"/>
        </w:rPr>
        <w:t>（二）绩效评价原则、评价指标体系、评价方法、评价标准等。</w:t>
      </w:r>
      <w:bookmarkEnd w:id="5"/>
    </w:p>
    <w:p>
      <w:pPr>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rPr>
          <w:color w:val="auto"/>
        </w:rPr>
      </w:pPr>
      <w:r>
        <w:rPr>
          <w:rFonts w:hint="eastAsia"/>
          <w:color w:val="auto"/>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color w:val="auto"/>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val="en-US" w:eastAsia="zh-CN"/>
        </w:rPr>
        <w:t>特克斯县人民政府网站上</w:t>
      </w:r>
      <w:r>
        <w:rPr>
          <w:rFonts w:hint="eastAsia" w:ascii="仿宋_GB2312"/>
          <w:bCs/>
          <w:color w:val="auto"/>
          <w:sz w:val="32"/>
          <w:szCs w:val="32"/>
        </w:rPr>
        <w:t>，并自觉接受社会监督。</w:t>
      </w:r>
    </w:p>
    <w:p>
      <w:pPr>
        <w:spacing w:line="360" w:lineRule="auto"/>
        <w:rPr>
          <w:color w:val="auto"/>
        </w:rPr>
      </w:pPr>
      <w:r>
        <w:rPr>
          <w:rFonts w:hint="eastAsia"/>
          <w:color w:val="auto"/>
        </w:rPr>
        <w:t>2、评价指标体系（附表说明）</w:t>
      </w:r>
    </w:p>
    <w:p>
      <w:pPr>
        <w:pStyle w:val="4"/>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lang w:eastAsia="zh-CN"/>
        </w:rPr>
        <w:t>基层人大补助经费</w:t>
      </w:r>
      <w:r>
        <w:rPr>
          <w:rFonts w:hint="eastAsia" w:ascii="Times New Roman" w:hAnsi="Times New Roman" w:eastAsia="仿宋_GB2312" w:cs="Times New Roman"/>
          <w:b w:val="0"/>
          <w:bCs w:val="0"/>
          <w:sz w:val="30"/>
          <w:szCs w:val="24"/>
        </w:rPr>
        <w:t>项目支出绩效评价指标体系</w:t>
      </w:r>
    </w:p>
    <w:tbl>
      <w:tblPr>
        <w:tblStyle w:val="9"/>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spacing w:line="60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top"/>
          </w:tcPr>
          <w:p>
            <w:pPr>
              <w:spacing w:line="6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74" w:type="dxa"/>
            <w:shd w:val="clear" w:color="auto"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spacing w:line="6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74" w:type="dxa"/>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spacing w:line="6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pPr>
              <w:spacing w:line="6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874" w:type="dxa"/>
            <w:tcBorders>
              <w:bottom w:val="single" w:color="auto" w:sz="4" w:space="0"/>
            </w:tcBorders>
            <w:shd w:val="clear" w:color="auto"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spacing w:line="6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874" w:type="dxa"/>
            <w:shd w:val="clear" w:color="auto"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spacing w:line="6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vAlign w:val="top"/>
          </w:tcPr>
          <w:p>
            <w:pPr>
              <w:spacing w:line="60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spacing w:line="600" w:lineRule="auto"/>
              <w:jc w:val="center"/>
              <w:rPr>
                <w:rFonts w:hint="default" w:ascii="宋体" w:hAnsi="宋体" w:eastAsia="宋体" w:cs="宋体"/>
                <w:sz w:val="21"/>
                <w:szCs w:val="21"/>
                <w:lang w:val="en-US"/>
              </w:rPr>
            </w:pPr>
            <w:r>
              <w:rPr>
                <w:rFonts w:hint="eastAsia" w:ascii="宋体" w:hAnsi="宋体" w:eastAsia="宋体" w:cs="宋体"/>
                <w:sz w:val="21"/>
                <w:szCs w:val="21"/>
                <w:highlight w:val="none"/>
                <w:lang w:val="en-US" w:eastAsia="zh-CN"/>
              </w:rPr>
              <w:t>10</w:t>
            </w:r>
          </w:p>
        </w:tc>
        <w:tc>
          <w:tcPr>
            <w:tcW w:w="874" w:type="dxa"/>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highlight w:val="none"/>
                <w:lang w:val="en-US" w:eastAsia="zh-CN"/>
              </w:rPr>
              <w:t>10</w:t>
            </w:r>
          </w:p>
        </w:tc>
        <w:tc>
          <w:tcPr>
            <w:tcW w:w="874" w:type="dxa"/>
            <w:shd w:val="clear" w:color="000000" w:fill="FFFFFF"/>
            <w:vAlign w:val="top"/>
          </w:tcPr>
          <w:p>
            <w:pPr>
              <w:spacing w:line="60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spacing w:line="600" w:lineRule="auto"/>
              <w:jc w:val="center"/>
              <w:rPr>
                <w:rFonts w:hint="default" w:ascii="宋体" w:hAnsi="宋体" w:eastAsia="宋体" w:cs="宋体"/>
                <w:sz w:val="21"/>
                <w:szCs w:val="21"/>
                <w:lang w:val="en-US"/>
              </w:rPr>
            </w:pPr>
            <w:r>
              <w:rPr>
                <w:rFonts w:hint="eastAsia" w:ascii="宋体" w:hAnsi="宋体" w:eastAsia="宋体" w:cs="宋体"/>
                <w:sz w:val="21"/>
                <w:szCs w:val="21"/>
                <w:highlight w:val="none"/>
                <w:lang w:val="en-US" w:eastAsia="zh-CN"/>
              </w:rPr>
              <w:t>10</w:t>
            </w:r>
          </w:p>
        </w:tc>
        <w:tc>
          <w:tcPr>
            <w:tcW w:w="874" w:type="dxa"/>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highlight w:val="none"/>
                <w:lang w:val="en-US" w:eastAsia="zh-CN"/>
              </w:rPr>
              <w:t>10</w:t>
            </w:r>
          </w:p>
        </w:tc>
        <w:tc>
          <w:tcPr>
            <w:tcW w:w="874" w:type="dxa"/>
            <w:shd w:val="clear" w:color="auto" w:fill="FFFFFF"/>
            <w:vAlign w:val="top"/>
          </w:tcPr>
          <w:p>
            <w:pPr>
              <w:spacing w:line="60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top"/>
          </w:tcPr>
          <w:p>
            <w:pPr>
              <w:spacing w:line="60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874" w:type="dxa"/>
            <w:shd w:val="clear" w:color="auto"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highlight w:val="none"/>
                <w:lang w:val="en-US" w:eastAsia="zh-CN"/>
              </w:rPr>
              <w:t>10</w:t>
            </w:r>
          </w:p>
        </w:tc>
        <w:tc>
          <w:tcPr>
            <w:tcW w:w="874" w:type="dxa"/>
            <w:shd w:val="clear" w:color="000000" w:fill="FFFFFF"/>
            <w:vAlign w:val="top"/>
          </w:tcPr>
          <w:p>
            <w:pPr>
              <w:spacing w:line="60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highlight w:val="none"/>
                <w:lang w:val="en-US" w:eastAsia="zh-CN"/>
              </w:rPr>
              <w:t>100</w:t>
            </w:r>
          </w:p>
        </w:tc>
        <w:tc>
          <w:tcPr>
            <w:tcW w:w="874" w:type="dxa"/>
            <w:shd w:val="clear" w:color="auto" w:fill="FFFFFF"/>
            <w:vAlign w:val="center"/>
          </w:tcPr>
          <w:p>
            <w:pPr>
              <w:widowControl/>
              <w:spacing w:line="0" w:lineRule="atLeast"/>
              <w:jc w:val="center"/>
              <w:rPr>
                <w:rFonts w:hint="default" w:ascii="宋体" w:hAnsi="宋体" w:cs="宋体"/>
                <w:color w:val="000000"/>
                <w:kern w:val="0"/>
                <w:sz w:val="22"/>
                <w:lang w:val="en-US"/>
              </w:rPr>
            </w:pPr>
            <w:r>
              <w:rPr>
                <w:rFonts w:hint="eastAsia" w:ascii="宋体" w:hAnsi="宋体" w:cs="宋体"/>
                <w:color w:val="000000"/>
                <w:kern w:val="0"/>
                <w:sz w:val="22"/>
                <w:highlight w:val="none"/>
                <w:lang w:val="en-US" w:eastAsia="zh-CN"/>
              </w:rPr>
              <w:t>95</w:t>
            </w:r>
          </w:p>
        </w:tc>
      </w:tr>
    </w:tbl>
    <w:p>
      <w:pPr>
        <w:sectPr>
          <w:pgSz w:w="11906" w:h="16838"/>
          <w:pgMar w:top="1928" w:right="1531" w:bottom="1701" w:left="1531" w:header="737" w:footer="851" w:gutter="0"/>
          <w:cols w:space="720" w:num="1"/>
          <w:docGrid w:type="lines" w:linePitch="408" w:charSpace="0"/>
        </w:sectPr>
      </w:pPr>
    </w:p>
    <w:p>
      <w:pPr>
        <w:spacing w:line="360" w:lineRule="auto"/>
        <w:rPr>
          <w:highlight w:val="none"/>
        </w:rPr>
      </w:pPr>
      <w:r>
        <w:rPr>
          <w:rFonts w:hint="eastAsia"/>
          <w:highlight w:val="none"/>
        </w:rPr>
        <w:t>3、评价方法</w:t>
      </w:r>
    </w:p>
    <w:p>
      <w:pPr>
        <w:pageBreakBefore w:val="0"/>
        <w:kinsoku/>
        <w:wordWrap/>
        <w:overflowPunct/>
        <w:topLinePunct w:val="0"/>
        <w:autoSpaceDE/>
        <w:autoSpaceDN/>
        <w:bidi w:val="0"/>
        <w:adjustRightInd/>
        <w:snapToGrid/>
        <w:spacing w:line="560" w:lineRule="exact"/>
        <w:ind w:firstLine="641"/>
        <w:rPr>
          <w:rFonts w:hint="eastAsia"/>
          <w:bCs/>
          <w:color w:val="FF0000"/>
          <w:sz w:val="32"/>
          <w:szCs w:val="32"/>
          <w:highlight w:val="none"/>
        </w:rPr>
      </w:pPr>
      <w:r>
        <w:rPr>
          <w:rFonts w:hint="eastAsia"/>
          <w:bCs/>
          <w:color w:val="auto"/>
          <w:sz w:val="32"/>
          <w:szCs w:val="32"/>
          <w:highlight w:val="none"/>
        </w:rPr>
        <w:t>本次项目支出绩效自评采用</w:t>
      </w:r>
      <w:r>
        <w:rPr>
          <w:rFonts w:hint="eastAsia"/>
          <w:bCs/>
          <w:color w:val="auto"/>
          <w:sz w:val="32"/>
          <w:szCs w:val="32"/>
          <w:highlight w:val="none"/>
          <w:lang w:val="en-US" w:eastAsia="zh-CN"/>
        </w:rPr>
        <w:t>因素分析法</w:t>
      </w:r>
      <w:r>
        <w:rPr>
          <w:rFonts w:hint="eastAsia"/>
          <w:bCs/>
          <w:color w:val="auto"/>
          <w:sz w:val="32"/>
          <w:szCs w:val="32"/>
          <w:highlight w:val="none"/>
        </w:rPr>
        <w:t>，原因是：</w:t>
      </w:r>
      <w:r>
        <w:rPr>
          <w:rFonts w:hint="eastAsia" w:ascii="仿宋_GB2312" w:hAnsi="仿宋_GB2312" w:eastAsia="仿宋_GB2312" w:cs="仿宋_GB2312"/>
          <w:color w:val="auto"/>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pacing w:val="17"/>
          <w:sz w:val="32"/>
          <w:szCs w:val="32"/>
          <w:highlight w:val="none"/>
        </w:rPr>
        <w:t>的开展情况、项目产出数量、成本控制、资金拨付文件及自评报告等相关资料的收集和审核，综合分析各因素对绩效目标实现的影响。</w:t>
      </w:r>
    </w:p>
    <w:p>
      <w:pPr>
        <w:spacing w:line="360" w:lineRule="auto"/>
        <w:rPr>
          <w:rFonts w:hint="eastAsia"/>
          <w:bCs/>
          <w:color w:val="FF0000"/>
          <w:sz w:val="32"/>
          <w:szCs w:val="32"/>
          <w:highlight w:val="none"/>
        </w:rPr>
      </w:pPr>
    </w:p>
    <w:p>
      <w:pPr>
        <w:spacing w:line="360" w:lineRule="auto"/>
        <w:rPr>
          <w:rFonts w:hint="eastAsia"/>
          <w:highlight w:val="none"/>
        </w:rPr>
      </w:pPr>
      <w:r>
        <w:rPr>
          <w:rFonts w:hint="eastAsia"/>
          <w:highlight w:val="none"/>
        </w:rPr>
        <w:t>4、评价标准</w:t>
      </w:r>
    </w:p>
    <w:p>
      <w:pPr>
        <w:spacing w:line="560" w:lineRule="exact"/>
        <w:ind w:firstLine="640" w:firstLineChars="200"/>
        <w:jc w:val="left"/>
        <w:rPr>
          <w:rFonts w:hint="eastAsia"/>
          <w:bCs/>
          <w:color w:val="FF0000"/>
          <w:sz w:val="32"/>
          <w:szCs w:val="32"/>
          <w:highlight w:val="yellow"/>
        </w:rPr>
      </w:pPr>
      <w:bookmarkStart w:id="6" w:name="_Toc68703833"/>
      <w:r>
        <w:rPr>
          <w:rFonts w:hint="eastAsia"/>
          <w:bCs/>
          <w:color w:val="auto"/>
          <w:sz w:val="32"/>
          <w:szCs w:val="32"/>
          <w:highlight w:val="none"/>
        </w:rPr>
        <w:t>本次项目支出绩效自评采用</w:t>
      </w:r>
      <w:r>
        <w:rPr>
          <w:rFonts w:hint="eastAsia"/>
          <w:bCs/>
          <w:color w:val="auto"/>
          <w:sz w:val="32"/>
          <w:szCs w:val="32"/>
          <w:highlight w:val="none"/>
          <w:lang w:val="en-US" w:eastAsia="zh-CN"/>
        </w:rPr>
        <w:t>计划</w:t>
      </w:r>
      <w:r>
        <w:rPr>
          <w:rFonts w:hint="eastAsia"/>
          <w:bCs/>
          <w:color w:val="auto"/>
          <w:sz w:val="32"/>
          <w:szCs w:val="32"/>
          <w:highlight w:val="none"/>
        </w:rPr>
        <w:t>标准</w:t>
      </w:r>
      <w:r>
        <w:rPr>
          <w:rFonts w:hint="eastAsia"/>
          <w:bCs/>
          <w:color w:val="auto"/>
          <w:sz w:val="32"/>
          <w:szCs w:val="32"/>
          <w:highlight w:val="none"/>
          <w:lang w:val="en-US" w:eastAsia="zh-CN"/>
        </w:rPr>
        <w:t>和行业标准</w:t>
      </w:r>
      <w:r>
        <w:rPr>
          <w:rFonts w:hint="eastAsia"/>
          <w:bCs/>
          <w:color w:val="auto"/>
          <w:sz w:val="32"/>
          <w:szCs w:val="32"/>
          <w:highlight w:val="none"/>
        </w:rPr>
        <w:t>，原因是：</w:t>
      </w:r>
      <w:r>
        <w:rPr>
          <w:rFonts w:hint="eastAsia" w:ascii="Times New Roman" w:hAnsi="Times New Roman" w:eastAsia="仿宋_GB2312" w:cs="Times New Roman"/>
          <w:b w:val="0"/>
          <w:bCs/>
          <w:color w:val="auto"/>
          <w:kern w:val="2"/>
          <w:sz w:val="32"/>
          <w:szCs w:val="32"/>
          <w:highlight w:val="none"/>
          <w:lang w:val="en-US" w:eastAsia="zh-CN" w:bidi="ar-SA"/>
        </w:rPr>
        <w:t>计划标准</w:t>
      </w:r>
      <w:r>
        <w:rPr>
          <w:rFonts w:hint="eastAsia" w:cs="Times New Roman"/>
          <w:b w:val="0"/>
          <w:bCs/>
          <w:color w:val="auto"/>
          <w:kern w:val="2"/>
          <w:sz w:val="32"/>
          <w:szCs w:val="32"/>
          <w:highlight w:val="none"/>
          <w:lang w:val="en-US" w:eastAsia="zh-CN" w:bidi="ar-SA"/>
        </w:rPr>
        <w:t>原因是制定</w:t>
      </w:r>
      <w:r>
        <w:rPr>
          <w:rFonts w:hint="eastAsia"/>
          <w:bCs/>
          <w:color w:val="auto"/>
          <w:sz w:val="32"/>
          <w:szCs w:val="32"/>
          <w:highlight w:val="none"/>
        </w:rPr>
        <w:t>目标、计划、预算、定额等作为评价标准</w:t>
      </w:r>
      <w:r>
        <w:rPr>
          <w:rFonts w:hint="eastAsia"/>
          <w:bCs/>
          <w:color w:val="auto"/>
          <w:sz w:val="32"/>
          <w:szCs w:val="32"/>
          <w:highlight w:val="none"/>
          <w:lang w:eastAsia="zh-CN"/>
        </w:rPr>
        <w:t>，此项目资金安排流程正式按此格式来完成的。行业标准</w:t>
      </w:r>
      <w:r>
        <w:rPr>
          <w:rFonts w:hint="eastAsia"/>
          <w:bCs/>
          <w:color w:val="auto"/>
          <w:sz w:val="32"/>
          <w:szCs w:val="32"/>
          <w:highlight w:val="none"/>
          <w:lang w:val="en-US" w:eastAsia="zh-CN"/>
        </w:rPr>
        <w:t>原因</w:t>
      </w:r>
      <w:r>
        <w:rPr>
          <w:rFonts w:hint="eastAsia"/>
          <w:bCs/>
          <w:color w:val="auto"/>
          <w:sz w:val="32"/>
          <w:szCs w:val="32"/>
          <w:highlight w:val="none"/>
          <w:lang w:eastAsia="zh-CN"/>
        </w:rPr>
        <w:t>是比较规范的能确保此项目的规范性和安全性。</w:t>
      </w:r>
    </w:p>
    <w:p>
      <w:pPr>
        <w:spacing w:line="560" w:lineRule="exact"/>
        <w:ind w:firstLine="600" w:firstLineChars="200"/>
        <w:jc w:val="left"/>
        <w:rPr>
          <w:rFonts w:hint="eastAsia" w:ascii="仿宋_GB2312" w:eastAsia="仿宋_GB2312"/>
          <w:b w:val="0"/>
          <w:bCs w:val="0"/>
          <w:highlight w:val="none"/>
        </w:rPr>
      </w:pPr>
      <w:r>
        <w:rPr>
          <w:rFonts w:hint="eastAsia" w:ascii="仿宋_GB2312" w:eastAsia="仿宋_GB2312"/>
          <w:b w:val="0"/>
          <w:bCs w:val="0"/>
          <w:highlight w:val="none"/>
        </w:rPr>
        <w:t>（三）绩效评价工作过程。</w:t>
      </w:r>
      <w:bookmarkEnd w:id="6"/>
    </w:p>
    <w:p>
      <w:pPr>
        <w:spacing w:line="360" w:lineRule="auto"/>
      </w:pPr>
      <w:bookmarkStart w:id="7" w:name="_Toc68703834"/>
      <w:r>
        <w:rPr>
          <w:rFonts w:hint="eastAsia"/>
        </w:rPr>
        <w:t>1、前期准备：</w:t>
      </w:r>
    </w:p>
    <w:p>
      <w:pPr>
        <w:spacing w:line="360" w:lineRule="auto"/>
        <w:ind w:firstLine="600" w:firstLineChars="200"/>
        <w:rPr>
          <w:color w:val="auto"/>
        </w:rPr>
      </w:pPr>
      <w:r>
        <w:rPr>
          <w:rFonts w:hint="eastAsia"/>
          <w:color w:val="auto"/>
        </w:rPr>
        <w:t>2</w:t>
      </w:r>
      <w:r>
        <w:rPr>
          <w:color w:val="auto"/>
        </w:rPr>
        <w:t>022</w:t>
      </w:r>
      <w:r>
        <w:rPr>
          <w:rFonts w:hint="eastAsia"/>
          <w:color w:val="auto"/>
        </w:rPr>
        <w:t xml:space="preserve">年 </w:t>
      </w:r>
      <w:r>
        <w:rPr>
          <w:rFonts w:hint="eastAsia"/>
          <w:color w:val="auto"/>
          <w:lang w:val="en-US" w:eastAsia="zh-CN"/>
        </w:rPr>
        <w:t>3</w:t>
      </w:r>
      <w:r>
        <w:rPr>
          <w:rFonts w:hint="eastAsia"/>
          <w:color w:val="auto"/>
        </w:rPr>
        <w:t xml:space="preserve">月 </w:t>
      </w:r>
      <w:r>
        <w:rPr>
          <w:rFonts w:hint="eastAsia"/>
          <w:color w:val="auto"/>
          <w:lang w:val="en-US" w:eastAsia="zh-CN"/>
        </w:rPr>
        <w:t>1</w:t>
      </w:r>
      <w:r>
        <w:rPr>
          <w:color w:val="auto"/>
        </w:rPr>
        <w:t xml:space="preserve"> </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rPr>
          <w:color w:val="auto"/>
        </w:rPr>
      </w:pPr>
      <w:r>
        <w:rPr>
          <w:color w:val="auto"/>
        </w:rPr>
        <w:t>2</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022</w:t>
      </w:r>
      <w:r>
        <w:rPr>
          <w:rFonts w:hint="eastAsia"/>
          <w:color w:val="auto"/>
        </w:rPr>
        <w:t xml:space="preserve">年 </w:t>
      </w:r>
      <w:r>
        <w:rPr>
          <w:rFonts w:hint="eastAsia"/>
          <w:color w:val="auto"/>
          <w:lang w:val="en-US" w:eastAsia="zh-CN"/>
        </w:rPr>
        <w:t>3</w:t>
      </w:r>
      <w:r>
        <w:rPr>
          <w:color w:val="auto"/>
        </w:rPr>
        <w:t xml:space="preserve">  </w:t>
      </w:r>
      <w:r>
        <w:rPr>
          <w:rFonts w:hint="eastAsia"/>
          <w:color w:val="auto"/>
        </w:rPr>
        <w:t xml:space="preserve">月 </w:t>
      </w:r>
      <w:r>
        <w:rPr>
          <w:rFonts w:hint="eastAsia"/>
          <w:color w:val="auto"/>
          <w:lang w:val="en-US" w:eastAsia="zh-CN"/>
        </w:rPr>
        <w:t>5</w:t>
      </w:r>
      <w:r>
        <w:rPr>
          <w:color w:val="auto"/>
        </w:rPr>
        <w:t xml:space="preserve"> </w:t>
      </w:r>
      <w:r>
        <w:rPr>
          <w:rFonts w:hint="eastAsia"/>
          <w:color w:val="auto"/>
        </w:rPr>
        <w:t>日-</w:t>
      </w:r>
      <w:r>
        <w:rPr>
          <w:color w:val="auto"/>
        </w:rPr>
        <w:t xml:space="preserve">  </w:t>
      </w:r>
      <w:r>
        <w:rPr>
          <w:rFonts w:hint="eastAsia"/>
          <w:color w:val="auto"/>
          <w:lang w:val="en-US" w:eastAsia="zh-CN"/>
        </w:rPr>
        <w:t>3</w:t>
      </w:r>
      <w:r>
        <w:rPr>
          <w:color w:val="auto"/>
        </w:rPr>
        <w:t xml:space="preserve">  </w:t>
      </w:r>
      <w:r>
        <w:rPr>
          <w:rFonts w:hint="eastAsia"/>
          <w:color w:val="auto"/>
        </w:rPr>
        <w:t xml:space="preserve">月 </w:t>
      </w:r>
      <w:r>
        <w:rPr>
          <w:rFonts w:hint="eastAsia"/>
          <w:color w:val="auto"/>
          <w:lang w:val="en-US" w:eastAsia="zh-CN"/>
        </w:rPr>
        <w:t>15</w:t>
      </w:r>
      <w:r>
        <w:rPr>
          <w:color w:val="auto"/>
        </w:rPr>
        <w:t xml:space="preserve">   </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rPr>
          <w:color w:val="auto"/>
        </w:rPr>
      </w:pPr>
      <w:r>
        <w:rPr>
          <w:rFonts w:hint="eastAsia"/>
          <w:color w:val="auto"/>
        </w:rPr>
        <w:t>3、分析评价：</w:t>
      </w:r>
    </w:p>
    <w:p>
      <w:pPr>
        <w:spacing w:line="360" w:lineRule="auto"/>
        <w:ind w:firstLine="600" w:firstLineChars="200"/>
        <w:rPr>
          <w:rFonts w:ascii="仿宋_GB2312"/>
          <w:color w:val="auto"/>
        </w:rPr>
      </w:pPr>
      <w:r>
        <w:rPr>
          <w:rFonts w:hint="eastAsia"/>
          <w:color w:val="auto"/>
        </w:rPr>
        <w:t>202</w:t>
      </w:r>
      <w:r>
        <w:rPr>
          <w:color w:val="auto"/>
        </w:rPr>
        <w:t>2</w:t>
      </w:r>
      <w:r>
        <w:rPr>
          <w:rFonts w:hint="eastAsia"/>
          <w:color w:val="auto"/>
        </w:rPr>
        <w:t>年</w:t>
      </w:r>
      <w:r>
        <w:rPr>
          <w:color w:val="auto"/>
        </w:rPr>
        <w:t xml:space="preserve"> </w:t>
      </w:r>
      <w:r>
        <w:rPr>
          <w:rFonts w:hint="eastAsia"/>
          <w:color w:val="auto"/>
          <w:lang w:val="en-US" w:eastAsia="zh-CN"/>
        </w:rPr>
        <w:t>3</w:t>
      </w:r>
      <w:r>
        <w:rPr>
          <w:rFonts w:hint="eastAsia"/>
          <w:color w:val="auto"/>
        </w:rPr>
        <w:t xml:space="preserve">月 </w:t>
      </w:r>
      <w:r>
        <w:rPr>
          <w:rFonts w:hint="eastAsia"/>
          <w:color w:val="auto"/>
          <w:lang w:val="en-US" w:eastAsia="zh-CN"/>
        </w:rPr>
        <w:t>16</w:t>
      </w:r>
      <w:r>
        <w:rPr>
          <w:color w:val="auto"/>
        </w:rPr>
        <w:t xml:space="preserve"> </w:t>
      </w:r>
      <w:r>
        <w:rPr>
          <w:rFonts w:hint="eastAsia"/>
          <w:color w:val="auto"/>
        </w:rPr>
        <w:t>日-</w:t>
      </w:r>
      <w:r>
        <w:rPr>
          <w:color w:val="auto"/>
        </w:rPr>
        <w:t xml:space="preserve">  </w:t>
      </w:r>
      <w:r>
        <w:rPr>
          <w:rFonts w:hint="eastAsia"/>
          <w:color w:val="auto"/>
          <w:lang w:val="en-US" w:eastAsia="zh-CN"/>
        </w:rPr>
        <w:t>3</w:t>
      </w:r>
      <w:r>
        <w:rPr>
          <w:rFonts w:hint="eastAsia"/>
          <w:color w:val="auto"/>
        </w:rPr>
        <w:t xml:space="preserve">月 </w:t>
      </w:r>
      <w:r>
        <w:rPr>
          <w:color w:val="auto"/>
        </w:rPr>
        <w:t xml:space="preserve"> </w:t>
      </w:r>
      <w:r>
        <w:rPr>
          <w:rFonts w:hint="eastAsia"/>
          <w:color w:val="auto"/>
          <w:lang w:val="en-US" w:eastAsia="zh-CN"/>
        </w:rPr>
        <w:t>30</w:t>
      </w:r>
      <w:r>
        <w:rPr>
          <w:color w:val="auto"/>
        </w:rPr>
        <w:t xml:space="preserve"> </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highlight w:val="none"/>
        </w:rPr>
      </w:pPr>
      <w:r>
        <w:rPr>
          <w:rFonts w:hint="eastAsia" w:ascii="宋体" w:hAnsi="宋体" w:eastAsia="宋体"/>
          <w:sz w:val="32"/>
          <w:szCs w:val="32"/>
          <w:highlight w:val="none"/>
        </w:rPr>
        <w:t>三、综合评价情况及评价结论</w:t>
      </w:r>
      <w:bookmarkEnd w:id="7"/>
    </w:p>
    <w:p>
      <w:pPr>
        <w:pStyle w:val="4"/>
        <w:pageBreakBefore w:val="0"/>
        <w:widowControl w:val="0"/>
        <w:kinsoku/>
        <w:wordWrap/>
        <w:overflowPunct/>
        <w:topLinePunct w:val="0"/>
        <w:autoSpaceDE/>
        <w:autoSpaceDN/>
        <w:bidi w:val="0"/>
        <w:adjustRightInd/>
        <w:snapToGrid/>
        <w:spacing w:before="0" w:after="0" w:line="560" w:lineRule="exact"/>
        <w:ind w:left="0" w:leftChars="0" w:right="0" w:rightChars="0"/>
        <w:jc w:val="both"/>
        <w:textAlignment w:val="auto"/>
        <w:rPr>
          <w:rFonts w:ascii="仿宋_GB2312" w:eastAsia="仿宋_GB2312"/>
          <w:b w:val="0"/>
          <w:bCs w:val="0"/>
          <w:highlight w:val="none"/>
        </w:rPr>
      </w:pPr>
      <w:bookmarkStart w:id="8" w:name="_Toc68703835"/>
      <w:r>
        <w:rPr>
          <w:rFonts w:hint="eastAsia" w:ascii="仿宋_GB2312" w:eastAsia="仿宋_GB2312"/>
          <w:b w:val="0"/>
          <w:bCs w:val="0"/>
          <w:highlight w:val="none"/>
        </w:rPr>
        <w:t>（一）综合评价情况</w:t>
      </w:r>
      <w:bookmarkEnd w:id="8"/>
    </w:p>
    <w:p>
      <w:pPr>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rPr>
          <w:color w:val="auto"/>
          <w:highlight w:val="none"/>
        </w:rPr>
      </w:pPr>
      <w:r>
        <w:rPr>
          <w:rFonts w:hint="eastAsia"/>
          <w:color w:val="auto"/>
          <w:highlight w:val="none"/>
        </w:rPr>
        <w:t>本项目严格按照</w:t>
      </w:r>
      <w:r>
        <w:rPr>
          <w:rFonts w:hint="eastAsia" w:ascii="仿宋_GB2312"/>
          <w:bCs/>
          <w:color w:val="auto"/>
          <w:kern w:val="0"/>
          <w:sz w:val="32"/>
          <w:szCs w:val="32"/>
          <w:highlight w:val="none"/>
        </w:rPr>
        <w:t>科学公正、统筹兼顾、激励约束、公开透明的</w:t>
      </w:r>
      <w:r>
        <w:rPr>
          <w:rFonts w:hint="eastAsia"/>
          <w:color w:val="auto"/>
          <w:highlight w:val="none"/>
        </w:rPr>
        <w:t>绩效评价原则，采用</w:t>
      </w:r>
      <w:r>
        <w:rPr>
          <w:rFonts w:hint="eastAsia"/>
          <w:color w:val="auto"/>
          <w:highlight w:val="none"/>
          <w:lang w:eastAsia="zh-CN"/>
        </w:rPr>
        <w:t>比较法</w:t>
      </w:r>
      <w:r>
        <w:rPr>
          <w:rFonts w:hint="eastAsia"/>
          <w:color w:val="auto"/>
          <w:highlight w:val="none"/>
        </w:rPr>
        <w:t>，坚持</w:t>
      </w:r>
      <w:r>
        <w:rPr>
          <w:rFonts w:hint="eastAsia"/>
          <w:bCs/>
          <w:color w:val="auto"/>
          <w:sz w:val="32"/>
          <w:szCs w:val="32"/>
          <w:highlight w:val="none"/>
        </w:rPr>
        <w:t>计划</w:t>
      </w:r>
      <w:r>
        <w:rPr>
          <w:rFonts w:hint="eastAsia"/>
          <w:bCs/>
          <w:color w:val="auto"/>
          <w:sz w:val="32"/>
          <w:szCs w:val="32"/>
          <w:highlight w:val="none"/>
          <w:lang w:eastAsia="zh-CN"/>
        </w:rPr>
        <w:t>标准</w:t>
      </w:r>
      <w:r>
        <w:rPr>
          <w:rFonts w:hint="eastAsia"/>
          <w:bCs/>
          <w:color w:val="auto"/>
          <w:sz w:val="32"/>
          <w:szCs w:val="32"/>
          <w:highlight w:val="none"/>
        </w:rPr>
        <w:t>、</w:t>
      </w:r>
      <w:r>
        <w:rPr>
          <w:rFonts w:hint="eastAsia"/>
          <w:bCs/>
          <w:color w:val="auto"/>
          <w:sz w:val="32"/>
          <w:szCs w:val="32"/>
          <w:highlight w:val="none"/>
          <w:lang w:eastAsia="zh-CN"/>
        </w:rPr>
        <w:t>行业标准</w:t>
      </w:r>
      <w:r>
        <w:rPr>
          <w:rFonts w:hint="eastAsia"/>
          <w:color w:val="auto"/>
          <w:highlight w:val="none"/>
        </w:rPr>
        <w:t>对本项目的立项、项绩效目标、资金投入、资金管理、组织实施、产出数量、产出质量、产出时效、产出成本、项目效益进行了综合评价。</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center"/>
        <w:textAlignment w:val="auto"/>
        <w:rPr>
          <w:color w:val="auto"/>
          <w:highlight w:val="none"/>
        </w:rPr>
      </w:pPr>
      <w:r>
        <w:rPr>
          <w:rFonts w:hint="eastAsia" w:ascii="仿宋_GB2312" w:hAnsi="仿宋" w:cs="宋体"/>
          <w:color w:val="333333"/>
          <w:sz w:val="32"/>
          <w:szCs w:val="32"/>
          <w:lang w:val="en-US" w:eastAsia="zh-CN" w:bidi="ar"/>
        </w:rPr>
        <w:t>特克斯县人民代表大会常务委员会办公室基层人大补助经费</w:t>
      </w:r>
      <w:r>
        <w:rPr>
          <w:rFonts w:hint="eastAsia"/>
          <w:color w:val="auto"/>
          <w:highlight w:val="none"/>
        </w:rPr>
        <w:t>项目评价得分情况</w:t>
      </w:r>
    </w:p>
    <w:tbl>
      <w:tblPr>
        <w:tblStyle w:val="9"/>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highlight w:val="none"/>
                <w:lang w:val="en-US" w:eastAsia="zh-CN"/>
              </w:rPr>
            </w:pPr>
            <w:r>
              <w:rPr>
                <w:rFonts w:hint="eastAsia"/>
                <w:color w:val="000000"/>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highlight w:val="none"/>
                <w:lang w:val="en-US" w:eastAsia="zh-CN"/>
              </w:rPr>
            </w:pPr>
            <w:r>
              <w:rPr>
                <w:rFonts w:hint="eastAsia"/>
                <w:color w:val="000000"/>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35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highlight w:val="none"/>
                <w:lang w:val="en-US" w:eastAsia="zh-CN"/>
              </w:rPr>
            </w:pPr>
            <w:r>
              <w:rPr>
                <w:rFonts w:hint="eastAsia"/>
                <w:b/>
                <w:bCs/>
                <w:color w:val="000000"/>
                <w:sz w:val="22"/>
                <w:highlight w:val="none"/>
                <w:lang w:val="en-US" w:eastAsia="zh-CN"/>
              </w:rPr>
              <w:t>95</w:t>
            </w:r>
          </w:p>
        </w:tc>
      </w:tr>
    </w:tbl>
    <w:p>
      <w:pPr>
        <w:pStyle w:val="4"/>
        <w:spacing w:line="360" w:lineRule="auto"/>
        <w:rPr>
          <w:rFonts w:ascii="仿宋_GB2312" w:eastAsia="仿宋_GB2312"/>
          <w:b w:val="0"/>
          <w:bCs w:val="0"/>
          <w:highlight w:val="none"/>
        </w:rPr>
      </w:pPr>
      <w:bookmarkStart w:id="9" w:name="_Toc68703836"/>
      <w:r>
        <w:rPr>
          <w:rFonts w:hint="eastAsia" w:ascii="仿宋_GB2312" w:eastAsia="仿宋_GB2312"/>
          <w:b w:val="0"/>
          <w:bCs w:val="0"/>
          <w:highlight w:val="none"/>
        </w:rPr>
        <w:t>（二）评价结论</w:t>
      </w:r>
      <w:bookmarkEnd w:id="9"/>
    </w:p>
    <w:p>
      <w:pPr>
        <w:spacing w:line="360" w:lineRule="auto"/>
        <w:ind w:firstLine="600" w:firstLineChars="200"/>
        <w:rPr>
          <w:color w:val="auto"/>
          <w:highlight w:val="none"/>
        </w:rPr>
      </w:pPr>
      <w:bookmarkStart w:id="10" w:name="_Toc68703837"/>
      <w:r>
        <w:rPr>
          <w:rFonts w:hint="eastAsia"/>
          <w:color w:val="auto"/>
          <w:highlight w:val="none"/>
        </w:rPr>
        <w:t>本项目的项目决策、项目过程、项目产出、项目效益大部分达到了预期要求，得分为</w:t>
      </w:r>
      <w:r>
        <w:rPr>
          <w:rFonts w:hint="eastAsia"/>
          <w:color w:val="auto"/>
          <w:highlight w:val="none"/>
          <w:lang w:val="en-US" w:eastAsia="zh-CN"/>
        </w:rPr>
        <w:t>95</w:t>
      </w:r>
      <w:r>
        <w:rPr>
          <w:rFonts w:hint="eastAsia"/>
          <w:color w:val="auto"/>
          <w:highlight w:val="none"/>
        </w:rPr>
        <w:t>分，项目大部分达成年度指标，</w:t>
      </w:r>
      <w:r>
        <w:rPr>
          <w:rFonts w:hint="eastAsia"/>
          <w:color w:val="auto"/>
          <w:highlight w:val="none"/>
          <w:lang w:eastAsia="zh-CN"/>
        </w:rPr>
        <w:t>产出</w:t>
      </w:r>
      <w:r>
        <w:rPr>
          <w:rFonts w:hint="eastAsia"/>
          <w:color w:val="auto"/>
          <w:highlight w:val="none"/>
        </w:rPr>
        <w:t>指标未达成年度指标的原因是</w:t>
      </w:r>
      <w:r>
        <w:rPr>
          <w:rFonts w:hint="eastAsia"/>
          <w:color w:val="auto"/>
          <w:highlight w:val="none"/>
          <w:lang w:eastAsia="zh-CN"/>
        </w:rPr>
        <w:t>实际完成值中质量指标和成本指标大于年度指标值</w:t>
      </w:r>
      <w:r>
        <w:rPr>
          <w:rFonts w:hint="eastAsia"/>
          <w:color w:val="auto"/>
          <w:highlight w:val="none"/>
        </w:rPr>
        <w:t>。</w:t>
      </w:r>
    </w:p>
    <w:p>
      <w:pPr>
        <w:spacing w:line="360" w:lineRule="auto"/>
        <w:ind w:firstLine="600" w:firstLineChars="200"/>
        <w:rPr>
          <w:color w:val="FF0000"/>
        </w:rPr>
      </w:pPr>
    </w:p>
    <w:p>
      <w:pPr>
        <w:pStyle w:val="3"/>
        <w:spacing w:line="360" w:lineRule="auto"/>
        <w:rPr>
          <w:rFonts w:ascii="宋体" w:hAnsi="宋体" w:eastAsia="宋体"/>
          <w:sz w:val="32"/>
          <w:szCs w:val="32"/>
          <w:highlight w:val="none"/>
        </w:rPr>
      </w:pPr>
      <w:r>
        <w:rPr>
          <w:rFonts w:hint="eastAsia" w:ascii="宋体" w:hAnsi="宋体" w:eastAsia="宋体"/>
          <w:sz w:val="32"/>
          <w:szCs w:val="32"/>
          <w:highlight w:val="none"/>
        </w:rPr>
        <w:t>四、绩效评价指标分析</w:t>
      </w:r>
      <w:bookmarkEnd w:id="10"/>
    </w:p>
    <w:p>
      <w:pPr>
        <w:pStyle w:val="4"/>
        <w:pageBreakBefore w:val="0"/>
        <w:widowControl w:val="0"/>
        <w:kinsoku/>
        <w:wordWrap/>
        <w:overflowPunct/>
        <w:topLinePunct w:val="0"/>
        <w:autoSpaceDE/>
        <w:autoSpaceDN/>
        <w:bidi w:val="0"/>
        <w:adjustRightInd/>
        <w:snapToGrid/>
        <w:spacing w:before="0" w:after="0" w:line="560" w:lineRule="exact"/>
        <w:ind w:left="0" w:leftChars="0" w:right="0" w:rightChars="0"/>
        <w:jc w:val="both"/>
        <w:textAlignment w:val="auto"/>
        <w:rPr>
          <w:rFonts w:hint="eastAsia" w:ascii="仿宋_GB2312" w:eastAsia="仿宋_GB2312"/>
          <w:b w:val="0"/>
          <w:bCs w:val="0"/>
          <w:highlight w:val="none"/>
        </w:rPr>
      </w:pPr>
      <w:bookmarkStart w:id="11" w:name="_Toc68703838"/>
      <w:r>
        <w:rPr>
          <w:rFonts w:hint="eastAsia" w:ascii="仿宋_GB2312" w:eastAsia="仿宋_GB2312"/>
          <w:b w:val="0"/>
          <w:bCs w:val="0"/>
          <w:highlight w:val="none"/>
        </w:rPr>
        <w:t>（一）项目决策情况。</w:t>
      </w:r>
      <w:bookmarkEnd w:id="11"/>
    </w:p>
    <w:p>
      <w:pPr>
        <w:spacing w:line="360" w:lineRule="auto"/>
        <w:ind w:firstLine="600" w:firstLineChars="200"/>
        <w:rPr>
          <w:color w:val="auto"/>
        </w:rPr>
      </w:pPr>
      <w:r>
        <w:rPr>
          <w:rFonts w:hint="eastAsia"/>
          <w:color w:val="auto"/>
        </w:rPr>
        <w:t>项目立项符合国家法律法规、国民经济发展规划和相关政策；</w:t>
      </w:r>
    </w:p>
    <w:p>
      <w:pPr>
        <w:spacing w:line="360" w:lineRule="auto"/>
        <w:rPr>
          <w:rFonts w:hint="eastAsia"/>
          <w:color w:val="auto"/>
        </w:rPr>
      </w:pP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不</w:t>
      </w:r>
      <w:r>
        <w:rPr>
          <w:rFonts w:hint="eastAsia"/>
          <w:color w:val="auto"/>
        </w:rPr>
        <w:t>与相关部门同类项目或部门内部相关项目重复。</w:t>
      </w:r>
    </w:p>
    <w:p>
      <w:pPr>
        <w:keepNext w:val="0"/>
        <w:keepLines w:val="0"/>
        <w:pageBreakBefore w:val="0"/>
        <w:widowControl w:val="0"/>
        <w:numPr>
          <w:ilvl w:val="0"/>
          <w:numId w:val="1"/>
        </w:numPr>
        <w:kinsoku/>
        <w:wordWrap/>
        <w:overflowPunct/>
        <w:topLinePunct w:val="0"/>
        <w:autoSpaceDE/>
        <w:autoSpaceDN/>
        <w:bidi w:val="0"/>
        <w:adjustRightInd/>
        <w:snapToGrid/>
        <w:spacing w:before="206" w:beforeLines="50" w:after="206" w:afterLines="50" w:line="360" w:lineRule="auto"/>
        <w:ind w:left="0" w:leftChars="0" w:right="0" w:rightChars="0" w:firstLine="0" w:firstLineChars="0"/>
        <w:jc w:val="both"/>
        <w:textAlignment w:val="auto"/>
        <w:outlineLvl w:val="9"/>
        <w:rPr>
          <w:rFonts w:hint="eastAsia"/>
          <w:highlight w:val="none"/>
        </w:rPr>
      </w:pPr>
      <w:r>
        <w:rPr>
          <w:rFonts w:hint="eastAsia"/>
          <w:highlight w:val="none"/>
        </w:rPr>
        <w:t>立项程序规范性</w:t>
      </w:r>
    </w:p>
    <w:p>
      <w:pPr>
        <w:keepNext w:val="0"/>
        <w:keepLines w:val="0"/>
        <w:pageBreakBefore w:val="0"/>
        <w:widowControl w:val="0"/>
        <w:numPr>
          <w:ilvl w:val="0"/>
          <w:numId w:val="0"/>
        </w:numPr>
        <w:kinsoku/>
        <w:wordWrap/>
        <w:overflowPunct/>
        <w:topLinePunct w:val="0"/>
        <w:autoSpaceDE/>
        <w:autoSpaceDN/>
        <w:bidi w:val="0"/>
        <w:adjustRightInd/>
        <w:snapToGrid/>
        <w:spacing w:before="206" w:beforeLines="50" w:after="206" w:afterLines="50" w:line="360" w:lineRule="auto"/>
        <w:ind w:leftChars="0" w:right="0" w:rightChars="0" w:firstLine="600" w:firstLineChars="200"/>
        <w:jc w:val="both"/>
        <w:textAlignment w:val="auto"/>
        <w:outlineLvl w:val="9"/>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项目是按照规定的程序申请设立；审批文件、材料符合相关要求；事前已经过必要的可行性研究、专家论证、风险评估、绩效评估、集体决策。</w:t>
      </w:r>
    </w:p>
    <w:p>
      <w:pPr>
        <w:numPr>
          <w:ilvl w:val="0"/>
          <w:numId w:val="1"/>
        </w:numPr>
        <w:spacing w:line="360" w:lineRule="auto"/>
        <w:ind w:left="0" w:leftChars="0" w:firstLine="0" w:firstLineChars="0"/>
        <w:rPr>
          <w:rFonts w:hint="eastAsia"/>
          <w:highlight w:val="none"/>
        </w:rPr>
      </w:pPr>
      <w:r>
        <w:rPr>
          <w:rFonts w:hint="eastAsia"/>
          <w:highlight w:val="none"/>
        </w:rPr>
        <w:t>绩效目标合理性</w:t>
      </w:r>
    </w:p>
    <w:p>
      <w:pPr>
        <w:numPr>
          <w:ilvl w:val="0"/>
          <w:numId w:val="0"/>
        </w:numPr>
        <w:spacing w:line="360" w:lineRule="auto"/>
        <w:ind w:leftChars="0" w:firstLine="60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项目有绩效目标；项目绩效目标与实际工作内容具有相关性；</w:t>
      </w:r>
    </w:p>
    <w:p>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项目预期产出效益和效果符合正常的业绩水平；与预算确定的项目投资额或资金量相匹配。</w:t>
      </w:r>
    </w:p>
    <w:p>
      <w:pPr>
        <w:spacing w:line="360" w:lineRule="auto"/>
        <w:rPr>
          <w:highlight w:val="none"/>
        </w:rPr>
      </w:pPr>
      <w:r>
        <w:rPr>
          <w:rFonts w:hint="eastAsia"/>
          <w:highlight w:val="none"/>
        </w:rPr>
        <w:t>4、绩效指标明确性</w:t>
      </w:r>
    </w:p>
    <w:p>
      <w:pPr>
        <w:spacing w:line="360" w:lineRule="auto"/>
        <w:ind w:firstLine="600" w:firstLineChars="200"/>
        <w:rPr>
          <w:rFonts w:hint="eastAsia" w:ascii="Times New Roman" w:hAnsi="Times New Roman" w:cs="Times New Roman"/>
          <w:color w:val="auto"/>
          <w:highlight w:val="none"/>
          <w:lang w:val="en-US" w:eastAsia="zh-CN"/>
        </w:rPr>
      </w:pPr>
      <w:bookmarkStart w:id="12" w:name="_Hlk68699917"/>
      <w:r>
        <w:rPr>
          <w:rFonts w:hint="eastAsia" w:ascii="Times New Roman" w:hAnsi="Times New Roman" w:cs="Times New Roman"/>
          <w:color w:val="auto"/>
          <w:highlight w:val="none"/>
          <w:lang w:val="en-US" w:eastAsia="zh-CN"/>
        </w:rPr>
        <w:t>特克斯县人民代表大会常务委员会办公室基层人大补助经费设项目将项目绩效目标细化分解为具体的绩效指标，一级指标共3条，二级指标共8条，三级指标共1</w:t>
      </w:r>
      <w:r>
        <w:rPr>
          <w:rFonts w:hint="eastAsia" w:cs="Times New Roman"/>
          <w:color w:val="auto"/>
          <w:highlight w:val="none"/>
          <w:lang w:val="en-US" w:eastAsia="zh-CN"/>
        </w:rPr>
        <w:t>7</w:t>
      </w:r>
      <w:r>
        <w:rPr>
          <w:rFonts w:hint="eastAsia" w:ascii="Times New Roman" w:hAnsi="Times New Roman" w:cs="Times New Roman"/>
          <w:color w:val="auto"/>
          <w:highlight w:val="none"/>
          <w:lang w:val="en-US" w:eastAsia="zh-CN"/>
        </w:rPr>
        <w:t>条，</w:t>
      </w:r>
      <w:r>
        <w:rPr>
          <w:rFonts w:hint="eastAsia"/>
          <w:color w:val="auto"/>
        </w:rPr>
        <w:t>其中量化指标条数共</w:t>
      </w:r>
      <w:r>
        <w:rPr>
          <w:rFonts w:hint="eastAsia"/>
          <w:color w:val="auto"/>
          <w:lang w:val="en-US" w:eastAsia="zh-CN"/>
        </w:rPr>
        <w:t>14</w:t>
      </w:r>
      <w:r>
        <w:rPr>
          <w:rFonts w:hint="eastAsia"/>
          <w:color w:val="auto"/>
        </w:rPr>
        <w:t>条</w:t>
      </w:r>
      <w:r>
        <w:rPr>
          <w:rFonts w:hint="eastAsia"/>
          <w:color w:val="auto"/>
          <w:lang w:eastAsia="zh-CN"/>
        </w:rPr>
        <w:t>，</w:t>
      </w:r>
      <w:r>
        <w:rPr>
          <w:rFonts w:hint="eastAsia" w:ascii="Times New Roman" w:hAnsi="Times New Roman" w:cs="Times New Roman"/>
          <w:color w:val="auto"/>
          <w:highlight w:val="none"/>
          <w:lang w:val="en-US" w:eastAsia="zh-CN"/>
        </w:rPr>
        <w:t>所有绩效指标均通过清晰、可衡量的指标值予以体现，并且做到了与项目目标任务数或计划数相对应。</w:t>
      </w:r>
      <w:bookmarkEnd w:id="12"/>
    </w:p>
    <w:p>
      <w:pPr>
        <w:spacing w:line="360" w:lineRule="auto"/>
        <w:rPr>
          <w:highlight w:val="none"/>
        </w:rPr>
      </w:pPr>
      <w:r>
        <w:rPr>
          <w:rFonts w:hint="eastAsia"/>
          <w:highlight w:val="none"/>
        </w:rPr>
        <w:t>5、预算编制科学性</w:t>
      </w:r>
    </w:p>
    <w:p>
      <w:pPr>
        <w:spacing w:line="360" w:lineRule="auto"/>
        <w:ind w:firstLine="600" w:firstLineChars="200"/>
        <w:rPr>
          <w:color w:val="auto"/>
          <w:highlight w:val="none"/>
        </w:rPr>
      </w:pPr>
      <w:r>
        <w:rPr>
          <w:rFonts w:hint="eastAsia"/>
          <w:color w:val="auto"/>
          <w:highlight w:val="none"/>
          <w:lang w:eastAsia="zh-CN"/>
        </w:rPr>
        <w:t>本项目</w:t>
      </w:r>
      <w:r>
        <w:rPr>
          <w:rFonts w:hint="eastAsia"/>
          <w:color w:val="auto"/>
          <w:highlight w:val="none"/>
        </w:rPr>
        <w:t>预算编制经过科学论证</w:t>
      </w:r>
      <w:r>
        <w:rPr>
          <w:rFonts w:hint="eastAsia"/>
          <w:color w:val="auto"/>
          <w:highlight w:val="none"/>
          <w:lang w:eastAsia="zh-CN"/>
        </w:rPr>
        <w:t>；</w:t>
      </w:r>
      <w:r>
        <w:rPr>
          <w:rFonts w:hint="eastAsia"/>
          <w:color w:val="auto"/>
          <w:highlight w:val="none"/>
        </w:rPr>
        <w:t>预算内容与项目内容</w:t>
      </w:r>
      <w:r>
        <w:rPr>
          <w:rFonts w:hint="eastAsia"/>
          <w:color w:val="auto"/>
          <w:highlight w:val="none"/>
          <w:lang w:eastAsia="zh-CN"/>
        </w:rPr>
        <w:t>相互</w:t>
      </w:r>
      <w:r>
        <w:rPr>
          <w:rFonts w:hint="eastAsia"/>
          <w:color w:val="auto"/>
          <w:highlight w:val="none"/>
        </w:rPr>
        <w:t>匹配</w:t>
      </w:r>
      <w:r>
        <w:rPr>
          <w:rFonts w:hint="eastAsia"/>
          <w:color w:val="auto"/>
          <w:highlight w:val="none"/>
          <w:lang w:eastAsia="zh-CN"/>
        </w:rPr>
        <w:t>；</w:t>
      </w:r>
      <w:r>
        <w:rPr>
          <w:rFonts w:hint="eastAsia"/>
          <w:color w:val="auto"/>
          <w:highlight w:val="none"/>
        </w:rPr>
        <w:t>预算额度测算依据充分，是按照标准编制</w:t>
      </w:r>
      <w:r>
        <w:rPr>
          <w:rFonts w:hint="eastAsia"/>
          <w:color w:val="auto"/>
          <w:highlight w:val="none"/>
          <w:lang w:eastAsia="zh-CN"/>
        </w:rPr>
        <w:t>；</w:t>
      </w:r>
      <w:r>
        <w:rPr>
          <w:rFonts w:hint="eastAsia"/>
          <w:color w:val="auto"/>
          <w:highlight w:val="none"/>
        </w:rPr>
        <w:t>预算确定的项目资金量与工作任务相匹配。</w:t>
      </w:r>
    </w:p>
    <w:p>
      <w:pPr>
        <w:spacing w:line="360" w:lineRule="auto"/>
        <w:rPr>
          <w:highlight w:val="none"/>
        </w:rPr>
      </w:pPr>
      <w:r>
        <w:rPr>
          <w:rFonts w:hint="eastAsia"/>
          <w:highlight w:val="none"/>
        </w:rPr>
        <w:t>6、资金分配合理性</w:t>
      </w:r>
    </w:p>
    <w:p>
      <w:pPr>
        <w:spacing w:line="360" w:lineRule="auto"/>
        <w:ind w:firstLine="600" w:firstLineChars="200"/>
        <w:rPr>
          <w:rFonts w:hint="eastAsia" w:eastAsia="仿宋_GB2312"/>
          <w:color w:val="FF0000"/>
          <w:highlight w:val="none"/>
          <w:lang w:eastAsia="zh-CN"/>
        </w:rPr>
      </w:pPr>
      <w:r>
        <w:rPr>
          <w:rFonts w:hint="eastAsia"/>
          <w:color w:val="auto"/>
          <w:highlight w:val="none"/>
          <w:lang w:eastAsia="zh-CN"/>
        </w:rPr>
        <w:t>该项目</w:t>
      </w:r>
      <w:r>
        <w:rPr>
          <w:rFonts w:hint="eastAsia"/>
          <w:color w:val="auto"/>
          <w:highlight w:val="none"/>
        </w:rPr>
        <w:t>预算资金分配依据充分</w:t>
      </w:r>
      <w:r>
        <w:rPr>
          <w:rFonts w:hint="eastAsia"/>
          <w:color w:val="auto"/>
          <w:highlight w:val="none"/>
          <w:lang w:eastAsia="zh-CN"/>
        </w:rPr>
        <w:t>；</w:t>
      </w:r>
      <w:r>
        <w:rPr>
          <w:rFonts w:hint="eastAsia"/>
          <w:color w:val="auto"/>
          <w:highlight w:val="none"/>
        </w:rPr>
        <w:t>资金分配额度合理，与地方实际相适应</w:t>
      </w:r>
      <w:r>
        <w:rPr>
          <w:rFonts w:hint="eastAsia"/>
          <w:color w:val="auto"/>
          <w:highlight w:val="none"/>
          <w:lang w:eastAsia="zh-CN"/>
        </w:rPr>
        <w:t>。</w:t>
      </w:r>
    </w:p>
    <w:p>
      <w:pPr>
        <w:pStyle w:val="4"/>
        <w:spacing w:line="360" w:lineRule="auto"/>
        <w:rPr>
          <w:rFonts w:ascii="仿宋_GB2312" w:eastAsia="仿宋_GB2312"/>
          <w:b w:val="0"/>
          <w:bCs w:val="0"/>
          <w:highlight w:val="none"/>
        </w:rPr>
      </w:pPr>
      <w:bookmarkStart w:id="13" w:name="_Toc68703839"/>
      <w:r>
        <w:rPr>
          <w:rFonts w:hint="eastAsia" w:ascii="仿宋_GB2312" w:eastAsia="仿宋_GB2312"/>
          <w:b w:val="0"/>
          <w:bCs w:val="0"/>
          <w:highlight w:val="none"/>
        </w:rPr>
        <w:t>（二）项目过程情况。</w:t>
      </w:r>
      <w:bookmarkEnd w:id="13"/>
    </w:p>
    <w:p>
      <w:pPr>
        <w:spacing w:line="360" w:lineRule="auto"/>
        <w:rPr>
          <w:highlight w:val="none"/>
        </w:rPr>
      </w:pPr>
      <w:r>
        <w:rPr>
          <w:rFonts w:hint="eastAsia"/>
          <w:highlight w:val="none"/>
        </w:rPr>
        <w:t>1、资金到位率：</w:t>
      </w:r>
    </w:p>
    <w:p>
      <w:pPr>
        <w:spacing w:line="360" w:lineRule="auto"/>
        <w:ind w:firstLine="600" w:firstLineChars="200"/>
        <w:rPr>
          <w:rFonts w:hint="default" w:eastAsia="仿宋_GB2312"/>
          <w:color w:val="auto"/>
          <w:highlight w:val="none"/>
          <w:lang w:val="en-US" w:eastAsia="zh-CN"/>
        </w:rPr>
      </w:pPr>
      <w:r>
        <w:rPr>
          <w:rFonts w:hint="eastAsia"/>
          <w:color w:val="auto"/>
          <w:highlight w:val="none"/>
        </w:rPr>
        <w:t>预算资金</w:t>
      </w:r>
      <w:r>
        <w:rPr>
          <w:rFonts w:hint="eastAsia"/>
          <w:color w:val="auto"/>
          <w:highlight w:val="none"/>
          <w:lang w:val="en-US" w:eastAsia="zh-CN"/>
        </w:rPr>
        <w:t>6</w:t>
      </w:r>
      <w:r>
        <w:rPr>
          <w:rFonts w:hint="eastAsia"/>
          <w:color w:val="auto"/>
          <w:highlight w:val="none"/>
        </w:rPr>
        <w:t>万元，实际到位资金</w:t>
      </w:r>
      <w:r>
        <w:rPr>
          <w:rFonts w:hint="eastAsia"/>
          <w:color w:val="auto"/>
          <w:highlight w:val="none"/>
          <w:lang w:val="en-US" w:eastAsia="zh-CN"/>
        </w:rPr>
        <w:t>6</w:t>
      </w:r>
      <w:r>
        <w:rPr>
          <w:rFonts w:hint="eastAsia"/>
          <w:color w:val="auto"/>
          <w:highlight w:val="none"/>
        </w:rPr>
        <w:t>万元，资金到位率</w:t>
      </w:r>
      <w:r>
        <w:rPr>
          <w:rFonts w:hint="eastAsia"/>
          <w:color w:val="auto"/>
          <w:highlight w:val="none"/>
          <w:lang w:val="en-US" w:eastAsia="zh-CN"/>
        </w:rPr>
        <w:t>100</w:t>
      </w:r>
      <w:r>
        <w:rPr>
          <w:color w:val="auto"/>
          <w:highlight w:val="none"/>
        </w:rPr>
        <w:t>.</w:t>
      </w:r>
      <w:r>
        <w:rPr>
          <w:rFonts w:hint="eastAsia"/>
          <w:color w:val="auto"/>
          <w:highlight w:val="none"/>
          <w:lang w:val="en-US" w:eastAsia="zh-CN"/>
        </w:rPr>
        <w:t>00</w:t>
      </w:r>
      <w:r>
        <w:rPr>
          <w:rFonts w:hint="eastAsia"/>
          <w:color w:val="auto"/>
          <w:highlight w:val="none"/>
        </w:rPr>
        <w:t>%。</w:t>
      </w:r>
    </w:p>
    <w:p>
      <w:pPr>
        <w:spacing w:line="360" w:lineRule="auto"/>
        <w:rPr>
          <w:highlight w:val="none"/>
        </w:rPr>
      </w:pPr>
      <w:r>
        <w:rPr>
          <w:rFonts w:hint="eastAsia"/>
          <w:highlight w:val="none"/>
        </w:rPr>
        <w:t>2、预算执行率</w:t>
      </w:r>
    </w:p>
    <w:p>
      <w:pPr>
        <w:spacing w:line="360" w:lineRule="auto"/>
        <w:ind w:firstLine="600" w:firstLineChars="200"/>
        <w:rPr>
          <w:rFonts w:hint="eastAsia" w:eastAsia="仿宋_GB2312"/>
          <w:color w:val="auto"/>
          <w:highlight w:val="none"/>
          <w:lang w:eastAsia="zh-CN"/>
        </w:rPr>
      </w:pPr>
      <w:r>
        <w:rPr>
          <w:rFonts w:hint="eastAsia"/>
          <w:color w:val="auto"/>
          <w:highlight w:val="none"/>
        </w:rPr>
        <w:t>年初预算数</w:t>
      </w:r>
      <w:r>
        <w:rPr>
          <w:rFonts w:hint="eastAsia"/>
          <w:color w:val="auto"/>
          <w:highlight w:val="none"/>
          <w:lang w:val="en-US" w:eastAsia="zh-CN"/>
        </w:rPr>
        <w:t>6</w:t>
      </w:r>
      <w:r>
        <w:rPr>
          <w:rFonts w:hint="eastAsia"/>
          <w:color w:val="auto"/>
          <w:highlight w:val="none"/>
        </w:rPr>
        <w:t>万元，全年预算数</w:t>
      </w:r>
      <w:r>
        <w:rPr>
          <w:rFonts w:hint="eastAsia"/>
          <w:color w:val="auto"/>
          <w:highlight w:val="none"/>
          <w:lang w:val="en-US" w:eastAsia="zh-CN"/>
        </w:rPr>
        <w:t>6</w:t>
      </w:r>
      <w:r>
        <w:rPr>
          <w:rFonts w:hint="eastAsia"/>
          <w:color w:val="auto"/>
          <w:highlight w:val="none"/>
        </w:rPr>
        <w:t>万元，全年执行数</w:t>
      </w:r>
      <w:r>
        <w:rPr>
          <w:rFonts w:hint="eastAsia"/>
          <w:color w:val="auto"/>
          <w:highlight w:val="none"/>
          <w:lang w:val="en-US" w:eastAsia="zh-CN"/>
        </w:rPr>
        <w:t>6</w:t>
      </w:r>
      <w:r>
        <w:rPr>
          <w:rFonts w:hint="eastAsia"/>
          <w:color w:val="auto"/>
          <w:highlight w:val="none"/>
        </w:rPr>
        <w:t>万元，预算执行率为</w:t>
      </w:r>
      <w:r>
        <w:rPr>
          <w:rFonts w:hint="eastAsia"/>
          <w:color w:val="auto"/>
          <w:highlight w:val="none"/>
          <w:lang w:val="en-US" w:eastAsia="zh-CN"/>
        </w:rPr>
        <w:t>100</w:t>
      </w:r>
      <w:r>
        <w:rPr>
          <w:color w:val="auto"/>
          <w:highlight w:val="none"/>
        </w:rPr>
        <w:t>.</w:t>
      </w:r>
      <w:r>
        <w:rPr>
          <w:rFonts w:hint="eastAsia"/>
          <w:color w:val="auto"/>
          <w:highlight w:val="none"/>
          <w:lang w:val="en-US" w:eastAsia="zh-CN"/>
        </w:rPr>
        <w:t>00</w:t>
      </w:r>
      <w:r>
        <w:rPr>
          <w:rFonts w:hint="eastAsia"/>
          <w:color w:val="auto"/>
          <w:highlight w:val="none"/>
        </w:rPr>
        <w:t>%</w:t>
      </w:r>
      <w:r>
        <w:rPr>
          <w:rFonts w:hint="eastAsia"/>
          <w:color w:val="auto"/>
          <w:highlight w:val="none"/>
          <w:lang w:eastAsia="zh-CN"/>
        </w:rPr>
        <w:t>。</w:t>
      </w:r>
    </w:p>
    <w:p>
      <w:pPr>
        <w:spacing w:line="360" w:lineRule="auto"/>
        <w:rPr>
          <w:highlight w:val="none"/>
        </w:rPr>
      </w:pPr>
      <w:r>
        <w:rPr>
          <w:rFonts w:hint="eastAsia"/>
          <w:highlight w:val="none"/>
        </w:rPr>
        <w:t>3、资金使用合规性</w:t>
      </w:r>
    </w:p>
    <w:p>
      <w:pPr>
        <w:spacing w:line="360" w:lineRule="auto"/>
        <w:ind w:firstLine="600" w:firstLineChars="200"/>
        <w:rPr>
          <w:rFonts w:hint="eastAsia"/>
          <w:color w:val="auto"/>
          <w:highlight w:val="none"/>
        </w:rPr>
      </w:pPr>
      <w:r>
        <w:rPr>
          <w:rFonts w:hint="eastAsia"/>
          <w:color w:val="auto"/>
          <w:highlight w:val="none"/>
          <w:lang w:eastAsia="zh-CN"/>
        </w:rPr>
        <w:t>该项目</w:t>
      </w:r>
      <w:r>
        <w:rPr>
          <w:rFonts w:hint="eastAsia"/>
          <w:color w:val="auto"/>
          <w:highlight w:val="none"/>
        </w:rPr>
        <w:t>符合国家财经法规和财务管理制度以及有关专项资金管理办法的规定；资金的拨付有完整的审批程序和手续；符合项目预算批复或合同规定的用途；</w:t>
      </w:r>
      <w:r>
        <w:rPr>
          <w:rFonts w:hint="eastAsia"/>
          <w:color w:val="auto"/>
          <w:highlight w:val="none"/>
          <w:lang w:eastAsia="zh-CN"/>
        </w:rPr>
        <w:t>不</w:t>
      </w:r>
      <w:r>
        <w:rPr>
          <w:rFonts w:hint="eastAsia"/>
          <w:color w:val="auto"/>
          <w:highlight w:val="none"/>
        </w:rPr>
        <w:t>存在截留、挤占、挪用、虚列支出等情况。</w:t>
      </w:r>
    </w:p>
    <w:p>
      <w:pPr>
        <w:spacing w:line="360" w:lineRule="auto"/>
        <w:rPr>
          <w:highlight w:val="none"/>
        </w:rPr>
      </w:pPr>
      <w:r>
        <w:rPr>
          <w:rFonts w:hint="eastAsia"/>
          <w:highlight w:val="none"/>
        </w:rPr>
        <w:t>4、管理制度健全性</w:t>
      </w:r>
    </w:p>
    <w:p>
      <w:pPr>
        <w:spacing w:line="360" w:lineRule="auto"/>
        <w:ind w:firstLine="600" w:firstLineChars="200"/>
        <w:rPr>
          <w:rFonts w:hint="eastAsia" w:ascii="Times New Roman" w:hAnsi="Times New Roman" w:cs="Times New Roman"/>
          <w:highlight w:val="none"/>
        </w:rPr>
      </w:pPr>
      <w:r>
        <w:rPr>
          <w:rFonts w:hint="eastAsia" w:ascii="Times New Roman" w:hAnsi="Times New Roman" w:cs="Times New Roman"/>
          <w:highlight w:val="none"/>
          <w:lang w:eastAsia="zh-CN"/>
        </w:rPr>
        <w:t>该项目</w:t>
      </w:r>
      <w:r>
        <w:rPr>
          <w:rFonts w:hint="eastAsia" w:ascii="Times New Roman" w:hAnsi="Times New Roman" w:cs="Times New Roman"/>
          <w:highlight w:val="none"/>
        </w:rPr>
        <w:t>已具有相应的财务和业务管理制度；财务和业务管理制度合法、合规、完整。</w:t>
      </w:r>
    </w:p>
    <w:p>
      <w:pPr>
        <w:spacing w:line="360" w:lineRule="auto"/>
        <w:rPr>
          <w:highlight w:val="none"/>
        </w:rPr>
      </w:pPr>
      <w:r>
        <w:rPr>
          <w:rFonts w:hint="eastAsia"/>
          <w:highlight w:val="none"/>
        </w:rPr>
        <w:t>5、制度执行有效性</w:t>
      </w:r>
    </w:p>
    <w:p>
      <w:pPr>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rPr>
          <w:color w:val="auto"/>
          <w:highlight w:val="none"/>
        </w:rPr>
      </w:pPr>
      <w:r>
        <w:rPr>
          <w:rFonts w:hint="eastAsia"/>
          <w:color w:val="auto"/>
          <w:highlight w:val="none"/>
          <w:lang w:eastAsia="zh-CN"/>
        </w:rPr>
        <w:t>该项目</w:t>
      </w:r>
      <w:r>
        <w:rPr>
          <w:rFonts w:hint="eastAsia"/>
          <w:color w:val="auto"/>
          <w:highlight w:val="none"/>
        </w:rPr>
        <w:t>遵守相关法律法规和相关管理规定；项目调整及支出调整手续</w:t>
      </w:r>
      <w:r>
        <w:rPr>
          <w:rFonts w:hint="eastAsia"/>
          <w:color w:val="auto"/>
          <w:highlight w:val="none"/>
          <w:lang w:eastAsia="zh-CN"/>
        </w:rPr>
        <w:t>已</w:t>
      </w:r>
      <w:r>
        <w:rPr>
          <w:rFonts w:hint="eastAsia"/>
          <w:color w:val="auto"/>
          <w:highlight w:val="none"/>
        </w:rPr>
        <w:t>完备；项目合同书、技术鉴定等资料齐全并及时归档；项目实施的人员条件、场地设备、信息支撑等落实到位。</w:t>
      </w:r>
    </w:p>
    <w:p>
      <w:pPr>
        <w:pStyle w:val="4"/>
        <w:pageBreakBefore w:val="0"/>
        <w:widowControl w:val="0"/>
        <w:kinsoku/>
        <w:wordWrap/>
        <w:overflowPunct/>
        <w:topLinePunct w:val="0"/>
        <w:autoSpaceDE/>
        <w:autoSpaceDN/>
        <w:bidi w:val="0"/>
        <w:adjustRightInd/>
        <w:snapToGrid/>
        <w:spacing w:before="0" w:after="0" w:line="360" w:lineRule="auto"/>
        <w:ind w:left="0" w:leftChars="0" w:right="0" w:rightChars="0"/>
        <w:jc w:val="both"/>
        <w:textAlignment w:val="auto"/>
        <w:rPr>
          <w:rFonts w:ascii="仿宋_GB2312" w:eastAsia="仿宋_GB2312"/>
          <w:b w:val="0"/>
          <w:bCs w:val="0"/>
          <w:highlight w:val="none"/>
        </w:rPr>
      </w:pPr>
      <w:bookmarkStart w:id="14" w:name="_Toc68703840"/>
      <w:r>
        <w:rPr>
          <w:rFonts w:hint="eastAsia" w:ascii="仿宋_GB2312" w:eastAsia="仿宋_GB2312"/>
          <w:b w:val="0"/>
          <w:bCs w:val="0"/>
          <w:highlight w:val="none"/>
        </w:rPr>
        <w:t>（三）项目产出情况。</w:t>
      </w:r>
      <w:bookmarkEnd w:id="14"/>
    </w:p>
    <w:p>
      <w:pPr>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rPr>
          <w:rFonts w:hint="eastAsia" w:eastAsia="仿宋_GB2312"/>
          <w:color w:val="auto"/>
          <w:highlight w:val="none"/>
          <w:lang w:val="en-US" w:eastAsia="zh-CN"/>
        </w:rPr>
      </w:pPr>
      <w:bookmarkStart w:id="15" w:name="_Toc68703842"/>
      <w:r>
        <w:rPr>
          <w:rFonts w:hint="eastAsia"/>
          <w:color w:val="auto"/>
          <w:highlight w:val="none"/>
        </w:rPr>
        <w:t>1、数量指标：指标1：</w:t>
      </w:r>
      <w:r>
        <w:rPr>
          <w:rFonts w:hint="eastAsia"/>
          <w:color w:val="auto"/>
          <w:highlight w:val="none"/>
          <w:lang w:eastAsia="zh-CN"/>
        </w:rPr>
        <w:t>拨付经费的乡镇场个数</w:t>
      </w:r>
      <w:r>
        <w:rPr>
          <w:rFonts w:hint="eastAsia"/>
          <w:color w:val="auto"/>
          <w:highlight w:val="none"/>
        </w:rPr>
        <w:t>，指标值：≤</w:t>
      </w:r>
      <w:r>
        <w:rPr>
          <w:rFonts w:hint="eastAsia"/>
          <w:color w:val="auto"/>
          <w:highlight w:val="none"/>
          <w:lang w:val="en-US" w:eastAsia="zh-CN"/>
        </w:rPr>
        <w:t>4</w:t>
      </w:r>
      <w:r>
        <w:rPr>
          <w:rFonts w:hint="eastAsia"/>
          <w:color w:val="auto"/>
          <w:highlight w:val="none"/>
          <w:lang w:eastAsia="zh-CN"/>
        </w:rPr>
        <w:t>个</w:t>
      </w:r>
      <w:r>
        <w:rPr>
          <w:rFonts w:hint="eastAsia"/>
          <w:color w:val="auto"/>
          <w:highlight w:val="none"/>
        </w:rPr>
        <w:t>，实际完成值</w:t>
      </w:r>
      <w:r>
        <w:rPr>
          <w:rFonts w:hint="eastAsia"/>
          <w:color w:val="auto"/>
          <w:highlight w:val="none"/>
          <w:lang w:val="en-US" w:eastAsia="zh-CN"/>
        </w:rPr>
        <w:t>4</w:t>
      </w:r>
      <w:r>
        <w:rPr>
          <w:rFonts w:hint="eastAsia"/>
          <w:color w:val="auto"/>
          <w:highlight w:val="none"/>
          <w:lang w:eastAsia="zh-CN"/>
        </w:rPr>
        <w:t>个</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%；指标2：拨付经费的工委个数，指标值：≤</w:t>
      </w:r>
      <w:r>
        <w:rPr>
          <w:rFonts w:hint="eastAsia"/>
          <w:color w:val="auto"/>
          <w:highlight w:val="none"/>
          <w:lang w:val="en-US" w:eastAsia="zh-CN"/>
        </w:rPr>
        <w:t>4个</w:t>
      </w:r>
      <w:r>
        <w:rPr>
          <w:rFonts w:hint="eastAsia"/>
          <w:color w:val="auto"/>
          <w:highlight w:val="none"/>
        </w:rPr>
        <w:t>，实际完成值</w:t>
      </w:r>
      <w:r>
        <w:rPr>
          <w:rFonts w:hint="eastAsia"/>
          <w:color w:val="auto"/>
          <w:highlight w:val="none"/>
          <w:lang w:val="en-US" w:eastAsia="zh-CN"/>
        </w:rPr>
        <w:t>4个</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3：组织人大代表培训期数，</w:t>
      </w:r>
      <w:r>
        <w:rPr>
          <w:rFonts w:hint="eastAsia"/>
          <w:color w:val="auto"/>
          <w:highlight w:val="none"/>
        </w:rPr>
        <w:t>指标值：≤</w:t>
      </w:r>
      <w:r>
        <w:rPr>
          <w:rFonts w:hint="eastAsia"/>
          <w:color w:val="auto"/>
          <w:highlight w:val="none"/>
          <w:lang w:val="en-US" w:eastAsia="zh-CN"/>
        </w:rPr>
        <w:t>2期，</w:t>
      </w:r>
      <w:r>
        <w:rPr>
          <w:rFonts w:hint="eastAsia"/>
          <w:color w:val="auto"/>
          <w:highlight w:val="none"/>
        </w:rPr>
        <w:t>实际完成值</w:t>
      </w:r>
      <w:r>
        <w:rPr>
          <w:rFonts w:hint="eastAsia"/>
          <w:color w:val="auto"/>
          <w:highlight w:val="none"/>
          <w:lang w:val="en-US" w:eastAsia="zh-CN"/>
        </w:rPr>
        <w:t>2期</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%；指标</w:t>
      </w:r>
      <w:r>
        <w:rPr>
          <w:rFonts w:hint="eastAsia"/>
          <w:color w:val="auto"/>
          <w:highlight w:val="none"/>
          <w:lang w:val="en-US" w:eastAsia="zh-CN"/>
        </w:rPr>
        <w:t>4</w:t>
      </w:r>
      <w:r>
        <w:rPr>
          <w:rFonts w:hint="eastAsia"/>
          <w:color w:val="auto"/>
          <w:highlight w:val="none"/>
        </w:rPr>
        <w:t>：乡镇人大工作指导次数</w:t>
      </w:r>
      <w:r>
        <w:rPr>
          <w:rFonts w:hint="eastAsia"/>
          <w:color w:val="auto"/>
          <w:highlight w:val="none"/>
          <w:lang w:eastAsia="zh-CN"/>
        </w:rPr>
        <w:t>，</w:t>
      </w:r>
      <w:r>
        <w:rPr>
          <w:rFonts w:hint="eastAsia"/>
          <w:color w:val="auto"/>
          <w:highlight w:val="none"/>
        </w:rPr>
        <w:t>数指标值：</w:t>
      </w:r>
      <w:r>
        <w:rPr>
          <w:rFonts w:hint="eastAsia"/>
          <w:color w:val="auto"/>
          <w:highlight w:val="none"/>
          <w:lang w:eastAsia="zh-CN"/>
        </w:rPr>
        <w:t>≤</w:t>
      </w:r>
      <w:r>
        <w:rPr>
          <w:rFonts w:hint="eastAsia"/>
          <w:color w:val="auto"/>
          <w:highlight w:val="none"/>
          <w:lang w:val="en-US" w:eastAsia="zh-CN"/>
        </w:rPr>
        <w:t>8次</w:t>
      </w:r>
      <w:r>
        <w:rPr>
          <w:rFonts w:hint="eastAsia"/>
          <w:color w:val="auto"/>
          <w:highlight w:val="none"/>
        </w:rPr>
        <w:t>，实际完成值</w:t>
      </w:r>
      <w:r>
        <w:rPr>
          <w:rFonts w:hint="eastAsia"/>
          <w:color w:val="auto"/>
          <w:highlight w:val="none"/>
          <w:lang w:val="en-US" w:eastAsia="zh-CN"/>
        </w:rPr>
        <w:t>8次</w:t>
      </w:r>
      <w:r>
        <w:rPr>
          <w:rFonts w:hint="eastAsia"/>
          <w:color w:val="auto"/>
          <w:highlight w:val="none"/>
          <w:lang w:eastAsia="zh-CN"/>
        </w:rPr>
        <w:t>。</w:t>
      </w:r>
    </w:p>
    <w:p>
      <w:pPr>
        <w:spacing w:line="360" w:lineRule="auto"/>
        <w:ind w:firstLine="600" w:firstLineChars="200"/>
        <w:rPr>
          <w:rFonts w:hint="eastAsia"/>
          <w:color w:val="auto"/>
          <w:highlight w:val="none"/>
          <w:lang w:eastAsia="zh-CN"/>
        </w:rPr>
      </w:pPr>
      <w:r>
        <w:rPr>
          <w:color w:val="auto"/>
          <w:highlight w:val="none"/>
        </w:rPr>
        <w:t>2</w:t>
      </w:r>
      <w:r>
        <w:rPr>
          <w:rFonts w:hint="eastAsia"/>
          <w:color w:val="auto"/>
          <w:highlight w:val="none"/>
        </w:rPr>
        <w:t>、质量指标：指标1：基层人大购买办公用品合格率，指标值： 100%，实际完成值</w:t>
      </w:r>
      <w:r>
        <w:rPr>
          <w:rFonts w:hint="eastAsia"/>
          <w:color w:val="auto"/>
          <w:highlight w:val="none"/>
          <w:lang w:val="en-US" w:eastAsia="zh-CN"/>
        </w:rPr>
        <w:t>100%</w:t>
      </w:r>
      <w:r>
        <w:rPr>
          <w:color w:val="auto"/>
          <w:highlight w:val="none"/>
        </w:rPr>
        <w:t xml:space="preserve"> </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2</w:t>
      </w:r>
      <w:r>
        <w:rPr>
          <w:rFonts w:hint="eastAsia"/>
          <w:color w:val="auto"/>
          <w:highlight w:val="none"/>
        </w:rPr>
        <w:t>：基层人大经费补助，指标值：</w:t>
      </w:r>
      <w:r>
        <w:rPr>
          <w:rFonts w:hint="eastAsia"/>
          <w:color w:val="auto"/>
          <w:highlight w:val="none"/>
          <w:lang w:val="en-US" w:eastAsia="zh-CN"/>
        </w:rPr>
        <w:t>5万</w:t>
      </w:r>
      <w:r>
        <w:rPr>
          <w:rFonts w:hint="eastAsia"/>
          <w:color w:val="auto"/>
          <w:highlight w:val="none"/>
        </w:rPr>
        <w:t>，实际完成值</w:t>
      </w:r>
      <w:r>
        <w:rPr>
          <w:rFonts w:hint="eastAsia"/>
          <w:color w:val="auto"/>
          <w:highlight w:val="none"/>
          <w:lang w:val="en-US" w:eastAsia="zh-CN"/>
        </w:rPr>
        <w:t>6万</w:t>
      </w:r>
      <w:r>
        <w:rPr>
          <w:color w:val="auto"/>
          <w:highlight w:val="none"/>
        </w:rPr>
        <w:t xml:space="preserve"> </w:t>
      </w:r>
      <w:r>
        <w:rPr>
          <w:rFonts w:hint="eastAsia"/>
          <w:color w:val="auto"/>
          <w:highlight w:val="none"/>
        </w:rPr>
        <w:t>，指标完成率</w:t>
      </w:r>
      <w:r>
        <w:rPr>
          <w:rFonts w:hint="eastAsia"/>
          <w:color w:val="auto"/>
          <w:highlight w:val="none"/>
          <w:lang w:val="en-US" w:eastAsia="zh-CN"/>
        </w:rPr>
        <w:t>120</w:t>
      </w:r>
      <w:r>
        <w:rPr>
          <w:rFonts w:hint="eastAsia"/>
          <w:color w:val="auto"/>
          <w:highlight w:val="none"/>
        </w:rPr>
        <w:t>%</w:t>
      </w:r>
      <w:r>
        <w:rPr>
          <w:rFonts w:hint="eastAsia"/>
          <w:color w:val="auto"/>
          <w:highlight w:val="none"/>
          <w:lang w:val="en-US" w:eastAsia="zh-CN"/>
        </w:rPr>
        <w:t>偏差原因：上级拨款实际到位6万元，执行6万元。</w:t>
      </w:r>
    </w:p>
    <w:p>
      <w:pPr>
        <w:spacing w:line="360" w:lineRule="auto"/>
        <w:ind w:firstLine="600" w:firstLineChars="200"/>
        <w:rPr>
          <w:rFonts w:hint="eastAsia" w:eastAsia="仿宋_GB2312"/>
          <w:color w:val="auto"/>
          <w:highlight w:val="none"/>
          <w:lang w:val="en-US" w:eastAsia="zh-CN"/>
        </w:rPr>
      </w:pPr>
      <w:r>
        <w:rPr>
          <w:rFonts w:hint="eastAsia"/>
          <w:color w:val="auto"/>
          <w:highlight w:val="none"/>
        </w:rPr>
        <w:t>3、时效指标：指标1：基层人大培训按期完成率</w:t>
      </w:r>
      <w:r>
        <w:rPr>
          <w:rFonts w:hint="eastAsia"/>
          <w:color w:val="auto"/>
          <w:highlight w:val="none"/>
          <w:lang w:eastAsia="zh-CN"/>
        </w:rPr>
        <w:t>，</w:t>
      </w:r>
      <w:r>
        <w:rPr>
          <w:rFonts w:hint="eastAsia"/>
          <w:color w:val="auto"/>
          <w:highlight w:val="none"/>
        </w:rPr>
        <w:t>指标值：100%</w:t>
      </w:r>
      <w:r>
        <w:rPr>
          <w:rFonts w:hint="eastAsia"/>
          <w:color w:val="auto"/>
          <w:highlight w:val="none"/>
          <w:lang w:val="en-US"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rPr>
        <w:t>100%</w:t>
      </w:r>
      <w:r>
        <w:rPr>
          <w:rFonts w:hint="eastAsia"/>
          <w:color w:val="auto"/>
          <w:highlight w:val="none"/>
          <w:lang w:val="en-US" w:eastAsia="zh-CN"/>
        </w:rPr>
        <w:t>，</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2：基层人大经费拨付及时率，</w:t>
      </w:r>
      <w:r>
        <w:rPr>
          <w:rFonts w:hint="eastAsia"/>
          <w:color w:val="auto"/>
          <w:highlight w:val="none"/>
        </w:rPr>
        <w:t>指标值：100%</w:t>
      </w:r>
      <w:r>
        <w:rPr>
          <w:rFonts w:hint="eastAsia"/>
          <w:color w:val="auto"/>
          <w:highlight w:val="none"/>
          <w:lang w:val="en-US"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rPr>
        <w:t>100%</w:t>
      </w:r>
      <w:r>
        <w:rPr>
          <w:rFonts w:hint="eastAsia"/>
          <w:color w:val="auto"/>
          <w:highlight w:val="none"/>
          <w:lang w:val="en-US" w:eastAsia="zh-CN"/>
        </w:rPr>
        <w:t>，</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p>
    <w:p>
      <w:pPr>
        <w:spacing w:line="360" w:lineRule="auto"/>
        <w:ind w:firstLine="600" w:firstLineChars="200"/>
        <w:rPr>
          <w:rFonts w:hint="eastAsia"/>
          <w:color w:val="auto"/>
          <w:highlight w:val="none"/>
          <w:lang w:eastAsia="zh-CN"/>
        </w:rPr>
      </w:pPr>
      <w:r>
        <w:rPr>
          <w:rFonts w:hint="eastAsia"/>
          <w:color w:val="auto"/>
          <w:highlight w:val="none"/>
        </w:rPr>
        <w:t>4、成本指标</w:t>
      </w:r>
      <w:r>
        <w:rPr>
          <w:rFonts w:hint="eastAsia"/>
          <w:color w:val="auto"/>
          <w:highlight w:val="none"/>
          <w:lang w:eastAsia="zh-CN"/>
        </w:rPr>
        <w:t>：</w:t>
      </w:r>
      <w:r>
        <w:rPr>
          <w:rFonts w:hint="eastAsia"/>
          <w:color w:val="auto"/>
          <w:highlight w:val="none"/>
        </w:rPr>
        <w:t>指标1：拨付乡镇场经费补助</w:t>
      </w:r>
      <w:r>
        <w:rPr>
          <w:rFonts w:hint="eastAsia"/>
          <w:color w:val="auto"/>
          <w:highlight w:val="none"/>
          <w:lang w:eastAsia="zh-CN"/>
        </w:rPr>
        <w:t>，</w:t>
      </w:r>
      <w:r>
        <w:rPr>
          <w:rFonts w:hint="eastAsia"/>
          <w:color w:val="auto"/>
          <w:highlight w:val="none"/>
        </w:rPr>
        <w:t>指标值：</w:t>
      </w:r>
      <w:r>
        <w:rPr>
          <w:rFonts w:hint="eastAsia"/>
          <w:color w:val="auto"/>
          <w:highlight w:val="none"/>
          <w:lang w:val="en-US" w:eastAsia="zh-CN"/>
        </w:rPr>
        <w:t>2</w:t>
      </w:r>
      <w:r>
        <w:rPr>
          <w:rFonts w:hint="eastAsia"/>
          <w:color w:val="auto"/>
          <w:highlight w:val="none"/>
          <w:lang w:eastAsia="zh-CN"/>
        </w:rPr>
        <w:t>万元</w:t>
      </w:r>
      <w:r>
        <w:rPr>
          <w:rFonts w:hint="eastAsia"/>
          <w:color w:val="auto"/>
          <w:highlight w:val="none"/>
        </w:rPr>
        <w:t xml:space="preserve"> ，实际完成值</w:t>
      </w:r>
      <w:r>
        <w:rPr>
          <w:rFonts w:hint="eastAsia"/>
          <w:color w:val="auto"/>
          <w:highlight w:val="none"/>
          <w:lang w:val="en-US" w:eastAsia="zh-CN"/>
        </w:rPr>
        <w:t>3万元</w:t>
      </w:r>
      <w:r>
        <w:rPr>
          <w:rFonts w:hint="eastAsia"/>
          <w:color w:val="auto"/>
          <w:highlight w:val="none"/>
        </w:rPr>
        <w:t>，指标完成率</w:t>
      </w:r>
      <w:r>
        <w:rPr>
          <w:rFonts w:hint="eastAsia"/>
          <w:color w:val="auto"/>
          <w:highlight w:val="none"/>
          <w:lang w:val="en-US" w:eastAsia="zh-CN"/>
        </w:rPr>
        <w:t>150</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偏差原因：年底按照乡镇场工作排名，分别给8个乡镇场拨付工作经费</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2</w:t>
      </w:r>
      <w:r>
        <w:rPr>
          <w:rFonts w:hint="eastAsia"/>
          <w:color w:val="auto"/>
          <w:highlight w:val="none"/>
        </w:rPr>
        <w:t>：拨付</w:t>
      </w:r>
      <w:r>
        <w:rPr>
          <w:rFonts w:hint="eastAsia"/>
          <w:color w:val="auto"/>
          <w:highlight w:val="none"/>
          <w:lang w:eastAsia="zh-CN"/>
        </w:rPr>
        <w:t>工委</w:t>
      </w:r>
      <w:r>
        <w:rPr>
          <w:rFonts w:hint="eastAsia"/>
          <w:color w:val="auto"/>
          <w:highlight w:val="none"/>
        </w:rPr>
        <w:t>经费</w:t>
      </w:r>
      <w:r>
        <w:rPr>
          <w:rFonts w:hint="eastAsia"/>
          <w:color w:val="auto"/>
          <w:highlight w:val="none"/>
          <w:lang w:eastAsia="zh-CN"/>
        </w:rPr>
        <w:t>，</w:t>
      </w:r>
      <w:r>
        <w:rPr>
          <w:rFonts w:hint="eastAsia"/>
          <w:color w:val="auto"/>
          <w:highlight w:val="none"/>
        </w:rPr>
        <w:t>指标值：</w:t>
      </w:r>
      <w:r>
        <w:rPr>
          <w:rFonts w:hint="eastAsia"/>
          <w:color w:val="auto"/>
          <w:highlight w:val="none"/>
          <w:lang w:val="en-US" w:eastAsia="zh-CN"/>
        </w:rPr>
        <w:t>2</w:t>
      </w:r>
      <w:r>
        <w:rPr>
          <w:rFonts w:hint="eastAsia"/>
          <w:color w:val="auto"/>
          <w:highlight w:val="none"/>
          <w:lang w:eastAsia="zh-CN"/>
        </w:rPr>
        <w:t>万元</w:t>
      </w:r>
      <w:r>
        <w:rPr>
          <w:rFonts w:hint="eastAsia"/>
          <w:color w:val="auto"/>
          <w:highlight w:val="none"/>
        </w:rPr>
        <w:t xml:space="preserve"> ，实际完成值</w:t>
      </w:r>
      <w:r>
        <w:rPr>
          <w:rFonts w:hint="eastAsia"/>
          <w:color w:val="auto"/>
          <w:highlight w:val="none"/>
          <w:lang w:val="en-US" w:eastAsia="zh-CN"/>
        </w:rPr>
        <w:t>2万元</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bookmarkStart w:id="16" w:name="_Toc68703841"/>
      <w:r>
        <w:rPr>
          <w:rFonts w:hint="eastAsia"/>
          <w:color w:val="auto"/>
          <w:highlight w:val="none"/>
          <w:lang w:eastAsia="zh-CN"/>
        </w:rPr>
        <w:t>；指标</w:t>
      </w:r>
      <w:r>
        <w:rPr>
          <w:rFonts w:hint="eastAsia"/>
          <w:color w:val="auto"/>
          <w:highlight w:val="none"/>
          <w:lang w:val="en-US" w:eastAsia="zh-CN"/>
        </w:rPr>
        <w:t>3：培训人大代表经费，指标值：1万元；实际完成值1万元，指标完成率100%。</w:t>
      </w:r>
    </w:p>
    <w:p>
      <w:pPr>
        <w:spacing w:line="360" w:lineRule="auto"/>
        <w:ind w:firstLine="600" w:firstLineChars="200"/>
        <w:rPr>
          <w:rFonts w:ascii="仿宋_GB2312" w:eastAsia="仿宋_GB2312"/>
          <w:b w:val="0"/>
          <w:bCs w:val="0"/>
          <w:highlight w:val="none"/>
        </w:rPr>
      </w:pPr>
      <w:r>
        <w:rPr>
          <w:rFonts w:hint="eastAsia" w:ascii="仿宋_GB2312" w:eastAsia="仿宋_GB2312"/>
          <w:b w:val="0"/>
          <w:bCs w:val="0"/>
          <w:highlight w:val="none"/>
        </w:rPr>
        <w:t>（四）项目效益情况。</w:t>
      </w:r>
      <w:bookmarkEnd w:id="16"/>
    </w:p>
    <w:p>
      <w:pPr>
        <w:spacing w:line="360" w:lineRule="auto"/>
        <w:ind w:firstLine="600" w:firstLineChars="200"/>
        <w:rPr>
          <w:rFonts w:hint="default" w:eastAsia="仿宋_GB2312"/>
          <w:color w:val="auto"/>
          <w:highlight w:val="none"/>
          <w:lang w:val="en-US" w:eastAsia="zh-CN"/>
        </w:rPr>
      </w:pPr>
      <w:r>
        <w:rPr>
          <w:rFonts w:hint="eastAsia"/>
          <w:color w:val="auto"/>
          <w:highlight w:val="none"/>
          <w:lang w:val="en-US" w:eastAsia="zh-CN"/>
        </w:rPr>
        <w:t>1</w:t>
      </w:r>
      <w:r>
        <w:rPr>
          <w:rFonts w:hint="eastAsia"/>
          <w:color w:val="auto"/>
          <w:highlight w:val="none"/>
        </w:rPr>
        <w:t>、</w:t>
      </w:r>
      <w:r>
        <w:rPr>
          <w:rFonts w:hint="eastAsia"/>
          <w:color w:val="auto"/>
          <w:highlight w:val="none"/>
          <w:lang w:eastAsia="zh-CN"/>
        </w:rPr>
        <w:t>经济</w:t>
      </w:r>
      <w:r>
        <w:rPr>
          <w:rFonts w:hint="eastAsia"/>
          <w:color w:val="auto"/>
          <w:highlight w:val="none"/>
        </w:rPr>
        <w:t>效益指标：</w:t>
      </w:r>
      <w:r>
        <w:rPr>
          <w:rFonts w:hint="eastAsia"/>
          <w:color w:val="auto"/>
          <w:highlight w:val="none"/>
          <w:lang w:eastAsia="zh-CN"/>
        </w:rPr>
        <w:t>指标</w:t>
      </w:r>
      <w:r>
        <w:rPr>
          <w:rFonts w:hint="eastAsia"/>
          <w:color w:val="auto"/>
          <w:highlight w:val="none"/>
          <w:lang w:val="en-US" w:eastAsia="zh-CN"/>
        </w:rPr>
        <w:t>1</w:t>
      </w:r>
      <w:r>
        <w:rPr>
          <w:rFonts w:hint="eastAsia"/>
          <w:color w:val="auto"/>
          <w:highlight w:val="none"/>
          <w:lang w:eastAsia="zh-CN"/>
        </w:rPr>
        <w:t>：提高资金使用率，</w:t>
      </w:r>
      <w:r>
        <w:rPr>
          <w:rFonts w:hint="eastAsia"/>
          <w:color w:val="auto"/>
          <w:highlight w:val="none"/>
        </w:rPr>
        <w:t>指标值：</w:t>
      </w:r>
      <w:r>
        <w:rPr>
          <w:rFonts w:hint="eastAsia"/>
          <w:color w:val="auto"/>
          <w:highlight w:val="none"/>
          <w:lang w:val="en-US" w:eastAsia="zh-CN"/>
        </w:rPr>
        <w:t>95</w:t>
      </w:r>
      <w:r>
        <w:rPr>
          <w:rFonts w:hint="eastAsia"/>
          <w:color w:val="auto"/>
          <w:highlight w:val="none"/>
        </w:rPr>
        <w:t>%</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95</w:t>
      </w:r>
      <w:r>
        <w:rPr>
          <w:rFonts w:hint="eastAsia"/>
          <w:color w:val="auto"/>
          <w:highlight w:val="none"/>
        </w:rPr>
        <w:t>%</w:t>
      </w:r>
      <w:r>
        <w:rPr>
          <w:rFonts w:hint="eastAsia"/>
          <w:color w:val="auto"/>
          <w:highlight w:val="none"/>
          <w:lang w:val="en-US" w:eastAsia="zh-CN"/>
        </w:rPr>
        <w:t>。</w:t>
      </w:r>
    </w:p>
    <w:p>
      <w:pPr>
        <w:spacing w:line="360" w:lineRule="auto"/>
        <w:ind w:firstLine="600" w:firstLineChars="200"/>
        <w:rPr>
          <w:rFonts w:hint="eastAsia" w:eastAsia="仿宋_GB2312"/>
          <w:color w:val="auto"/>
          <w:highlight w:val="none"/>
          <w:lang w:val="en-US" w:eastAsia="zh-CN"/>
        </w:rPr>
      </w:pPr>
      <w:r>
        <w:rPr>
          <w:rFonts w:hint="eastAsia"/>
          <w:color w:val="auto"/>
          <w:highlight w:val="none"/>
          <w:lang w:val="en-US" w:eastAsia="zh-CN"/>
        </w:rPr>
        <w:t>2</w:t>
      </w:r>
      <w:r>
        <w:rPr>
          <w:rFonts w:hint="eastAsia"/>
          <w:color w:val="auto"/>
          <w:highlight w:val="none"/>
        </w:rPr>
        <w:t>、</w:t>
      </w:r>
      <w:r>
        <w:rPr>
          <w:rFonts w:hint="eastAsia"/>
          <w:color w:val="auto"/>
          <w:highlight w:val="none"/>
          <w:lang w:eastAsia="zh-CN"/>
        </w:rPr>
        <w:t>社会效益</w:t>
      </w:r>
      <w:r>
        <w:rPr>
          <w:rFonts w:hint="eastAsia"/>
          <w:color w:val="auto"/>
          <w:highlight w:val="none"/>
        </w:rPr>
        <w:t>指标：</w:t>
      </w:r>
      <w:r>
        <w:rPr>
          <w:rFonts w:hint="eastAsia"/>
          <w:color w:val="auto"/>
          <w:highlight w:val="none"/>
          <w:lang w:eastAsia="zh-CN"/>
        </w:rPr>
        <w:t>指标</w:t>
      </w:r>
      <w:r>
        <w:rPr>
          <w:rFonts w:hint="eastAsia"/>
          <w:color w:val="auto"/>
          <w:highlight w:val="none"/>
          <w:lang w:val="en-US" w:eastAsia="zh-CN"/>
        </w:rPr>
        <w:t>1</w:t>
      </w:r>
      <w:r>
        <w:rPr>
          <w:rFonts w:hint="eastAsia"/>
          <w:color w:val="auto"/>
          <w:highlight w:val="none"/>
          <w:lang w:eastAsia="zh-CN"/>
        </w:rPr>
        <w:t>：提高各基层人大代表履职能力，</w:t>
      </w:r>
      <w:r>
        <w:rPr>
          <w:rFonts w:hint="eastAsia"/>
          <w:color w:val="auto"/>
          <w:highlight w:val="none"/>
        </w:rPr>
        <w:t>指标值：明显提升</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rPr>
        <w:t>明显提升</w:t>
      </w:r>
      <w:r>
        <w:rPr>
          <w:rFonts w:hint="eastAsia"/>
          <w:color w:val="auto"/>
          <w:highlight w:val="none"/>
          <w:lang w:eastAsia="zh-CN"/>
        </w:rPr>
        <w:t>，</w:t>
      </w:r>
      <w:r>
        <w:rPr>
          <w:rFonts w:hint="eastAsia"/>
          <w:color w:val="auto"/>
          <w:highlight w:val="none"/>
          <w:lang w:val="en-US" w:eastAsia="zh-CN"/>
        </w:rPr>
        <w:t>指标完成率：100%；</w:t>
      </w:r>
      <w:r>
        <w:rPr>
          <w:rFonts w:hint="eastAsia"/>
          <w:color w:val="auto"/>
          <w:highlight w:val="none"/>
          <w:lang w:eastAsia="zh-CN"/>
        </w:rPr>
        <w:t>指标</w:t>
      </w:r>
      <w:r>
        <w:rPr>
          <w:rFonts w:hint="eastAsia"/>
          <w:color w:val="auto"/>
          <w:highlight w:val="none"/>
          <w:lang w:val="en-US" w:eastAsia="zh-CN"/>
        </w:rPr>
        <w:t>2</w:t>
      </w:r>
      <w:r>
        <w:rPr>
          <w:rFonts w:hint="eastAsia"/>
          <w:color w:val="auto"/>
          <w:highlight w:val="none"/>
          <w:lang w:eastAsia="zh-CN"/>
        </w:rPr>
        <w:t>：改善各基层人大工作环境，</w:t>
      </w:r>
      <w:r>
        <w:rPr>
          <w:rFonts w:hint="eastAsia"/>
          <w:color w:val="auto"/>
          <w:highlight w:val="none"/>
        </w:rPr>
        <w:t>指标值：明显提升</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rPr>
        <w:t>明显提升</w:t>
      </w:r>
      <w:r>
        <w:rPr>
          <w:rFonts w:hint="eastAsia"/>
          <w:color w:val="auto"/>
          <w:highlight w:val="none"/>
          <w:lang w:eastAsia="zh-CN"/>
        </w:rPr>
        <w:t>，</w:t>
      </w:r>
      <w:r>
        <w:rPr>
          <w:rFonts w:hint="eastAsia"/>
          <w:color w:val="auto"/>
          <w:highlight w:val="none"/>
          <w:lang w:val="en-US" w:eastAsia="zh-CN"/>
        </w:rPr>
        <w:t>指标完成率：100%。</w:t>
      </w:r>
    </w:p>
    <w:p>
      <w:pPr>
        <w:spacing w:line="360" w:lineRule="auto"/>
        <w:ind w:firstLine="600" w:firstLineChars="200"/>
        <w:rPr>
          <w:rFonts w:hint="eastAsia"/>
          <w:color w:val="auto"/>
          <w:highlight w:val="none"/>
          <w:lang w:val="en-US" w:eastAsia="zh-CN"/>
        </w:rPr>
      </w:pPr>
      <w:r>
        <w:rPr>
          <w:rFonts w:hint="eastAsia"/>
          <w:color w:val="auto"/>
          <w:highlight w:val="none"/>
          <w:lang w:val="en-US" w:eastAsia="zh-CN"/>
        </w:rPr>
        <w:t>3、可持续影响指标：指标1：各基层人大工作持续发展，指标值：效果明显；实际完成值：效果明显，指标完成率：100%。</w:t>
      </w:r>
    </w:p>
    <w:p>
      <w:pPr>
        <w:spacing w:line="360" w:lineRule="auto"/>
        <w:ind w:firstLine="600" w:firstLineChars="200"/>
        <w:rPr>
          <w:rFonts w:hint="eastAsia"/>
          <w:color w:val="auto"/>
          <w:highlight w:val="none"/>
          <w:lang w:val="en-US" w:eastAsia="zh-CN"/>
        </w:rPr>
      </w:pPr>
      <w:r>
        <w:rPr>
          <w:rFonts w:hint="eastAsia"/>
          <w:color w:val="auto"/>
          <w:highlight w:val="none"/>
          <w:lang w:val="en-US" w:eastAsia="zh-CN"/>
        </w:rPr>
        <w:t>（五）满意度情况。</w:t>
      </w:r>
    </w:p>
    <w:p>
      <w:pPr>
        <w:spacing w:line="360" w:lineRule="auto"/>
        <w:ind w:firstLine="600" w:firstLineChars="200"/>
        <w:rPr>
          <w:rFonts w:hint="eastAsia" w:eastAsia="仿宋_GB2312"/>
          <w:color w:val="auto"/>
          <w:highlight w:val="none"/>
          <w:lang w:val="en-US" w:eastAsia="zh-CN"/>
        </w:rPr>
      </w:pPr>
      <w:r>
        <w:rPr>
          <w:rFonts w:hint="eastAsia"/>
          <w:color w:val="auto"/>
          <w:highlight w:val="none"/>
          <w:lang w:val="en-US" w:eastAsia="zh-CN"/>
        </w:rPr>
        <w:t>1</w:t>
      </w:r>
      <w:r>
        <w:rPr>
          <w:rFonts w:hint="eastAsia"/>
          <w:color w:val="auto"/>
          <w:highlight w:val="none"/>
        </w:rPr>
        <w:t>、</w:t>
      </w:r>
      <w:r>
        <w:rPr>
          <w:rFonts w:hint="eastAsia"/>
          <w:color w:val="auto"/>
          <w:highlight w:val="none"/>
          <w:lang w:eastAsia="zh-CN"/>
        </w:rPr>
        <w:t>服务对象满意度</w:t>
      </w:r>
      <w:r>
        <w:rPr>
          <w:rFonts w:hint="eastAsia"/>
          <w:color w:val="auto"/>
          <w:highlight w:val="none"/>
        </w:rPr>
        <w:t>指标：</w:t>
      </w:r>
      <w:r>
        <w:rPr>
          <w:rFonts w:hint="eastAsia"/>
          <w:color w:val="auto"/>
          <w:highlight w:val="none"/>
          <w:lang w:eastAsia="zh-CN"/>
        </w:rPr>
        <w:t>指标</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各基层人大对于补助经费到位情况满意度</w:t>
      </w:r>
      <w:r>
        <w:rPr>
          <w:rFonts w:hint="eastAsia"/>
          <w:color w:val="auto"/>
          <w:highlight w:val="none"/>
          <w:lang w:eastAsia="zh-CN"/>
        </w:rPr>
        <w:t>，</w:t>
      </w:r>
      <w:r>
        <w:rPr>
          <w:rFonts w:hint="eastAsia"/>
          <w:color w:val="auto"/>
          <w:highlight w:val="none"/>
        </w:rPr>
        <w:t>指标值：</w:t>
      </w:r>
      <w:r>
        <w:rPr>
          <w:rFonts w:hint="eastAsia"/>
          <w:color w:val="auto"/>
          <w:highlight w:val="none"/>
          <w:lang w:val="en-US" w:eastAsia="zh-CN"/>
        </w:rPr>
        <w:t>90</w:t>
      </w:r>
      <w:r>
        <w:rPr>
          <w:rFonts w:hint="eastAsia"/>
          <w:color w:val="auto"/>
          <w:highlight w:val="none"/>
        </w:rPr>
        <w:t>%</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90%，指标完成率：100%</w:t>
      </w:r>
      <w:r>
        <w:rPr>
          <w:rFonts w:hint="eastAsia"/>
          <w:color w:val="auto"/>
          <w:highlight w:val="none"/>
          <w:lang w:eastAsia="zh-CN"/>
        </w:rPr>
        <w:t>指标</w:t>
      </w:r>
      <w:r>
        <w:rPr>
          <w:rFonts w:hint="eastAsia"/>
          <w:color w:val="auto"/>
          <w:highlight w:val="none"/>
          <w:lang w:val="en-US" w:eastAsia="zh-CN"/>
        </w:rPr>
        <w:t>2：</w:t>
      </w:r>
      <w:r>
        <w:rPr>
          <w:rFonts w:hint="eastAsia"/>
          <w:color w:val="auto"/>
          <w:highlight w:val="none"/>
          <w:lang w:eastAsia="zh-CN"/>
        </w:rPr>
        <w:t>受训代表满意度，</w:t>
      </w:r>
      <w:r>
        <w:rPr>
          <w:rFonts w:hint="eastAsia"/>
          <w:color w:val="auto"/>
          <w:highlight w:val="none"/>
        </w:rPr>
        <w:t>指标值：</w:t>
      </w:r>
      <w:r>
        <w:rPr>
          <w:rFonts w:hint="eastAsia"/>
          <w:color w:val="auto"/>
          <w:highlight w:val="none"/>
          <w:lang w:val="en-US" w:eastAsia="zh-CN"/>
        </w:rPr>
        <w:t>95</w:t>
      </w:r>
      <w:r>
        <w:rPr>
          <w:rFonts w:hint="eastAsia"/>
          <w:color w:val="auto"/>
          <w:highlight w:val="none"/>
        </w:rPr>
        <w:t>%</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95%，指标完成率：100%。</w:t>
      </w:r>
    </w:p>
    <w:p>
      <w:pPr>
        <w:pStyle w:val="3"/>
        <w:spacing w:line="360" w:lineRule="auto"/>
        <w:rPr>
          <w:rFonts w:ascii="宋体" w:hAnsi="宋体" w:eastAsia="宋体"/>
          <w:sz w:val="32"/>
          <w:szCs w:val="32"/>
          <w:highlight w:val="none"/>
        </w:rPr>
      </w:pPr>
      <w:r>
        <w:rPr>
          <w:rFonts w:hint="eastAsia" w:ascii="宋体" w:hAnsi="宋体" w:eastAsia="宋体"/>
          <w:sz w:val="32"/>
          <w:szCs w:val="32"/>
          <w:highlight w:val="none"/>
        </w:rPr>
        <w:t>五、主要经验及做法、存在的问题及原因分析</w:t>
      </w:r>
      <w:bookmarkEnd w:id="15"/>
    </w:p>
    <w:p>
      <w:pPr>
        <w:pStyle w:val="4"/>
        <w:spacing w:line="360" w:lineRule="auto"/>
        <w:rPr>
          <w:rFonts w:hint="eastAsia" w:ascii="仿宋_GB2312" w:eastAsia="仿宋_GB2312"/>
          <w:b w:val="0"/>
          <w:bCs w:val="0"/>
          <w:highlight w:val="none"/>
        </w:rPr>
      </w:pPr>
      <w:bookmarkStart w:id="17" w:name="_Toc68703843"/>
      <w:r>
        <w:rPr>
          <w:rFonts w:hint="eastAsia" w:ascii="仿宋_GB2312" w:eastAsia="仿宋_GB2312"/>
          <w:b w:val="0"/>
          <w:bCs w:val="0"/>
          <w:highlight w:val="none"/>
        </w:rPr>
        <w:t>（一）主要经验及做法</w:t>
      </w:r>
      <w:bookmarkEnd w:id="17"/>
      <w:bookmarkStart w:id="18" w:name="_Toc68703844"/>
    </w:p>
    <w:p>
      <w:pPr>
        <w:pStyle w:val="4"/>
        <w:spacing w:line="360" w:lineRule="auto"/>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一是做好项目预算安排。根据下一年度的工作计划，提前预算，规范操作、严格控制开支范围，节约成本，提高效率。</w:t>
      </w:r>
    </w:p>
    <w:p>
      <w:pPr>
        <w:pStyle w:val="4"/>
        <w:spacing w:line="360" w:lineRule="auto"/>
        <w:rPr>
          <w:rFonts w:hint="default" w:ascii="仿宋_GB2312" w:hAnsi="仿宋_GB2312" w:eastAsia="仿宋_GB2312" w:cs="仿宋_GB2312"/>
          <w:b w:val="0"/>
          <w:bCs w:val="0"/>
          <w:kern w:val="2"/>
          <w:sz w:val="30"/>
          <w:szCs w:val="30"/>
          <w:lang w:val="en-US" w:eastAsia="zh-CN" w:bidi="ar-SA"/>
        </w:rPr>
      </w:pPr>
      <w:r>
        <w:rPr>
          <w:rFonts w:hint="default" w:ascii="仿宋_GB2312" w:hAnsi="仿宋_GB2312" w:eastAsia="仿宋_GB2312" w:cs="仿宋_GB2312"/>
          <w:b w:val="0"/>
          <w:bCs w:val="0"/>
          <w:kern w:val="2"/>
          <w:sz w:val="30"/>
          <w:szCs w:val="30"/>
          <w:lang w:val="en-US" w:eastAsia="zh-CN" w:bidi="ar-SA"/>
        </w:rPr>
        <w:t>二是通过加强监督检查，对资金的使用及配套情况有了进一步的了解，规范了专项资金的使用。</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5" w:lineRule="atLeast"/>
        <w:ind w:left="0" w:right="0" w:firstLine="675"/>
        <w:jc w:val="both"/>
        <w:rPr>
          <w:rFonts w:hint="default" w:ascii="仿宋_GB2312" w:hAnsi="仿宋_GB2312" w:eastAsia="仿宋_GB2312" w:cs="仿宋_GB2312"/>
          <w:b w:val="0"/>
          <w:bCs w:val="0"/>
          <w:kern w:val="2"/>
          <w:sz w:val="30"/>
          <w:szCs w:val="30"/>
          <w:lang w:val="en-US" w:eastAsia="zh-CN" w:bidi="ar-SA"/>
        </w:rPr>
      </w:pPr>
      <w:r>
        <w:rPr>
          <w:rFonts w:hint="default" w:ascii="仿宋_GB2312" w:hAnsi="仿宋_GB2312" w:eastAsia="仿宋_GB2312" w:cs="仿宋_GB2312"/>
          <w:b w:val="0"/>
          <w:bCs w:val="0"/>
          <w:kern w:val="2"/>
          <w:sz w:val="30"/>
          <w:szCs w:val="30"/>
          <w:lang w:val="en-US" w:eastAsia="zh-CN" w:bidi="ar-SA"/>
        </w:rPr>
        <w:t>三是强化台账管理。由各代表团团长担任联络室负责人，专门负责联络室的日常维护和管理，不断完善人大代表联络室的各项规章制度。同时，规范管理人大代表联络室的档案，在制定代表活动计划和工作流程，并严格按照计划开展工作，不断规范活动台账的管理，确保代表活动有记录、有痕迹。</w:t>
      </w:r>
    </w:p>
    <w:p>
      <w:pPr>
        <w:pStyle w:val="7"/>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5" w:lineRule="atLeast"/>
        <w:ind w:right="0"/>
        <w:jc w:val="both"/>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存在的问题及原因分析</w:t>
      </w:r>
      <w:bookmarkEnd w:id="18"/>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5" w:lineRule="atLeast"/>
        <w:ind w:right="0" w:rightChars="0"/>
        <w:jc w:val="both"/>
        <w:rPr>
          <w:rFonts w:hint="default" w:ascii="仿宋_GB2312" w:hAnsi="仿宋_GB2312" w:eastAsia="仿宋_GB2312" w:cs="仿宋_GB2312"/>
          <w:b w:val="0"/>
          <w:bCs w:val="0"/>
          <w:kern w:val="2"/>
          <w:sz w:val="30"/>
          <w:szCs w:val="30"/>
          <w:lang w:val="en-US" w:eastAsia="zh-CN" w:bidi="ar-SA"/>
        </w:rPr>
      </w:pPr>
      <w:r>
        <w:rPr>
          <w:rFonts w:hint="default" w:ascii="仿宋_GB2312" w:hAnsi="仿宋_GB2312" w:eastAsia="仿宋_GB2312" w:cs="仿宋_GB2312"/>
          <w:b w:val="0"/>
          <w:bCs w:val="0"/>
          <w:kern w:val="2"/>
          <w:sz w:val="30"/>
          <w:szCs w:val="30"/>
          <w:lang w:val="en-US" w:eastAsia="zh-CN" w:bidi="ar-SA"/>
        </w:rPr>
        <w:t>强</w:t>
      </w:r>
      <w:bookmarkStart w:id="21" w:name="_GoBack"/>
      <w:bookmarkEnd w:id="21"/>
      <w:r>
        <w:rPr>
          <w:rFonts w:hint="default" w:ascii="仿宋_GB2312" w:hAnsi="仿宋_GB2312" w:eastAsia="仿宋_GB2312" w:cs="仿宋_GB2312"/>
          <w:b w:val="0"/>
          <w:bCs w:val="0"/>
          <w:kern w:val="2"/>
          <w:sz w:val="30"/>
          <w:szCs w:val="30"/>
          <w:lang w:val="en-US" w:eastAsia="zh-CN" w:bidi="ar-SA"/>
        </w:rPr>
        <w:t>化台账管理。由各代表团团长担任联络室负责人，专门负责联络室的日常维护和管理，不断完善人大代表联络室的各项规章制度。同时，规范管理人大代表联络室的档案，在制定代表活动计划和工作流程，并严格按照计划开展工作，不断规范活动台账的管理，确保代表活动有记录、有痕迹。</w:t>
      </w:r>
    </w:p>
    <w:p>
      <w:pPr>
        <w:pStyle w:val="3"/>
        <w:numPr>
          <w:ilvl w:val="0"/>
          <w:numId w:val="3"/>
        </w:numPr>
        <w:spacing w:line="360" w:lineRule="auto"/>
        <w:rPr>
          <w:rFonts w:hint="eastAsia" w:ascii="宋体" w:hAnsi="宋体" w:eastAsia="宋体"/>
          <w:sz w:val="32"/>
          <w:szCs w:val="32"/>
          <w:highlight w:val="none"/>
        </w:rPr>
      </w:pPr>
      <w:bookmarkStart w:id="19" w:name="_Toc68703845"/>
      <w:r>
        <w:rPr>
          <w:rFonts w:hint="eastAsia" w:ascii="宋体" w:hAnsi="宋体" w:eastAsia="宋体"/>
          <w:sz w:val="32"/>
          <w:szCs w:val="32"/>
          <w:highlight w:val="none"/>
        </w:rPr>
        <w:t>有关建议</w:t>
      </w:r>
      <w:bookmarkEnd w:id="19"/>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5" w:lineRule="atLeast"/>
        <w:ind w:left="0" w:right="0" w:firstLine="675"/>
        <w:jc w:val="left"/>
        <w:rPr>
          <w:rFonts w:hint="default" w:ascii="仿宋_GB2312" w:hAnsi="仿宋_GB2312" w:eastAsia="仿宋_GB2312" w:cs="仿宋_GB2312"/>
          <w:kern w:val="2"/>
          <w:sz w:val="30"/>
          <w:szCs w:val="30"/>
          <w:lang w:val="en-US" w:eastAsia="zh-CN" w:bidi="ar-SA"/>
        </w:rPr>
      </w:pPr>
      <w:r>
        <w:rPr>
          <w:rFonts w:hint="default" w:ascii="仿宋_GB2312" w:hAnsi="仿宋_GB2312" w:eastAsia="仿宋_GB2312" w:cs="仿宋_GB2312"/>
          <w:kern w:val="2"/>
          <w:sz w:val="30"/>
          <w:szCs w:val="30"/>
          <w:lang w:val="en-US" w:eastAsia="zh-CN" w:bidi="ar-SA"/>
        </w:rPr>
        <w:t>（一）增强部门绩效管理意识，认真落实主体责任</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5" w:lineRule="atLeast"/>
        <w:ind w:left="0" w:right="0" w:firstLine="675"/>
        <w:jc w:val="left"/>
        <w:rPr>
          <w:rFonts w:hint="default" w:ascii="仿宋_GB2312" w:hAnsi="仿宋_GB2312" w:eastAsia="仿宋_GB2312" w:cs="仿宋_GB2312"/>
          <w:kern w:val="2"/>
          <w:sz w:val="30"/>
          <w:szCs w:val="30"/>
          <w:lang w:val="en-US" w:eastAsia="zh-CN" w:bidi="ar-SA"/>
        </w:rPr>
      </w:pPr>
      <w:r>
        <w:rPr>
          <w:rFonts w:hint="default" w:ascii="仿宋_GB2312" w:hAnsi="仿宋_GB2312" w:eastAsia="仿宋_GB2312" w:cs="仿宋_GB2312"/>
          <w:kern w:val="2"/>
          <w:sz w:val="30"/>
          <w:szCs w:val="30"/>
          <w:lang w:val="en-US" w:eastAsia="zh-CN" w:bidi="ar-SA"/>
        </w:rPr>
        <w:t>1.加强绩效目标管理工作</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5" w:lineRule="atLeast"/>
        <w:ind w:left="0" w:right="0" w:firstLine="675"/>
        <w:jc w:val="left"/>
        <w:rPr>
          <w:rFonts w:hint="default" w:ascii="仿宋_GB2312" w:hAnsi="仿宋_GB2312" w:eastAsia="仿宋_GB2312" w:cs="仿宋_GB2312"/>
          <w:kern w:val="2"/>
          <w:sz w:val="30"/>
          <w:szCs w:val="30"/>
          <w:lang w:val="en-US" w:eastAsia="zh-CN" w:bidi="ar-SA"/>
        </w:rPr>
      </w:pPr>
      <w:r>
        <w:rPr>
          <w:rFonts w:hint="default" w:ascii="仿宋_GB2312" w:hAnsi="仿宋_GB2312" w:eastAsia="仿宋_GB2312" w:cs="仿宋_GB2312"/>
          <w:kern w:val="2"/>
          <w:sz w:val="30"/>
          <w:szCs w:val="30"/>
          <w:lang w:val="en-US" w:eastAsia="zh-CN" w:bidi="ar-SA"/>
        </w:rPr>
        <w:t>（1）加强预算绩效目标管理，编制完整、量化可考核的绩效指标</w:t>
      </w:r>
      <w:r>
        <w:rPr>
          <w:rFonts w:hint="eastAsia" w:ascii="仿宋_GB2312" w:hAnsi="仿宋_GB2312" w:cs="仿宋_GB2312"/>
          <w:kern w:val="2"/>
          <w:sz w:val="30"/>
          <w:szCs w:val="30"/>
          <w:lang w:val="en-US" w:eastAsia="zh-CN" w:bidi="ar-SA"/>
        </w:rPr>
        <w:t>。</w:t>
      </w:r>
      <w:r>
        <w:rPr>
          <w:rFonts w:hint="default" w:ascii="仿宋_GB2312" w:hAnsi="仿宋_GB2312" w:eastAsia="仿宋_GB2312" w:cs="仿宋_GB2312"/>
          <w:kern w:val="2"/>
          <w:sz w:val="30"/>
          <w:szCs w:val="30"/>
          <w:lang w:val="en-US" w:eastAsia="zh-CN" w:bidi="ar-SA"/>
        </w:rPr>
        <w:t>一是编制完善的年度绩效目标。项目年度绩效目标应根据对应的年度重点工作进行设置，与项目年度实施内容预期产出及效果相关，全面完整反映项目的预期产出和效果。二是编制完整、量化可考核的绩效指标。根据编制的绩效目标梳理绩效指标，对绩效目标进行细化、分解，全面完整反映绩效目标；规范绩效指标的填写，严格按照绩效指标编制的相关要求，正确编制绩效指标名称、指标值、度量单位等，同时明确绩效指标值，具有考核性、可衡量性。</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5" w:lineRule="atLeast"/>
        <w:ind w:left="0" w:leftChars="0" w:right="0" w:rightChars="0" w:firstLine="675" w:firstLineChars="0"/>
        <w:jc w:val="left"/>
        <w:textAlignment w:val="auto"/>
        <w:outlineLvl w:val="9"/>
        <w:rPr>
          <w:rFonts w:hint="default" w:ascii="仿宋_GB2312" w:hAnsi="仿宋_GB2312" w:eastAsia="仿宋_GB2312" w:cs="仿宋_GB2312"/>
          <w:kern w:val="2"/>
          <w:sz w:val="30"/>
          <w:szCs w:val="30"/>
          <w:lang w:val="en-US" w:eastAsia="zh-CN" w:bidi="ar-SA"/>
        </w:rPr>
      </w:pPr>
      <w:r>
        <w:rPr>
          <w:rFonts w:hint="default" w:ascii="仿宋_GB2312" w:hAnsi="仿宋_GB2312" w:eastAsia="仿宋_GB2312" w:cs="仿宋_GB2312"/>
          <w:kern w:val="2"/>
          <w:sz w:val="30"/>
          <w:szCs w:val="30"/>
          <w:lang w:val="en-US" w:eastAsia="zh-CN" w:bidi="ar-SA"/>
        </w:rPr>
        <w:t>（2）加强绩效目标基础管理工作</w:t>
      </w:r>
      <w:r>
        <w:rPr>
          <w:rFonts w:hint="eastAsia" w:ascii="仿宋_GB2312" w:hAnsi="仿宋_GB2312" w:cs="仿宋_GB2312"/>
          <w:kern w:val="2"/>
          <w:sz w:val="30"/>
          <w:szCs w:val="30"/>
          <w:lang w:val="en-US" w:eastAsia="zh-CN" w:bidi="ar-SA"/>
        </w:rPr>
        <w:t>。</w:t>
      </w:r>
      <w:r>
        <w:rPr>
          <w:rFonts w:hint="default" w:ascii="仿宋_GB2312" w:hAnsi="仿宋_GB2312" w:eastAsia="仿宋_GB2312" w:cs="仿宋_GB2312"/>
          <w:kern w:val="2"/>
          <w:sz w:val="30"/>
          <w:szCs w:val="30"/>
          <w:lang w:val="en-US" w:eastAsia="zh-CN" w:bidi="ar-SA"/>
        </w:rPr>
        <w:t>一是建议部门建立完善的绩效目标审核机制，每年预算申报前按照财政预算编制要求对制定的绩效目标进行审核，对于绩效目标不符合要求的及时修改、完善，并将绩效目标作为部门项目遴选排序、安排部门预算申报资金的重要依据。二是提高绩效目标编制人员水平。对编制绩效目标的人员进行培训，明确编制绩效目标审核的要求，并提供绩效目标编制模板，加深编制人员对绩效目标的理解，掌握编制方法，规范填写绩效目标、绩效指标、指标值、度量单位、指标类型等，切实提高绩效目标编制水平。</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5" w:lineRule="atLeast"/>
        <w:ind w:left="0" w:right="0" w:firstLine="675"/>
        <w:jc w:val="left"/>
        <w:rPr>
          <w:rFonts w:hint="default" w:ascii="仿宋_GB2312" w:hAnsi="仿宋_GB2312" w:eastAsia="仿宋_GB2312" w:cs="仿宋_GB2312"/>
          <w:kern w:val="2"/>
          <w:sz w:val="30"/>
          <w:szCs w:val="30"/>
          <w:lang w:val="en-US" w:eastAsia="zh-CN" w:bidi="ar-SA"/>
        </w:rPr>
      </w:pPr>
      <w:r>
        <w:rPr>
          <w:rFonts w:hint="default" w:ascii="仿宋_GB2312" w:hAnsi="仿宋_GB2312" w:eastAsia="仿宋_GB2312" w:cs="仿宋_GB2312"/>
          <w:kern w:val="2"/>
          <w:sz w:val="30"/>
          <w:szCs w:val="30"/>
          <w:lang w:val="en-US" w:eastAsia="zh-CN" w:bidi="ar-SA"/>
        </w:rPr>
        <w:t>（二）加强前期调查摸底工作，按照实际情况下达任务</w:t>
      </w:r>
    </w:p>
    <w:p>
      <w:pPr>
        <w:pageBreakBefore w:val="0"/>
        <w:numPr>
          <w:ilvl w:val="0"/>
          <w:numId w:val="0"/>
        </w:numPr>
        <w:kinsoku/>
        <w:wordWrap/>
        <w:overflowPunct/>
        <w:topLinePunct w:val="0"/>
        <w:autoSpaceDE/>
        <w:autoSpaceDN/>
        <w:bidi w:val="0"/>
        <w:adjustRightInd/>
        <w:snapToGrid/>
        <w:spacing w:line="560" w:lineRule="exact"/>
        <w:ind w:firstLine="600" w:firstLineChars="200"/>
        <w:rPr>
          <w:highlight w:val="none"/>
        </w:rPr>
      </w:pPr>
      <w:r>
        <w:rPr>
          <w:rFonts w:hint="default" w:ascii="仿宋_GB2312" w:hAnsi="仿宋_GB2312" w:eastAsia="仿宋_GB2312" w:cs="仿宋_GB2312"/>
          <w:kern w:val="2"/>
          <w:sz w:val="30"/>
          <w:szCs w:val="30"/>
          <w:lang w:val="en-US" w:eastAsia="zh-CN" w:bidi="ar-SA"/>
        </w:rPr>
        <w:t>加强前期调查摸底工作，补助前由县人大进行摸底调查，</w:t>
      </w:r>
      <w:r>
        <w:rPr>
          <w:rFonts w:hint="eastAsia" w:ascii="仿宋_GB2312" w:hAnsi="仿宋_GB2312" w:cs="仿宋_GB2312"/>
          <w:kern w:val="2"/>
          <w:sz w:val="30"/>
          <w:szCs w:val="30"/>
          <w:lang w:val="en-US" w:eastAsia="zh-CN" w:bidi="ar-SA"/>
        </w:rPr>
        <w:t>县</w:t>
      </w:r>
      <w:r>
        <w:rPr>
          <w:rFonts w:hint="default" w:ascii="仿宋_GB2312" w:hAnsi="仿宋_GB2312" w:eastAsia="仿宋_GB2312" w:cs="仿宋_GB2312"/>
          <w:kern w:val="2"/>
          <w:sz w:val="30"/>
          <w:szCs w:val="30"/>
          <w:lang w:val="en-US" w:eastAsia="zh-CN" w:bidi="ar-SA"/>
        </w:rPr>
        <w:t>人大常委会办公室汇总各</w:t>
      </w:r>
      <w:r>
        <w:rPr>
          <w:rFonts w:hint="eastAsia" w:ascii="仿宋_GB2312" w:hAnsi="仿宋_GB2312" w:cs="仿宋_GB2312"/>
          <w:kern w:val="2"/>
          <w:sz w:val="30"/>
          <w:szCs w:val="30"/>
          <w:lang w:val="en-US" w:eastAsia="zh-CN" w:bidi="ar-SA"/>
        </w:rPr>
        <w:t>乡镇场</w:t>
      </w:r>
      <w:r>
        <w:rPr>
          <w:rFonts w:hint="default" w:ascii="仿宋_GB2312" w:hAnsi="仿宋_GB2312" w:eastAsia="仿宋_GB2312" w:cs="仿宋_GB2312"/>
          <w:kern w:val="2"/>
          <w:sz w:val="30"/>
          <w:szCs w:val="30"/>
          <w:lang w:val="en-US" w:eastAsia="zh-CN" w:bidi="ar-SA"/>
        </w:rPr>
        <w:t>摸底调查情况，进行审核后再下达任务。各</w:t>
      </w:r>
      <w:r>
        <w:rPr>
          <w:rFonts w:hint="eastAsia" w:ascii="仿宋_GB2312" w:hAnsi="仿宋_GB2312" w:cs="仿宋_GB2312"/>
          <w:kern w:val="2"/>
          <w:sz w:val="30"/>
          <w:szCs w:val="30"/>
          <w:lang w:val="en-US" w:eastAsia="zh-CN" w:bidi="ar-SA"/>
        </w:rPr>
        <w:t>乡镇场</w:t>
      </w:r>
      <w:r>
        <w:rPr>
          <w:rFonts w:hint="default" w:ascii="仿宋_GB2312" w:hAnsi="仿宋_GB2312" w:eastAsia="仿宋_GB2312" w:cs="仿宋_GB2312"/>
          <w:kern w:val="2"/>
          <w:sz w:val="30"/>
          <w:szCs w:val="30"/>
          <w:lang w:val="en-US" w:eastAsia="zh-CN" w:bidi="ar-SA"/>
        </w:rPr>
        <w:t>根据</w:t>
      </w:r>
      <w:r>
        <w:rPr>
          <w:rFonts w:hint="eastAsia" w:ascii="仿宋_GB2312" w:hAnsi="仿宋_GB2312" w:cs="仿宋_GB2312"/>
          <w:kern w:val="2"/>
          <w:sz w:val="30"/>
          <w:szCs w:val="30"/>
          <w:lang w:val="en-US" w:eastAsia="zh-CN" w:bidi="ar-SA"/>
        </w:rPr>
        <w:t>县</w:t>
      </w:r>
      <w:r>
        <w:rPr>
          <w:rFonts w:hint="default" w:ascii="仿宋_GB2312" w:hAnsi="仿宋_GB2312" w:eastAsia="仿宋_GB2312" w:cs="仿宋_GB2312"/>
          <w:kern w:val="2"/>
          <w:sz w:val="30"/>
          <w:szCs w:val="30"/>
          <w:lang w:val="en-US" w:eastAsia="zh-CN" w:bidi="ar-SA"/>
        </w:rPr>
        <w:t>级下达任务，积极开展基层“</w:t>
      </w:r>
      <w:r>
        <w:rPr>
          <w:rFonts w:hint="eastAsia" w:ascii="仿宋_GB2312" w:hAnsi="仿宋_GB2312" w:cs="仿宋_GB2312"/>
          <w:kern w:val="2"/>
          <w:sz w:val="30"/>
          <w:szCs w:val="30"/>
          <w:lang w:val="en-US" w:eastAsia="zh-CN" w:bidi="ar-SA"/>
        </w:rPr>
        <w:t>基层</w:t>
      </w:r>
      <w:r>
        <w:rPr>
          <w:rFonts w:hint="default" w:ascii="仿宋_GB2312" w:hAnsi="仿宋_GB2312" w:eastAsia="仿宋_GB2312" w:cs="仿宋_GB2312"/>
          <w:kern w:val="2"/>
          <w:sz w:val="30"/>
          <w:szCs w:val="30"/>
          <w:lang w:val="en-US" w:eastAsia="zh-CN" w:bidi="ar-SA"/>
        </w:rPr>
        <w:t>人大代表联络室”补助工作，确保按时、按计划完成补助任务。</w:t>
      </w:r>
    </w:p>
    <w:p>
      <w:pPr>
        <w:pStyle w:val="3"/>
        <w:spacing w:line="360" w:lineRule="auto"/>
        <w:rPr>
          <w:rFonts w:ascii="宋体" w:hAnsi="宋体" w:eastAsia="宋体"/>
          <w:sz w:val="32"/>
          <w:szCs w:val="32"/>
          <w:highlight w:val="none"/>
        </w:rPr>
      </w:pPr>
      <w:bookmarkStart w:id="20" w:name="_Toc68703846"/>
      <w:r>
        <w:rPr>
          <w:rFonts w:hint="eastAsia" w:ascii="宋体" w:hAnsi="宋体" w:eastAsia="宋体"/>
          <w:sz w:val="32"/>
          <w:szCs w:val="32"/>
          <w:highlight w:val="none"/>
        </w:rPr>
        <w:t>七、其他需要说明的问题</w:t>
      </w:r>
      <w:bookmarkEnd w:id="20"/>
    </w:p>
    <w:p>
      <w:pPr>
        <w:ind w:firstLine="600" w:firstLineChars="200"/>
        <w:rPr>
          <w:color w:val="auto"/>
        </w:rPr>
      </w:pPr>
      <w:r>
        <w:rPr>
          <w:rFonts w:hint="eastAsia"/>
          <w:color w:val="auto"/>
        </w:rPr>
        <w:t>无</w:t>
      </w:r>
    </w:p>
    <w:p>
      <w:pPr>
        <w:spacing w:line="360" w:lineRule="auto"/>
      </w:pPr>
    </w:p>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D888F"/>
    <w:multiLevelType w:val="singleLevel"/>
    <w:tmpl w:val="A2BD888F"/>
    <w:lvl w:ilvl="0" w:tentative="0">
      <w:start w:val="2"/>
      <w:numFmt w:val="chineseCounting"/>
      <w:suff w:val="nothing"/>
      <w:lvlText w:val="（%1）"/>
      <w:lvlJc w:val="left"/>
      <w:rPr>
        <w:rFonts w:hint="eastAsia"/>
      </w:rPr>
    </w:lvl>
  </w:abstractNum>
  <w:abstractNum w:abstractNumId="1">
    <w:nsid w:val="548ADF32"/>
    <w:multiLevelType w:val="singleLevel"/>
    <w:tmpl w:val="548ADF32"/>
    <w:lvl w:ilvl="0" w:tentative="0">
      <w:start w:val="2"/>
      <w:numFmt w:val="decimal"/>
      <w:suff w:val="nothing"/>
      <w:lvlText w:val="%1、"/>
      <w:lvlJc w:val="left"/>
    </w:lvl>
  </w:abstractNum>
  <w:abstractNum w:abstractNumId="2">
    <w:nsid w:val="661E1061"/>
    <w:multiLevelType w:val="singleLevel"/>
    <w:tmpl w:val="661E1061"/>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069F5743"/>
    <w:rsid w:val="0CB16BA6"/>
    <w:rsid w:val="0F5E27F8"/>
    <w:rsid w:val="19B25483"/>
    <w:rsid w:val="1CEB1E62"/>
    <w:rsid w:val="1DE2713B"/>
    <w:rsid w:val="1FC43ACD"/>
    <w:rsid w:val="28C87D83"/>
    <w:rsid w:val="3D682D11"/>
    <w:rsid w:val="47CE7B2D"/>
    <w:rsid w:val="562E1BE0"/>
    <w:rsid w:val="6260380F"/>
    <w:rsid w:val="63002258"/>
    <w:rsid w:val="69E13DB4"/>
    <w:rsid w:val="6B305D86"/>
    <w:rsid w:val="6C7A2843"/>
    <w:rsid w:val="6D5F4B62"/>
    <w:rsid w:val="6E6A2BC6"/>
    <w:rsid w:val="72571B80"/>
    <w:rsid w:val="7E64776C"/>
    <w:rsid w:val="7FDB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semiHidden/>
    <w:unhideWhenUsed/>
    <w:qFormat/>
    <w:uiPriority w:val="99"/>
    <w:pPr>
      <w:snapToGrid w:val="0"/>
      <w:jc w:val="left"/>
    </w:pPr>
    <w:rPr>
      <w:sz w:val="18"/>
      <w:szCs w:val="18"/>
    </w:r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7">
    <w:name w:val="Normal (Web)"/>
    <w:basedOn w:val="1"/>
    <w:semiHidden/>
    <w:unhideWhenUsed/>
    <w:qFormat/>
    <w:uiPriority w:val="99"/>
    <w:pPr>
      <w:spacing w:before="100" w:beforeAutospacing="1" w:after="100" w:afterAutospacing="1"/>
      <w:ind w:left="0" w:right="0"/>
      <w:jc w:val="left"/>
    </w:pPr>
    <w:rPr>
      <w:kern w:val="0"/>
      <w:sz w:val="24"/>
      <w:lang w:val="en-US" w:eastAsia="zh-CN" w:bidi="ar"/>
    </w:rPr>
  </w:style>
  <w:style w:type="paragraph" w:styleId="8">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标题 1 字符"/>
    <w:basedOn w:val="10"/>
    <w:link w:val="3"/>
    <w:qFormat/>
    <w:uiPriority w:val="9"/>
    <w:rPr>
      <w:rFonts w:ascii="Times New Roman" w:hAnsi="Times New Roman" w:eastAsia="仿宋_GB2312" w:cs="Times New Roman"/>
      <w:b/>
      <w:bCs/>
      <w:kern w:val="44"/>
      <w:sz w:val="44"/>
      <w:szCs w:val="44"/>
    </w:rPr>
  </w:style>
  <w:style w:type="character" w:customStyle="1" w:styleId="13">
    <w:name w:val="标题 2 字符"/>
    <w:basedOn w:val="10"/>
    <w:link w:val="4"/>
    <w:qFormat/>
    <w:uiPriority w:val="9"/>
    <w:rPr>
      <w:rFonts w:asciiTheme="majorHAnsi" w:hAnsiTheme="majorHAnsi" w:eastAsiaTheme="majorEastAsia" w:cstheme="majorBidi"/>
      <w:b/>
      <w:bCs/>
      <w:sz w:val="32"/>
      <w:szCs w:val="32"/>
    </w:rPr>
  </w:style>
  <w:style w:type="paragraph" w:customStyle="1" w:styleId="14">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6132</Words>
  <Characters>6272</Characters>
  <Lines>38</Lines>
  <Paragraphs>10</Paragraphs>
  <TotalTime>2</TotalTime>
  <ScaleCrop>false</ScaleCrop>
  <LinksUpToDate>false</LinksUpToDate>
  <CharactersWithSpaces>6317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2022-04-26T04:23:48Z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B8A3EA94836541F0947F867F044155B9</vt:lpwstr>
  </property>
</Properties>
</file>