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项目名称：基层政协补助经费</w:t>
      </w:r>
      <w:r>
        <w:rPr>
          <w:rFonts w:ascii="宋体" w:hAnsi="宋体" w:eastAsia="宋体" w:cs="宋体"/>
          <w:kern w:val="0"/>
          <w:sz w:val="32"/>
          <w:szCs w:val="32"/>
        </w:rPr>
        <w:t xml:space="preserve"> </w:t>
      </w: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 xml:space="preserve">实施单位（公章）：中国人民政治协商会议特克斯县委员会办公室 </w:t>
      </w: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主管部门（公章）：中国人民政治协商会议特克斯县委员会办 公室</w:t>
      </w: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项目负责人（签章）：</w:t>
      </w:r>
      <w:r>
        <w:rPr>
          <w:rFonts w:ascii="宋体" w:hAnsi="宋体" w:eastAsia="宋体" w:cs="宋体"/>
          <w:kern w:val="0"/>
          <w:sz w:val="32"/>
          <w:szCs w:val="32"/>
        </w:rPr>
        <w:t xml:space="preserve"> </w:t>
      </w:r>
      <w:r>
        <w:rPr>
          <w:rFonts w:hint="eastAsia" w:ascii="宋体" w:hAnsi="宋体" w:eastAsia="宋体" w:cs="仿宋_GB2312"/>
          <w:b/>
          <w:bCs/>
          <w:color w:val="000000"/>
          <w:kern w:val="0"/>
          <w:sz w:val="32"/>
          <w:szCs w:val="32"/>
        </w:rPr>
        <w:t>李英江</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填报时间：2022年4月20日</w:t>
      </w:r>
    </w:p>
    <w:p>
      <w:pPr>
        <w:widowControl/>
        <w:jc w:val="left"/>
        <w:rPr>
          <w:rFonts w:ascii="宋体" w:hAnsi="宋体" w:eastAsia="宋体" w:cs="Arial"/>
          <w:b/>
          <w:bCs/>
          <w:sz w:val="36"/>
          <w:szCs w:val="36"/>
        </w:rPr>
      </w:pP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3"/>
        <w:spacing w:line="360" w:lineRule="auto"/>
        <w:rPr>
          <w:rFonts w:ascii="宋体" w:hAnsi="宋体" w:eastAsia="宋体"/>
          <w:sz w:val="32"/>
          <w:szCs w:val="32"/>
        </w:rPr>
      </w:pPr>
      <w:bookmarkStart w:id="0" w:name="_Toc68703827"/>
      <w:r>
        <w:rPr>
          <w:rFonts w:hint="eastAsia" w:ascii="宋体" w:hAnsi="宋体" w:eastAsia="宋体"/>
          <w:sz w:val="32"/>
          <w:szCs w:val="32"/>
        </w:rPr>
        <w:t>一、基本情况</w:t>
      </w:r>
      <w:bookmarkEnd w:id="0"/>
    </w:p>
    <w:p>
      <w:pPr>
        <w:pStyle w:val="4"/>
        <w:spacing w:line="360" w:lineRule="auto"/>
        <w:rPr>
          <w:rFonts w:ascii="仿宋_GB2312" w:eastAsia="仿宋_GB2312"/>
          <w:b w:val="0"/>
          <w:bCs w:val="0"/>
        </w:rPr>
      </w:pPr>
      <w:bookmarkStart w:id="1" w:name="_Toc68703828"/>
      <w:r>
        <w:rPr>
          <w:rFonts w:hint="eastAsia" w:ascii="仿宋_GB2312" w:eastAsia="仿宋_GB2312"/>
          <w:b w:val="0"/>
          <w:bCs w:val="0"/>
        </w:rPr>
        <w:t>（一）项目概况。</w:t>
      </w:r>
      <w:bookmarkEnd w:id="1"/>
    </w:p>
    <w:p>
      <w:pPr>
        <w:numPr>
          <w:ilvl w:val="0"/>
          <w:numId w:val="1"/>
        </w:numPr>
        <w:spacing w:line="360" w:lineRule="auto"/>
        <w:ind w:firstLine="600" w:firstLineChars="200"/>
        <w:rPr>
          <w:rFonts w:ascii="仿宋_GB2312"/>
        </w:rPr>
      </w:pPr>
      <w:r>
        <w:rPr>
          <w:rFonts w:hint="eastAsia" w:ascii="仿宋_GB2312"/>
        </w:rPr>
        <w:t>项目背景</w:t>
      </w:r>
    </w:p>
    <w:p>
      <w:pPr>
        <w:pStyle w:val="7"/>
        <w:widowControl/>
        <w:spacing w:before="0" w:beforeAutospacing="0" w:after="0" w:afterAutospacing="0" w:line="560" w:lineRule="exact"/>
        <w:ind w:firstLine="640" w:firstLineChars="200"/>
        <w:jc w:val="both"/>
        <w:rPr>
          <w:rFonts w:ascii="仿宋_GB2312" w:hAnsi="黑体" w:cs="宋体"/>
          <w:bCs/>
          <w:kern w:val="0"/>
          <w:sz w:val="32"/>
          <w:szCs w:val="32"/>
        </w:rPr>
      </w:pPr>
      <w:r>
        <w:rPr>
          <w:rFonts w:hint="eastAsia" w:ascii="仿宋_GB2312" w:hAnsi="黑体" w:cs="宋体"/>
          <w:bCs/>
          <w:kern w:val="0"/>
          <w:sz w:val="32"/>
          <w:szCs w:val="32"/>
        </w:rPr>
        <w:t>政协是宣传和贯彻执行国家、法律和各项政策，推动社会各界积极参与两个文明建设。对政府、全县国民经济各社会发展规划、县财政预算及爱国统一战线内部关系等重要事物进行政治协商、通过提建议、咨询批评等方式进行民主监督。选举县人民政协委员会主席、副主席各常务委员。听取和审议常务委员会等工作报告。讨论通过有关决议开展调查研究，反映社情民意，进行协商讨论，通过调研报告，提案、建议案或其他形式，向国家机关提出意见和建议。</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ascii="仿宋_GB2312"/>
        </w:rPr>
      </w:pPr>
      <w:r>
        <w:rPr>
          <w:rFonts w:hint="eastAsia" w:ascii="仿宋_GB2312"/>
        </w:rPr>
        <w:t>主要内容：围绕全县政协委员视察调研，给基层政协搭建“商量书屋”协商议事办公室，购买办公设备，组织政协委员下基层调研，老百姓普遍关心的民生和热点问题，认真履行政协办公室和四个专委会工作，通过组织开展政协相关工作活动，不断提高各界别政协委员的履职工作能力水平。</w:t>
      </w:r>
    </w:p>
    <w:p>
      <w:pPr>
        <w:spacing w:line="360" w:lineRule="auto"/>
        <w:ind w:firstLine="600" w:firstLineChars="200"/>
        <w:rPr>
          <w:rFonts w:ascii="仿宋_GB2312"/>
          <w:color w:val="FF0000"/>
        </w:rPr>
      </w:pPr>
      <w:r>
        <w:rPr>
          <w:rFonts w:hint="eastAsia" w:ascii="仿宋_GB2312"/>
        </w:rPr>
        <w:t>实施情况：</w:t>
      </w:r>
      <w:r>
        <w:rPr>
          <w:rFonts w:hint="eastAsia" w:ascii="仿宋_GB2312"/>
          <w:color w:val="000000" w:themeColor="text1"/>
          <w:szCs w:val="30"/>
        </w:rPr>
        <w:t>该项目做到有计划、有安排，扎实开展，严格按照项目资金管理办法对资金进行计划申请、划拨、使用，及时、规范对收支进行账务处理和会计核算。在2021年底，该项目全部完成。</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pPr>
      <w:r>
        <w:rPr>
          <w:rFonts w:hint="eastAsia"/>
        </w:rPr>
        <w:t>资金投入情况：该项目年初预算数5万元，全年预算数5万元，实际总投入5万元，该项目资金已全部落实到位，资金来源为财政拨款。</w:t>
      </w:r>
    </w:p>
    <w:p>
      <w:pPr>
        <w:spacing w:line="360" w:lineRule="auto"/>
        <w:ind w:firstLine="600" w:firstLineChars="200"/>
      </w:pPr>
      <w:r>
        <w:rPr>
          <w:rFonts w:hint="eastAsia"/>
        </w:rPr>
        <w:t xml:space="preserve">资金使用情况：该项目年初预算数5万元，全年预算数5万元，全年执行数5万元，预算执行率为100%，用于：基层政协补助经费 </w:t>
      </w:r>
    </w:p>
    <w:p>
      <w:pPr>
        <w:spacing w:line="360" w:lineRule="auto"/>
        <w:rPr>
          <w:color w:val="FF0000"/>
        </w:rPr>
      </w:pPr>
      <w:r>
        <w:rPr>
          <w:rFonts w:hint="eastAsia"/>
        </w:rPr>
        <w:t>5万元。</w:t>
      </w:r>
    </w:p>
    <w:p>
      <w:pPr>
        <w:pStyle w:val="4"/>
        <w:spacing w:line="360" w:lineRule="auto"/>
        <w:ind w:firstLine="640" w:firstLineChars="200"/>
        <w:rPr>
          <w:color w:val="FF0000"/>
        </w:rPr>
      </w:pPr>
      <w:bookmarkStart w:id="2" w:name="_Toc68703829"/>
      <w:r>
        <w:rPr>
          <w:rFonts w:hint="eastAsia" w:ascii="仿宋_GB2312" w:eastAsia="仿宋_GB2312"/>
          <w:b w:val="0"/>
          <w:bCs w:val="0"/>
        </w:rPr>
        <w:t>（二）项目绩效目标。</w:t>
      </w:r>
      <w:bookmarkEnd w:id="2"/>
    </w:p>
    <w:p>
      <w:pPr>
        <w:numPr>
          <w:ilvl w:val="0"/>
          <w:numId w:val="2"/>
        </w:numPr>
        <w:spacing w:line="360" w:lineRule="auto"/>
        <w:ind w:firstLine="600" w:firstLineChars="200"/>
      </w:pPr>
      <w:r>
        <w:rPr>
          <w:rFonts w:hint="eastAsia"/>
        </w:rPr>
        <w:t>总体目标：组织政协委员调查研究、协商议政和民主监督活动，助推自治区重点领域和重大改革举措落实。开展“两支队伍”培训，提高政协委员和政协干部的政治把握能力和履职尽责能力。补充基层政协经费，改善办公条件。</w:t>
      </w:r>
    </w:p>
    <w:p>
      <w:pPr>
        <w:spacing w:line="360" w:lineRule="auto"/>
        <w:ind w:firstLine="600" w:firstLineChars="200"/>
      </w:pPr>
      <w:r>
        <w:t>2</w:t>
      </w:r>
      <w:r>
        <w:rPr>
          <w:rFonts w:hint="eastAsia"/>
        </w:rPr>
        <w:t>、阶段性目标：</w:t>
      </w:r>
      <w:r>
        <w:rPr>
          <w:rFonts w:hint="eastAsia" w:ascii="仿宋_GB2312" w:hAnsi="仿宋_GB2312" w:cs="仿宋_GB2312"/>
          <w:sz w:val="28"/>
          <w:szCs w:val="28"/>
        </w:rPr>
        <w:t>（</w:t>
      </w:r>
      <w:r>
        <w:rPr>
          <w:rFonts w:hint="eastAsia"/>
        </w:rPr>
        <w:t>1）前期准备：按照上级拨付经费文件要求，制定基层政协补助资金实施方案，确定工作指标以及预期目标值，按绩效评价三级指标按阶段完成相关工作，经项目负责人审核通过后，有序开展后续工作。</w:t>
      </w:r>
    </w:p>
    <w:p>
      <w:pPr>
        <w:spacing w:line="360" w:lineRule="auto"/>
        <w:ind w:firstLine="600" w:firstLineChars="200"/>
      </w:pPr>
      <w:r>
        <w:rPr>
          <w:rFonts w:hint="eastAsia"/>
        </w:rPr>
        <w:t>（2）组织实施：资金到位后，立即根据项目要求及实施方案内容来实施项目。项目责任人按照总体目标逐一进行项目部署安排，组织政协委员调研、视察，代表培训、提案督办等相关工作，提高项目质量及效率性。</w:t>
      </w:r>
    </w:p>
    <w:p>
      <w:pPr>
        <w:pStyle w:val="3"/>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4"/>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1、绩效评价目的：</w:t>
      </w:r>
    </w:p>
    <w:p>
      <w:pPr>
        <w:spacing w:line="360" w:lineRule="auto"/>
        <w:ind w:firstLine="640" w:firstLineChars="200"/>
        <w:jc w:val="left"/>
        <w:rPr>
          <w:rFonts w:ascii="仿宋_GB2312"/>
          <w:bCs/>
          <w:sz w:val="32"/>
          <w:szCs w:val="32"/>
        </w:rPr>
      </w:pPr>
      <w:r>
        <w:rPr>
          <w:rFonts w:hint="eastAsia" w:ascii="仿宋_GB2312"/>
          <w:bCs/>
          <w:sz w:val="32"/>
          <w:szCs w:val="32"/>
        </w:rPr>
        <w:t>通过绩效评价，客观地评判项目的管理绩效，了解和掌握基层人大补助资金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40" w:firstLineChars="200"/>
        <w:jc w:val="left"/>
        <w:rPr>
          <w:rFonts w:hint="eastAsia" w:ascii="仿宋_GB2312"/>
          <w:bCs/>
          <w:sz w:val="32"/>
          <w:szCs w:val="32"/>
        </w:rPr>
      </w:pPr>
      <w:r>
        <w:rPr>
          <w:rFonts w:hint="eastAsia" w:ascii="仿宋_GB2312"/>
          <w:bCs/>
          <w:sz w:val="32"/>
          <w:szCs w:val="32"/>
        </w:rPr>
        <w:t xml:space="preserve">基层政协补助经费 </w:t>
      </w:r>
    </w:p>
    <w:p>
      <w:pPr>
        <w:spacing w:line="360" w:lineRule="auto"/>
        <w:ind w:firstLine="600" w:firstLineChars="200"/>
      </w:pPr>
      <w:r>
        <w:rPr>
          <w:rFonts w:hint="eastAsia"/>
        </w:rPr>
        <w:t>3、绩效评价范围：</w:t>
      </w:r>
    </w:p>
    <w:p>
      <w:pPr>
        <w:spacing w:line="360" w:lineRule="auto"/>
        <w:ind w:firstLine="600" w:firstLineChars="200"/>
        <w:rPr>
          <w:rFonts w:hint="eastAsia"/>
        </w:rPr>
      </w:pPr>
      <w:r>
        <w:rPr>
          <w:rFonts w:hint="eastAsia"/>
        </w:rPr>
        <w:t>本次评价从项目决策（包括绩效目标、决策过程）、项目管理（包括项目资金、项目实施）、项目产出（包括项目产出数量、产出质量、产出时效和产出成本）项目效益四个维度进行基层人大补助经费评价，评价核心为专项资金的支出完成情况和效果。</w:t>
      </w:r>
      <w:bookmarkStart w:id="5" w:name="_Toc68703832"/>
    </w:p>
    <w:p>
      <w:pPr>
        <w:pStyle w:val="2"/>
        <w:rPr>
          <w:rFonts w:hint="eastAsia"/>
        </w:rPr>
      </w:pPr>
    </w:p>
    <w:p>
      <w:pPr>
        <w:pStyle w:val="2"/>
        <w:rPr>
          <w:rFonts w:hint="eastAsia"/>
        </w:rPr>
      </w:pPr>
    </w:p>
    <w:p>
      <w:pPr>
        <w:numPr>
          <w:ilvl w:val="0"/>
          <w:numId w:val="3"/>
        </w:numPr>
        <w:spacing w:line="360" w:lineRule="auto"/>
        <w:rPr>
          <w:rFonts w:hint="eastAsia" w:ascii="仿宋_GB2312"/>
        </w:rPr>
      </w:pPr>
      <w:r>
        <w:rPr>
          <w:rFonts w:hint="eastAsia" w:ascii="仿宋_GB2312"/>
        </w:rPr>
        <w:t>绩效评价原则、评价指标体系、评价方法、评价标准等。</w:t>
      </w:r>
      <w:bookmarkEnd w:id="5"/>
    </w:p>
    <w:p>
      <w:pPr>
        <w:pStyle w:val="2"/>
        <w:numPr>
          <w:ilvl w:val="0"/>
          <w:numId w:val="0"/>
        </w:numPr>
      </w:pPr>
    </w:p>
    <w:p>
      <w:pPr>
        <w:spacing w:line="360" w:lineRule="auto"/>
      </w:pPr>
      <w:r>
        <w:rPr>
          <w:rFonts w:hint="eastAsia"/>
        </w:rPr>
        <w:t>1、绩效评价原则</w:t>
      </w:r>
    </w:p>
    <w:p>
      <w:pPr>
        <w:spacing w:line="600" w:lineRule="exact"/>
        <w:ind w:firstLine="640"/>
        <w:rPr>
          <w:rFonts w:ascii="仿宋_GB2312"/>
          <w:bCs/>
          <w:sz w:val="32"/>
          <w:szCs w:val="32"/>
        </w:rPr>
      </w:pPr>
      <w:r>
        <w:rPr>
          <w:rFonts w:hint="eastAsia" w:ascii="仿宋_GB2312"/>
          <w:bCs/>
          <w:sz w:val="32"/>
          <w:szCs w:val="32"/>
        </w:rPr>
        <w:t>（一）科学公正。本次项目支出绩效评价运用科学合理的方法，按照规范的程序，对项目绩效进行客观、公正的反映。</w:t>
      </w:r>
    </w:p>
    <w:p>
      <w:pPr>
        <w:spacing w:line="600" w:lineRule="exact"/>
        <w:ind w:firstLine="640"/>
        <w:rPr>
          <w:rFonts w:ascii="仿宋_GB2312"/>
          <w:bCs/>
          <w:sz w:val="32"/>
          <w:szCs w:val="32"/>
        </w:rPr>
      </w:pPr>
      <w:r>
        <w:rPr>
          <w:rFonts w:hint="eastAsia" w:ascii="仿宋_GB2312"/>
          <w:bCs/>
          <w:sz w:val="32"/>
          <w:szCs w:val="32"/>
        </w:rPr>
        <w:t>（二）统筹兼顾。本次项目支出绩效评价由本单位自主实施，即“谁支出、谁自评”。</w:t>
      </w:r>
    </w:p>
    <w:p>
      <w:pPr>
        <w:spacing w:line="600" w:lineRule="exact"/>
        <w:ind w:firstLine="640"/>
        <w:rPr>
          <w:rFonts w:ascii="仿宋_GB2312"/>
          <w:bCs/>
          <w:sz w:val="32"/>
          <w:szCs w:val="32"/>
        </w:rPr>
      </w:pPr>
      <w:r>
        <w:rPr>
          <w:rFonts w:hint="eastAsia" w:ascii="仿宋_GB2312"/>
          <w:bCs/>
          <w:sz w:val="32"/>
          <w:szCs w:val="32"/>
        </w:rPr>
        <w:t>（三）激励约束。本次项目支出绩效评价结果与预算安排、政策调整、改进管理实质性挂钩，体现奖优罚劣和激励相容导向，有效要安排、低效要压减、无效要问责。</w:t>
      </w:r>
    </w:p>
    <w:p>
      <w:pPr>
        <w:spacing w:line="360" w:lineRule="auto"/>
      </w:pPr>
      <w:r>
        <w:rPr>
          <w:rFonts w:hint="eastAsia" w:ascii="仿宋_GB2312"/>
          <w:bCs/>
          <w:sz w:val="32"/>
          <w:szCs w:val="32"/>
        </w:rPr>
        <w:t>（四）公开透明。本次项目支出绩效评价结果已依法依规公开在特克斯县人民政府网站上，并自觉接受社会监督。</w:t>
      </w:r>
    </w:p>
    <w:p>
      <w:pPr>
        <w:spacing w:line="360" w:lineRule="auto"/>
      </w:pPr>
      <w:r>
        <w:rPr>
          <w:rFonts w:hint="eastAsia"/>
        </w:rPr>
        <w:t>2、评价指标体系（附表说明）</w:t>
      </w:r>
    </w:p>
    <w:p>
      <w:pPr>
        <w:pStyle w:val="4"/>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基层政协补助经费项目支出绩效评价指标体系</w:t>
      </w:r>
    </w:p>
    <w:tbl>
      <w:tblPr>
        <w:tblStyle w:val="8"/>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2</w:t>
            </w:r>
          </w:p>
        </w:tc>
        <w:tc>
          <w:tcPr>
            <w:tcW w:w="874" w:type="dxa"/>
            <w:tcBorders>
              <w:bottom w:val="single" w:color="auto" w:sz="4" w:space="0"/>
            </w:tcBorders>
            <w:shd w:val="clear" w:color="auto" w:fill="FFFFFF"/>
            <w:vAlign w:val="top"/>
          </w:tcPr>
          <w:p>
            <w:pPr>
              <w:spacing w:line="600" w:lineRule="auto"/>
              <w:jc w:val="center"/>
            </w:pPr>
            <w:r>
              <w:rPr>
                <w:rFonts w:hint="eastAsia"/>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pPr>
            <w:r>
              <w:rPr>
                <w:rFonts w:hint="eastAsia"/>
              </w:rPr>
              <w:t>2</w:t>
            </w:r>
          </w:p>
        </w:tc>
        <w:tc>
          <w:tcPr>
            <w:tcW w:w="874" w:type="dxa"/>
            <w:shd w:val="clear" w:color="auto" w:fill="FFFFFF"/>
            <w:vAlign w:val="top"/>
          </w:tcPr>
          <w:p>
            <w:pPr>
              <w:spacing w:line="600" w:lineRule="auto"/>
              <w:jc w:val="center"/>
            </w:pPr>
            <w:r>
              <w:rPr>
                <w:rFonts w:hint="eastAsia"/>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3</w:t>
            </w:r>
          </w:p>
        </w:tc>
        <w:tc>
          <w:tcPr>
            <w:tcW w:w="874" w:type="dxa"/>
            <w:shd w:val="clear" w:color="000000" w:fill="FFFFFF"/>
            <w:vAlign w:val="top"/>
          </w:tcPr>
          <w:p>
            <w:pPr>
              <w:spacing w:line="600" w:lineRule="auto"/>
              <w:jc w:val="center"/>
            </w:pPr>
            <w:r>
              <w:rPr>
                <w:rFonts w:hint="eastAsia"/>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pPr>
            <w:r>
              <w:rPr>
                <w:rFonts w:hint="eastAsia"/>
              </w:rPr>
              <w:t>5</w:t>
            </w:r>
          </w:p>
        </w:tc>
        <w:tc>
          <w:tcPr>
            <w:tcW w:w="874" w:type="dxa"/>
            <w:tcBorders>
              <w:bottom w:val="single" w:color="auto" w:sz="4" w:space="0"/>
            </w:tcBorders>
            <w:shd w:val="clear" w:color="000000" w:fill="FFFFFF"/>
            <w:vAlign w:val="top"/>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pPr>
            <w:r>
              <w:rPr>
                <w:rFonts w:hint="eastAsia"/>
              </w:rPr>
              <w:t>5</w:t>
            </w:r>
          </w:p>
        </w:tc>
        <w:tc>
          <w:tcPr>
            <w:tcW w:w="874" w:type="dxa"/>
            <w:tcBorders>
              <w:bottom w:val="single" w:color="auto" w:sz="4" w:space="0"/>
            </w:tcBorders>
            <w:shd w:val="clear" w:color="auto" w:fill="FFFFFF"/>
            <w:vAlign w:val="top"/>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pPr>
            <w:r>
              <w:rPr>
                <w:rFonts w:hint="eastAsia"/>
              </w:rPr>
              <w:t>5</w:t>
            </w:r>
          </w:p>
        </w:tc>
        <w:tc>
          <w:tcPr>
            <w:tcW w:w="874" w:type="dxa"/>
            <w:shd w:val="clear" w:color="auto" w:fill="FFFFFF"/>
            <w:vAlign w:val="top"/>
          </w:tcPr>
          <w:p>
            <w:pPr>
              <w:spacing w:line="600" w:lineRule="auto"/>
              <w:jc w:val="center"/>
            </w:pPr>
            <w:r>
              <w:rPr>
                <w:rFonts w:hint="eastAsia"/>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pPr>
            <w:r>
              <w:rPr>
                <w:rFonts w:hint="eastAsia"/>
                <w:lang w:val="en-US" w:eastAsia="zh-CN"/>
              </w:rPr>
              <w:t>4</w:t>
            </w:r>
          </w:p>
        </w:tc>
        <w:tc>
          <w:tcPr>
            <w:tcW w:w="874" w:type="dxa"/>
            <w:tcBorders>
              <w:bottom w:val="single" w:color="auto" w:sz="4" w:space="0"/>
            </w:tcBorders>
            <w:shd w:val="clear" w:color="auto" w:fill="FFFFFF"/>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pPr>
            <w:r>
              <w:rPr>
                <w:rFonts w:hint="eastAsia"/>
                <w:lang w:val="en-US" w:eastAsia="zh-CN"/>
              </w:rPr>
              <w:t>4</w:t>
            </w:r>
          </w:p>
        </w:tc>
        <w:tc>
          <w:tcPr>
            <w:tcW w:w="874" w:type="dxa"/>
            <w:tcBorders>
              <w:bottom w:val="single" w:color="auto" w:sz="4" w:space="0"/>
            </w:tcBorders>
            <w:shd w:val="clear" w:color="000000" w:fill="FFFFFF"/>
          </w:tcPr>
          <w:p>
            <w:pPr>
              <w:spacing w:line="600" w:lineRule="auto"/>
              <w:jc w:val="cente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10</w:t>
            </w:r>
          </w:p>
        </w:tc>
        <w:tc>
          <w:tcPr>
            <w:tcW w:w="874" w:type="dxa"/>
            <w:shd w:val="clear" w:color="000000"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pPr>
            <w:r>
              <w:rPr>
                <w:rFonts w:hint="eastAsia"/>
              </w:rPr>
              <w:t>10</w:t>
            </w:r>
          </w:p>
        </w:tc>
        <w:tc>
          <w:tcPr>
            <w:tcW w:w="874" w:type="dxa"/>
            <w:shd w:val="clear" w:color="auto"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pPr>
            <w:r>
              <w:rPr>
                <w:rFonts w:hint="eastAsia"/>
              </w:rPr>
              <w:t>10</w:t>
            </w:r>
          </w:p>
        </w:tc>
        <w:tc>
          <w:tcPr>
            <w:tcW w:w="874" w:type="dxa"/>
            <w:shd w:val="clear" w:color="auto" w:fill="FFFFFF"/>
          </w:tcPr>
          <w:p>
            <w:pPr>
              <w:spacing w:line="600" w:lineRule="auto"/>
              <w:jc w:val="center"/>
              <w:rPr>
                <w:rFonts w:hint="default" w:eastAsia="仿宋_GB2312"/>
                <w:lang w:val="en-US" w:eastAsia="zh-CN"/>
              </w:rPr>
            </w:pPr>
            <w:r>
              <w:rPr>
                <w:rFonts w:hint="eastAsia"/>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pPr>
            <w:r>
              <w:rPr>
                <w:rFonts w:hint="eastAsia"/>
              </w:rPr>
              <w:t>10</w:t>
            </w:r>
          </w:p>
        </w:tc>
        <w:tc>
          <w:tcPr>
            <w:tcW w:w="874" w:type="dxa"/>
            <w:shd w:val="clear" w:color="000000" w:fill="FFFFFF"/>
          </w:tcPr>
          <w:p>
            <w:pPr>
              <w:spacing w:line="600" w:lineRule="auto"/>
              <w:jc w:val="center"/>
            </w:pPr>
            <w:r>
              <w:rPr>
                <w:rFonts w:hint="eastAsia"/>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spacing w:line="600" w:lineRule="auto"/>
              <w:jc w:val="center"/>
            </w:pPr>
            <w:r>
              <w:rPr>
                <w:rFonts w:hint="eastAsia"/>
              </w:rPr>
              <w:t>100</w:t>
            </w:r>
          </w:p>
        </w:tc>
        <w:tc>
          <w:tcPr>
            <w:tcW w:w="874" w:type="dxa"/>
            <w:shd w:val="clear" w:color="auto" w:fill="FFFFFF"/>
            <w:vAlign w:val="center"/>
          </w:tcPr>
          <w:p>
            <w:pPr>
              <w:spacing w:line="600" w:lineRule="auto"/>
              <w:jc w:val="center"/>
              <w:rPr>
                <w:rFonts w:hint="default" w:eastAsia="仿宋_GB2312"/>
                <w:lang w:val="en-US" w:eastAsia="zh-CN"/>
              </w:rPr>
            </w:pPr>
            <w:r>
              <w:rPr>
                <w:rFonts w:hint="eastAsia"/>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pPr>
      <w:r>
        <w:rPr>
          <w:rFonts w:hint="eastAsia"/>
        </w:rPr>
        <w:t>3、评价方法</w:t>
      </w:r>
    </w:p>
    <w:p>
      <w:pPr>
        <w:spacing w:line="560" w:lineRule="exact"/>
        <w:ind w:firstLine="641"/>
      </w:pPr>
      <w:r>
        <w:rPr>
          <w:rFonts w:hint="eastAsia"/>
          <w:bCs/>
          <w:sz w:val="32"/>
          <w:szCs w:val="32"/>
        </w:rPr>
        <w:t>本次项目支出绩效自评采用因素分析法，原因是：</w:t>
      </w:r>
      <w:r>
        <w:rPr>
          <w:rFonts w:hint="eastAsia" w:ascii="仿宋_GB2312" w:hAnsi="仿宋_GB2312" w:cs="仿宋_GB2312"/>
          <w:spacing w:val="17"/>
          <w:sz w:val="32"/>
          <w:szCs w:val="32"/>
        </w:rPr>
        <w:t>通过综合分析影响绩效目标实现、实施效果的内外因素，评价绩效目标实现程度。通过对</w:t>
      </w:r>
      <w:r>
        <w:rPr>
          <w:rFonts w:hint="eastAsia" w:ascii="仿宋_GB2312" w:hAnsi="仿宋_GB2312" w:cs="仿宋_GB2312"/>
          <w:sz w:val="32"/>
          <w:szCs w:val="32"/>
        </w:rPr>
        <w:t>项目</w:t>
      </w:r>
      <w:r>
        <w:rPr>
          <w:rFonts w:hint="eastAsia" w:ascii="仿宋_GB2312" w:hAnsi="仿宋_GB2312" w:cs="仿宋_GB2312"/>
          <w:spacing w:val="17"/>
          <w:sz w:val="32"/>
          <w:szCs w:val="32"/>
        </w:rPr>
        <w:t>的开展情况、项目产出数量、成本控制、资金拨付文件及自评报告等相关资料的收集和审核，综合分析各因素对绩效目标实现的影响。</w:t>
      </w:r>
    </w:p>
    <w:p>
      <w:pPr>
        <w:spacing w:line="360" w:lineRule="auto"/>
      </w:pPr>
      <w:r>
        <w:rPr>
          <w:rFonts w:hint="eastAsia"/>
        </w:rPr>
        <w:t>4、评价标准</w:t>
      </w:r>
    </w:p>
    <w:p>
      <w:pPr>
        <w:spacing w:line="560" w:lineRule="exact"/>
        <w:ind w:firstLine="640" w:firstLineChars="200"/>
        <w:jc w:val="left"/>
        <w:rPr>
          <w:bCs/>
          <w:color w:val="FF0000"/>
          <w:sz w:val="32"/>
          <w:szCs w:val="32"/>
          <w:highlight w:val="yellow"/>
        </w:rPr>
      </w:pPr>
      <w:bookmarkStart w:id="6" w:name="_Toc68703833"/>
      <w:r>
        <w:rPr>
          <w:rFonts w:hint="eastAsia"/>
          <w:bCs/>
          <w:sz w:val="32"/>
          <w:szCs w:val="32"/>
        </w:rPr>
        <w:t>本次项目支出绩效自评采用计划标准和行业标准，原因是：计划标准原因是制定目标、计划、预算、定额等作为评价标准，此项目资金安排流程正式按此格式来完成的。行业标准原因是比较规范的能确保此项目的规范性和安全性。</w:t>
      </w:r>
    </w:p>
    <w:p>
      <w:pPr>
        <w:pStyle w:val="4"/>
        <w:spacing w:line="360" w:lineRule="auto"/>
        <w:rPr>
          <w:rFonts w:ascii="仿宋_GB2312" w:eastAsia="仿宋_GB2312"/>
          <w:b w:val="0"/>
          <w:bCs w:val="0"/>
        </w:rPr>
      </w:pPr>
      <w:r>
        <w:rPr>
          <w:rFonts w:hint="eastAsia" w:ascii="仿宋_GB2312" w:eastAsia="仿宋_GB2312"/>
          <w:b w:val="0"/>
          <w:bCs w:val="0"/>
        </w:rPr>
        <w:t>（三）绩效评价工作过程。</w:t>
      </w:r>
      <w:bookmarkEnd w:id="6"/>
    </w:p>
    <w:p>
      <w:pPr>
        <w:spacing w:line="360" w:lineRule="auto"/>
      </w:pPr>
      <w:r>
        <w:rPr>
          <w:rFonts w:hint="eastAsia"/>
        </w:rPr>
        <w:t>1、前期准备：</w:t>
      </w:r>
    </w:p>
    <w:p>
      <w:pPr>
        <w:spacing w:line="560" w:lineRule="exact"/>
        <w:ind w:firstLine="640" w:firstLineChars="200"/>
        <w:jc w:val="left"/>
        <w:rPr>
          <w:bCs/>
          <w:sz w:val="32"/>
          <w:szCs w:val="32"/>
        </w:rPr>
      </w:pPr>
      <w:r>
        <w:rPr>
          <w:rFonts w:hint="eastAsia"/>
          <w:bCs/>
          <w:sz w:val="32"/>
          <w:szCs w:val="32"/>
        </w:rPr>
        <w:t>2022年3月1日，</w:t>
      </w:r>
      <w:r>
        <w:rPr>
          <w:rFonts w:hint="eastAsia"/>
          <w:bCs/>
          <w:sz w:val="32"/>
          <w:szCs w:val="32"/>
          <w:lang w:val="zh-CN"/>
        </w:rPr>
        <w:t>开始前期准备工作，评价组通过前期调研</w:t>
      </w:r>
      <w:r>
        <w:rPr>
          <w:rFonts w:hint="eastAsia"/>
          <w:bCs/>
          <w:sz w:val="32"/>
          <w:szCs w:val="32"/>
        </w:rPr>
        <w:t>确定绩效评价对象和范围，</w:t>
      </w:r>
      <w:r>
        <w:rPr>
          <w:rFonts w:hint="eastAsia"/>
          <w:bCs/>
          <w:sz w:val="32"/>
          <w:szCs w:val="32"/>
          <w:lang w:val="zh-CN"/>
        </w:rPr>
        <w:t>确定了评价的目的、方法以及评价的原则，根据项目的内容和特征制定了评价指标体系及评价标准以及评价实施方案，修正并确定所需资料清单，最终确定</w:t>
      </w:r>
      <w:r>
        <w:rPr>
          <w:rFonts w:hint="eastAsia"/>
          <w:bCs/>
          <w:sz w:val="32"/>
          <w:szCs w:val="32"/>
        </w:rPr>
        <w:t>绩效评价工作方案；</w:t>
      </w:r>
    </w:p>
    <w:p>
      <w:pPr>
        <w:spacing w:line="360" w:lineRule="auto"/>
      </w:pPr>
      <w:r>
        <w:t>2</w:t>
      </w:r>
      <w:r>
        <w:rPr>
          <w:rFonts w:hint="eastAsia"/>
        </w:rPr>
        <w:t>、组织实施：</w:t>
      </w:r>
    </w:p>
    <w:p>
      <w:pPr>
        <w:spacing w:line="360" w:lineRule="auto"/>
        <w:ind w:firstLine="600" w:firstLineChars="200"/>
      </w:pPr>
      <w:r>
        <w:rPr>
          <w:rFonts w:hint="eastAsia"/>
        </w:rPr>
        <w:t>2</w:t>
      </w:r>
      <w:r>
        <w:t>022</w:t>
      </w:r>
      <w:r>
        <w:rPr>
          <w:rFonts w:hint="eastAsia"/>
        </w:rPr>
        <w:t>年3月5日-3</w:t>
      </w:r>
      <w:r>
        <w:t xml:space="preserve"> </w:t>
      </w:r>
      <w:r>
        <w:rPr>
          <w:rFonts w:hint="eastAsia"/>
        </w:rPr>
        <w:t>月20日，</w:t>
      </w:r>
      <w:r>
        <w:rPr>
          <w:rFonts w:hint="eastAsia" w:ascii="仿宋_GB2312"/>
        </w:rPr>
        <w:t>评价工作进入实施阶段，评价组</w:t>
      </w:r>
      <w:r>
        <w:rPr>
          <w:rFonts w:hint="eastAsia"/>
        </w:rPr>
        <w:t>收集绩效评价相关数据资料，进行现场调研、座谈；并</w:t>
      </w:r>
      <w:r>
        <w:rPr>
          <w:rFonts w:hint="eastAsia" w:ascii="仿宋_GB2312"/>
        </w:rPr>
        <w:t>与项目实施负责人沟通，了解资金的内容、操作流程、管理机制、资金使用方向等情况</w:t>
      </w:r>
      <w:r>
        <w:rPr>
          <w:rFonts w:hint="eastAsia"/>
        </w:rPr>
        <w:t>，</w:t>
      </w:r>
      <w:r>
        <w:t>分析</w:t>
      </w:r>
      <w:r>
        <w:rPr>
          <w:rFonts w:hint="eastAsia"/>
        </w:rPr>
        <w:t>形成初步结论。</w:t>
      </w:r>
      <w:r>
        <w:t xml:space="preserve"> </w:t>
      </w:r>
    </w:p>
    <w:p>
      <w:pPr>
        <w:spacing w:line="360" w:lineRule="auto"/>
      </w:pPr>
      <w:r>
        <w:rPr>
          <w:rFonts w:hint="eastAsia"/>
        </w:rPr>
        <w:t>3、分析评价：</w:t>
      </w:r>
    </w:p>
    <w:p>
      <w:pPr>
        <w:spacing w:line="360" w:lineRule="auto"/>
        <w:ind w:firstLine="600" w:firstLineChars="200"/>
        <w:rPr>
          <w:rFonts w:ascii="仿宋_GB2312"/>
        </w:rPr>
      </w:pPr>
      <w:r>
        <w:rPr>
          <w:rFonts w:hint="eastAsia"/>
        </w:rPr>
        <w:t>202</w:t>
      </w:r>
      <w:r>
        <w:t>2</w:t>
      </w:r>
      <w:r>
        <w:rPr>
          <w:rFonts w:hint="eastAsia"/>
        </w:rPr>
        <w:t>年3月20日-3月3</w:t>
      </w:r>
      <w:r>
        <w:rPr>
          <w:rFonts w:hint="eastAsia"/>
          <w:lang w:val="en-US" w:eastAsia="zh-CN"/>
        </w:rPr>
        <w:t>1</w:t>
      </w:r>
      <w:r>
        <w:rPr>
          <w:rFonts w:hint="eastAsia"/>
        </w:rPr>
        <w:t>日，评价组按照绩效评价的原则和规范，对取得的资料进行审查核实，对采集的数据进行分析，按照绩效评价指标评分表逐项进行打分、分析，汇总各方评价结果，综合分析并形成评价结论。</w:t>
      </w:r>
    </w:p>
    <w:p>
      <w:pPr>
        <w:pStyle w:val="3"/>
        <w:spacing w:line="360" w:lineRule="auto"/>
        <w:rPr>
          <w:rFonts w:ascii="宋体" w:hAnsi="宋体" w:eastAsia="宋体"/>
          <w:sz w:val="32"/>
          <w:szCs w:val="32"/>
        </w:rPr>
      </w:pPr>
      <w:bookmarkStart w:id="7" w:name="_Toc68703834"/>
      <w:r>
        <w:rPr>
          <w:rFonts w:hint="eastAsia" w:ascii="宋体" w:hAnsi="宋体" w:eastAsia="宋体"/>
          <w:sz w:val="32"/>
          <w:szCs w:val="32"/>
        </w:rPr>
        <w:t>三、综合评价情况及评价结论</w:t>
      </w:r>
      <w:bookmarkEnd w:id="7"/>
    </w:p>
    <w:p>
      <w:pPr>
        <w:pStyle w:val="4"/>
        <w:spacing w:line="360" w:lineRule="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560" w:lineRule="exact"/>
        <w:ind w:firstLine="600" w:firstLineChars="200"/>
      </w:pPr>
      <w:r>
        <w:rPr>
          <w:rFonts w:hint="eastAsia"/>
        </w:rPr>
        <w:t>本项目严格按照</w:t>
      </w:r>
      <w:r>
        <w:rPr>
          <w:rFonts w:hint="eastAsia" w:ascii="仿宋_GB2312"/>
          <w:bCs/>
          <w:kern w:val="0"/>
          <w:sz w:val="32"/>
          <w:szCs w:val="32"/>
        </w:rPr>
        <w:t>科学公正、统筹兼顾、激励约束、公开透明的</w:t>
      </w:r>
      <w:r>
        <w:rPr>
          <w:rFonts w:hint="eastAsia"/>
        </w:rPr>
        <w:t>绩效评价原则，采用比较法，坚持</w:t>
      </w:r>
      <w:r>
        <w:rPr>
          <w:rFonts w:hint="eastAsia"/>
          <w:bCs/>
          <w:sz w:val="32"/>
          <w:szCs w:val="32"/>
        </w:rPr>
        <w:t>计划标准、行业标准</w:t>
      </w:r>
      <w:r>
        <w:rPr>
          <w:rFonts w:hint="eastAsia"/>
        </w:rPr>
        <w:t>对本项目的立项、项绩效目标、资金投入、资金管理、组织实施、产出数量、产出质量、产出时效、产出成本、项目效益进行了综合评价。</w:t>
      </w:r>
    </w:p>
    <w:p>
      <w:pPr>
        <w:spacing w:line="560" w:lineRule="exact"/>
        <w:ind w:left="3198" w:leftChars="106" w:hanging="2880" w:hangingChars="900"/>
        <w:rPr>
          <w:rFonts w:hint="eastAsia"/>
        </w:rPr>
      </w:pPr>
      <w:r>
        <w:rPr>
          <w:rFonts w:hint="eastAsia" w:ascii="仿宋_GB2312" w:hAnsi="仿宋_GB2312" w:cs="仿宋_GB2312"/>
          <w:kern w:val="1"/>
          <w:sz w:val="32"/>
          <w:szCs w:val="32"/>
        </w:rPr>
        <w:t>中国人民政治协商会议特克斯县委员会办公室基层政</w:t>
      </w:r>
      <w:r>
        <w:rPr>
          <w:rFonts w:hint="eastAsia"/>
        </w:rPr>
        <w:t>协补</w:t>
      </w:r>
    </w:p>
    <w:p>
      <w:pPr>
        <w:spacing w:line="560" w:lineRule="exact"/>
        <w:ind w:left="3009" w:leftChars="703" w:hanging="900" w:hangingChars="300"/>
        <w:rPr>
          <w:color w:val="FF0000"/>
        </w:rPr>
      </w:pPr>
      <w:r>
        <w:rPr>
          <w:rFonts w:hint="eastAsia"/>
        </w:rPr>
        <w:t>基层政协补助经费项目评价得分情况</w:t>
      </w:r>
    </w:p>
    <w:tbl>
      <w:tblPr>
        <w:tblStyle w:val="8"/>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4"/>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pStyle w:val="3"/>
        <w:spacing w:line="360" w:lineRule="auto"/>
        <w:ind w:firstLine="600" w:firstLineChars="200"/>
        <w:rPr>
          <w:rFonts w:hint="eastAsia" w:ascii="Times New Roman" w:hAnsi="Times New Roman" w:eastAsia="仿宋_GB2312" w:cs="Times New Roman"/>
          <w:b w:val="0"/>
          <w:bCs w:val="0"/>
          <w:kern w:val="2"/>
          <w:sz w:val="30"/>
          <w:szCs w:val="24"/>
          <w:lang w:val="en-US" w:eastAsia="zh-CN" w:bidi="ar-SA"/>
        </w:rPr>
      </w:pPr>
      <w:bookmarkStart w:id="10" w:name="_Toc68703837"/>
      <w:r>
        <w:rPr>
          <w:rFonts w:hint="eastAsia" w:ascii="Times New Roman" w:hAnsi="Times New Roman" w:eastAsia="仿宋_GB2312" w:cs="Times New Roman"/>
          <w:b w:val="0"/>
          <w:bCs w:val="0"/>
          <w:kern w:val="2"/>
          <w:sz w:val="30"/>
          <w:szCs w:val="24"/>
          <w:lang w:val="en-US" w:eastAsia="zh-CN" w:bidi="ar-SA"/>
        </w:rPr>
        <w:t>本项目的项目决策、项目过程、项目产出、项目效益达到了预期要求，最终得分为100分，项目达成年度指标</w:t>
      </w:r>
    </w:p>
    <w:p>
      <w:pPr>
        <w:pStyle w:val="3"/>
        <w:spacing w:line="360" w:lineRule="auto"/>
        <w:rPr>
          <w:rFonts w:ascii="宋体" w:hAnsi="宋体" w:eastAsia="宋体"/>
          <w:sz w:val="32"/>
          <w:szCs w:val="32"/>
        </w:rPr>
      </w:pPr>
      <w:r>
        <w:rPr>
          <w:rFonts w:hint="eastAsia" w:ascii="宋体" w:hAnsi="宋体" w:eastAsia="宋体"/>
          <w:sz w:val="32"/>
          <w:szCs w:val="32"/>
        </w:rPr>
        <w:t>四、绩效评价指标分析</w:t>
      </w:r>
      <w:bookmarkEnd w:id="10"/>
    </w:p>
    <w:p>
      <w:pPr>
        <w:pStyle w:val="4"/>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pPr>
      <w:r>
        <w:rPr>
          <w:rFonts w:hint="eastAsia"/>
        </w:rPr>
        <w:t>1、立项依据充分性</w:t>
      </w:r>
    </w:p>
    <w:p>
      <w:pPr>
        <w:spacing w:line="360" w:lineRule="auto"/>
        <w:ind w:firstLine="600" w:firstLineChars="200"/>
      </w:pPr>
      <w:r>
        <w:rPr>
          <w:rFonts w:hint="eastAsia"/>
        </w:rPr>
        <w:t>项目立项符合国家法律法规、国民经济发展规划和相关政策；</w:t>
      </w:r>
    </w:p>
    <w:p>
      <w:pPr>
        <w:spacing w:line="360" w:lineRule="auto"/>
      </w:pPr>
      <w:r>
        <w:rPr>
          <w:rFonts w:hint="eastAsia"/>
        </w:rPr>
        <w:t>项目立项符合行业发展规划和政策要求；项目立项与部门职责范围相符，属于部门履职所需；项目</w:t>
      </w:r>
      <w:bookmarkStart w:id="21" w:name="_GoBack"/>
      <w:bookmarkEnd w:id="21"/>
      <w:r>
        <w:rPr>
          <w:rFonts w:hint="eastAsia"/>
        </w:rPr>
        <w:t>属于公共财政支持范围，符合中央、地方事权支出责任划分原则；项目不与相关部门同类项目或部门内部相关项目重复。</w:t>
      </w:r>
    </w:p>
    <w:p>
      <w:pPr>
        <w:numPr>
          <w:ilvl w:val="0"/>
          <w:numId w:val="2"/>
        </w:numPr>
        <w:spacing w:line="360" w:lineRule="auto"/>
        <w:ind w:left="0" w:leftChars="0" w:firstLine="600" w:firstLineChars="200"/>
        <w:rPr>
          <w:rFonts w:hint="eastAsia"/>
        </w:rPr>
      </w:pPr>
      <w:r>
        <w:rPr>
          <w:rFonts w:hint="eastAsia"/>
        </w:rPr>
        <w:t>立项程序规范性</w:t>
      </w:r>
    </w:p>
    <w:p>
      <w:pPr>
        <w:numPr>
          <w:ilvl w:val="0"/>
          <w:numId w:val="0"/>
        </w:numPr>
        <w:spacing w:line="360" w:lineRule="auto"/>
        <w:ind w:firstLine="600" w:firstLineChars="200"/>
        <w:rPr>
          <w:color w:val="000000" w:themeColor="text1"/>
        </w:rPr>
      </w:pPr>
      <w:r>
        <w:rPr>
          <w:rFonts w:hint="eastAsia"/>
          <w:color w:val="000000" w:themeColor="text1"/>
        </w:rPr>
        <w:t>项目是按照规定的程序申请设立；审批文件、材料符合相关要求；事前已经过必要的可行性研究、专家论证、风险评估、绩效评估、集体决策。</w:t>
      </w:r>
    </w:p>
    <w:p>
      <w:pPr>
        <w:spacing w:line="360" w:lineRule="auto"/>
      </w:pPr>
      <w:r>
        <w:rPr>
          <w:rFonts w:hint="eastAsia"/>
        </w:rPr>
        <w:t>3、绩效目标合理性</w:t>
      </w:r>
    </w:p>
    <w:p>
      <w:pPr>
        <w:spacing w:line="360" w:lineRule="auto"/>
        <w:ind w:firstLine="600" w:firstLineChars="200"/>
        <w:rPr>
          <w:color w:val="000000" w:themeColor="text1"/>
        </w:rPr>
      </w:pPr>
      <w:r>
        <w:rPr>
          <w:rFonts w:hint="eastAsia"/>
          <w:color w:val="000000" w:themeColor="text1"/>
        </w:rPr>
        <w:t>项目有绩效目标；项目绩效目标与实际工作内容具有相关性；</w:t>
      </w:r>
    </w:p>
    <w:p>
      <w:pPr>
        <w:spacing w:line="360" w:lineRule="auto"/>
        <w:rPr>
          <w:color w:val="000000" w:themeColor="text1"/>
        </w:rPr>
      </w:pPr>
      <w:r>
        <w:rPr>
          <w:rFonts w:hint="eastAsia"/>
          <w:color w:val="000000" w:themeColor="text1"/>
        </w:rPr>
        <w:t>项目预期产出效益和效果符合正常的业绩水平；与预算确定的项目投资额或资金量相匹配。</w:t>
      </w:r>
    </w:p>
    <w:p>
      <w:pPr>
        <w:spacing w:line="360" w:lineRule="auto"/>
      </w:pPr>
      <w:r>
        <w:rPr>
          <w:rFonts w:hint="eastAsia"/>
        </w:rPr>
        <w:t>4、绩效指标明确性</w:t>
      </w:r>
    </w:p>
    <w:p>
      <w:pPr>
        <w:spacing w:line="560" w:lineRule="exact"/>
        <w:ind w:firstLine="320" w:firstLineChars="100"/>
      </w:pPr>
      <w:bookmarkStart w:id="12" w:name="_Hlk68699917"/>
      <w:r>
        <w:rPr>
          <w:rFonts w:hint="eastAsia" w:ascii="仿宋_GB2312" w:hAnsi="仿宋_GB2312" w:cs="仿宋_GB2312"/>
          <w:kern w:val="1"/>
          <w:sz w:val="32"/>
          <w:szCs w:val="32"/>
        </w:rPr>
        <w:t>中国人民政治协商会议特克斯县委员会办公室</w:t>
      </w:r>
      <w:r>
        <w:rPr>
          <w:rFonts w:hint="eastAsia"/>
        </w:rPr>
        <w:t>基层政协补助经费设项目将项目绩效目标细化分解为具体的绩效指标，一级指标共3条，二级指标共7条，三级指标共</w:t>
      </w:r>
      <w:r>
        <w:rPr>
          <w:rFonts w:hint="eastAsia"/>
          <w:lang w:val="en-US" w:eastAsia="zh-CN"/>
        </w:rPr>
        <w:t>20</w:t>
      </w:r>
      <w:r>
        <w:rPr>
          <w:rFonts w:hint="eastAsia"/>
        </w:rPr>
        <w:t xml:space="preserve">条，其中量化指标条数共 </w:t>
      </w:r>
      <w:r>
        <w:rPr>
          <w:rFonts w:hint="eastAsia"/>
          <w:lang w:val="en-US" w:eastAsia="zh-CN"/>
        </w:rPr>
        <w:t>15</w:t>
      </w:r>
      <w:r>
        <w:rPr>
          <w:rFonts w:hint="eastAsia"/>
        </w:rPr>
        <w:t xml:space="preserve"> 条，所有绩效指标均通过清晰、可衡量的指标值予以体现，并且做到了与项目目标任务数或计划数相对应。</w:t>
      </w:r>
      <w:bookmarkEnd w:id="12"/>
    </w:p>
    <w:p>
      <w:pPr>
        <w:spacing w:line="360" w:lineRule="auto"/>
      </w:pPr>
      <w:r>
        <w:rPr>
          <w:rFonts w:hint="eastAsia"/>
        </w:rPr>
        <w:t>5、预算编制科学性</w:t>
      </w:r>
    </w:p>
    <w:p>
      <w:pPr>
        <w:spacing w:line="360" w:lineRule="auto"/>
        <w:ind w:firstLine="600" w:firstLineChars="200"/>
      </w:pPr>
      <w:r>
        <w:rPr>
          <w:rFonts w:hint="eastAsia"/>
        </w:rPr>
        <w:t>本项目预算编制经过科学论证；预算内容与项目内容相互匹配；预算额度测算依据充分，是按照标准编制；预算确定的项目资金量与工作任务相匹配。</w:t>
      </w:r>
    </w:p>
    <w:p>
      <w:pPr>
        <w:spacing w:line="360" w:lineRule="auto"/>
      </w:pPr>
      <w:r>
        <w:rPr>
          <w:rFonts w:hint="eastAsia"/>
        </w:rPr>
        <w:t>6、资金分配合理性</w:t>
      </w:r>
    </w:p>
    <w:p>
      <w:pPr>
        <w:spacing w:line="360" w:lineRule="auto"/>
        <w:ind w:firstLine="600" w:firstLineChars="200"/>
        <w:rPr>
          <w:color w:val="FF0000"/>
        </w:rPr>
      </w:pPr>
      <w:bookmarkStart w:id="13" w:name="_Toc68703839"/>
      <w:r>
        <w:rPr>
          <w:rFonts w:hint="eastAsia"/>
        </w:rPr>
        <w:t>该项目预算资金分配依据充分；资金分配额度合理，与地方实际相适应。</w:t>
      </w:r>
    </w:p>
    <w:p>
      <w:pPr>
        <w:pStyle w:val="4"/>
        <w:spacing w:line="360" w:lineRule="auto"/>
        <w:rPr>
          <w:rFonts w:ascii="仿宋_GB2312" w:eastAsia="仿宋_GB2312"/>
          <w:b w:val="0"/>
          <w:bCs w:val="0"/>
        </w:rPr>
      </w:pPr>
      <w:r>
        <w:rPr>
          <w:rFonts w:hint="eastAsia" w:ascii="仿宋_GB2312" w:eastAsia="仿宋_GB2312"/>
          <w:b w:val="0"/>
          <w:bCs w:val="0"/>
        </w:rPr>
        <w:t>（二）项目过程情况。</w:t>
      </w:r>
      <w:bookmarkEnd w:id="13"/>
    </w:p>
    <w:p>
      <w:pPr>
        <w:spacing w:line="360" w:lineRule="auto"/>
      </w:pPr>
      <w:r>
        <w:rPr>
          <w:rFonts w:hint="eastAsia"/>
        </w:rPr>
        <w:t>1、资金到位率：</w:t>
      </w:r>
    </w:p>
    <w:p>
      <w:pPr>
        <w:spacing w:line="360" w:lineRule="auto"/>
        <w:ind w:firstLine="600" w:firstLineChars="200"/>
        <w:rPr>
          <w:color w:val="FF0000"/>
        </w:rPr>
      </w:pPr>
      <w:r>
        <w:rPr>
          <w:rFonts w:hint="eastAsia"/>
        </w:rPr>
        <w:t>预算资金5万元，实际到位资金5万元，资金到位率100%。</w:t>
      </w:r>
    </w:p>
    <w:p>
      <w:pPr>
        <w:spacing w:line="360" w:lineRule="auto"/>
      </w:pPr>
      <w:r>
        <w:rPr>
          <w:rFonts w:hint="eastAsia"/>
        </w:rPr>
        <w:t>2、预算执行率</w:t>
      </w:r>
    </w:p>
    <w:p>
      <w:pPr>
        <w:spacing w:line="360" w:lineRule="auto"/>
        <w:ind w:firstLine="600" w:firstLineChars="200"/>
      </w:pPr>
      <w:r>
        <w:rPr>
          <w:rFonts w:hint="eastAsia"/>
        </w:rPr>
        <w:t>年初预算数5万元，全年预算数5万元，全年执行数5万元，预算执行率为100%。</w:t>
      </w:r>
    </w:p>
    <w:p>
      <w:pPr>
        <w:spacing w:line="360" w:lineRule="auto"/>
      </w:pPr>
      <w:r>
        <w:rPr>
          <w:rFonts w:hint="eastAsia"/>
        </w:rPr>
        <w:t>3、资金使用合规性</w:t>
      </w:r>
    </w:p>
    <w:p>
      <w:pPr>
        <w:spacing w:line="360" w:lineRule="auto"/>
        <w:ind w:firstLine="600" w:firstLineChars="200"/>
      </w:pPr>
      <w:r>
        <w:rPr>
          <w:rFonts w:hint="eastAsia"/>
        </w:rPr>
        <w:t>该项目符合国家财经法规和财务管理制度以及有关专项资金管理办法的规定；资金的拨付有完整的审批程序和手续；符合项目预算批复或合同规定的用途；不存在截留、挤占、挪用、虚列支出等情况。</w:t>
      </w:r>
    </w:p>
    <w:p>
      <w:pPr>
        <w:spacing w:line="360" w:lineRule="auto"/>
      </w:pPr>
      <w:r>
        <w:rPr>
          <w:rFonts w:hint="eastAsia"/>
        </w:rPr>
        <w:t>4、管理制度健全性</w:t>
      </w:r>
    </w:p>
    <w:p>
      <w:pPr>
        <w:spacing w:line="360" w:lineRule="auto"/>
        <w:ind w:firstLine="600" w:firstLineChars="200"/>
      </w:pPr>
      <w:r>
        <w:rPr>
          <w:rFonts w:hint="eastAsia"/>
        </w:rPr>
        <w:t>该项目已具有相应的财务和业务管理制度；财务和业务管理制度合法、合规、完整。</w:t>
      </w:r>
    </w:p>
    <w:p>
      <w:pPr>
        <w:spacing w:line="360" w:lineRule="auto"/>
      </w:pPr>
      <w:r>
        <w:rPr>
          <w:rFonts w:hint="eastAsia"/>
        </w:rPr>
        <w:t>5、制度执行有效性</w:t>
      </w:r>
    </w:p>
    <w:p>
      <w:pPr>
        <w:spacing w:line="360" w:lineRule="auto"/>
        <w:ind w:firstLine="600" w:firstLineChars="200"/>
      </w:pPr>
      <w:bookmarkStart w:id="14" w:name="_Toc68703840"/>
      <w:r>
        <w:rPr>
          <w:rFonts w:hint="eastAsia"/>
        </w:rPr>
        <w:t>该项目遵守相关法律法规和相关管理规定；项目调整及支出调整手续已完备；项目合同书、技术鉴定等资料齐全并及时归档；项目实施的人员条件、场地设备、信息支撑等落实到位。</w:t>
      </w:r>
    </w:p>
    <w:p>
      <w:pPr>
        <w:pStyle w:val="4"/>
        <w:spacing w:line="360" w:lineRule="auto"/>
        <w:rPr>
          <w:rFonts w:ascii="仿宋_GB2312" w:eastAsia="仿宋_GB2312"/>
          <w:b w:val="0"/>
          <w:bCs w:val="0"/>
        </w:rPr>
      </w:pPr>
      <w:r>
        <w:rPr>
          <w:rFonts w:hint="eastAsia" w:ascii="仿宋_GB2312" w:eastAsia="仿宋_GB2312"/>
          <w:b w:val="0"/>
          <w:bCs w:val="0"/>
        </w:rPr>
        <w:t>（三）项目产出情况。</w:t>
      </w:r>
      <w:bookmarkEnd w:id="14"/>
    </w:p>
    <w:p>
      <w:pPr>
        <w:spacing w:line="360" w:lineRule="auto"/>
        <w:ind w:firstLine="600" w:firstLineChars="200"/>
        <w:rPr>
          <w:rFonts w:hint="default" w:eastAsia="仿宋_GB2312"/>
          <w:lang w:val="en-US" w:eastAsia="zh-CN"/>
        </w:rPr>
      </w:pPr>
      <w:bookmarkStart w:id="15" w:name="_Toc68703842"/>
      <w:r>
        <w:rPr>
          <w:rFonts w:hint="eastAsia"/>
        </w:rPr>
        <w:t>1、数量指标：指标1：地州县市政协数量，指标值：</w:t>
      </w:r>
      <w:r>
        <w:rPr>
          <w:rFonts w:hint="eastAsia"/>
          <w:lang w:val="en-US" w:eastAsia="zh-CN"/>
        </w:rPr>
        <w:t>0</w:t>
      </w:r>
      <w:r>
        <w:rPr>
          <w:rFonts w:hint="eastAsia"/>
        </w:rPr>
        <w:t>个，实际完成值</w:t>
      </w:r>
      <w:r>
        <w:rPr>
          <w:rFonts w:hint="eastAsia"/>
          <w:lang w:val="en-US" w:eastAsia="zh-CN"/>
        </w:rPr>
        <w:t>0</w:t>
      </w:r>
      <w:r>
        <w:rPr>
          <w:rFonts w:hint="eastAsia"/>
        </w:rPr>
        <w:t>个，指标完成率100</w:t>
      </w:r>
      <w:r>
        <w:t xml:space="preserve"> </w:t>
      </w:r>
      <w:r>
        <w:rPr>
          <w:rFonts w:hint="eastAsia"/>
        </w:rPr>
        <w:t>%；指标2：参加全区政协视频会议场次</w:t>
      </w:r>
      <w:r>
        <w:rPr>
          <w:rFonts w:hint="eastAsia"/>
          <w:lang w:eastAsia="zh-CN"/>
        </w:rPr>
        <w:t>，</w:t>
      </w:r>
      <w:r>
        <w:rPr>
          <w:rFonts w:hint="eastAsia"/>
        </w:rPr>
        <w:t>指标值：&gt;=3场，实际完成值3场，指标完成率100</w:t>
      </w:r>
      <w:r>
        <w:t xml:space="preserve"> </w:t>
      </w:r>
      <w:r>
        <w:rPr>
          <w:rFonts w:hint="eastAsia"/>
        </w:rPr>
        <w:t>%。；指标3：参加全区政协视频会议人数，指标值：&gt;=200人，实际完成值200人，指标完成率100</w:t>
      </w:r>
      <w:r>
        <w:t xml:space="preserve"> </w:t>
      </w:r>
      <w:r>
        <w:rPr>
          <w:rFonts w:hint="eastAsia"/>
        </w:rPr>
        <w:t>%；指标4：组织委员考察学习次数，指标值：&gt;=1次，实际完成值1次</w:t>
      </w:r>
      <w:r>
        <w:rPr>
          <w:rFonts w:hint="eastAsia"/>
          <w:lang w:eastAsia="zh-CN"/>
        </w:rPr>
        <w:t>，</w:t>
      </w:r>
      <w:r>
        <w:rPr>
          <w:rFonts w:hint="eastAsia"/>
          <w:lang w:val="en-US" w:eastAsia="zh-CN"/>
        </w:rPr>
        <w:t>指标5：组织本县委员调研撰写调研报告，指标1：&gt;=3篇，实际完成值：3篇，指标完成率：100%。</w:t>
      </w:r>
    </w:p>
    <w:p>
      <w:pPr>
        <w:spacing w:line="360" w:lineRule="auto"/>
        <w:ind w:firstLine="600" w:firstLineChars="200"/>
        <w:rPr>
          <w:rFonts w:hint="eastAsia"/>
          <w:lang w:eastAsia="zh-CN"/>
        </w:rPr>
      </w:pPr>
      <w:r>
        <w:t>2</w:t>
      </w:r>
      <w:r>
        <w:rPr>
          <w:rFonts w:hint="eastAsia"/>
        </w:rPr>
        <w:t>、质量指标：指标1：完成工作，指标值</w:t>
      </w:r>
      <w:r>
        <w:rPr>
          <w:rFonts w:hint="eastAsia"/>
          <w:lang w:eastAsia="zh-CN"/>
        </w:rPr>
        <w:t>：</w:t>
      </w:r>
      <w:r>
        <w:rPr>
          <w:rFonts w:hint="eastAsia"/>
          <w:lang w:val="en-US" w:eastAsia="zh-CN"/>
        </w:rPr>
        <w:t>=0</w:t>
      </w:r>
      <w:r>
        <w:rPr>
          <w:rFonts w:hint="eastAsia"/>
        </w:rPr>
        <w:t>，实际完成值</w:t>
      </w:r>
      <w:r>
        <w:rPr>
          <w:rFonts w:hint="eastAsia"/>
          <w:lang w:val="en-US" w:eastAsia="zh-CN"/>
        </w:rPr>
        <w:t>0</w:t>
      </w:r>
      <w:r>
        <w:t xml:space="preserve"> </w:t>
      </w:r>
      <w:r>
        <w:rPr>
          <w:rFonts w:hint="eastAsia"/>
        </w:rPr>
        <w:t>，指标完成率100</w:t>
      </w:r>
      <w:r>
        <w:t xml:space="preserve"> </w:t>
      </w:r>
      <w:r>
        <w:rPr>
          <w:rFonts w:hint="eastAsia"/>
        </w:rPr>
        <w:t>%。指标2：参加会议、考察等出勤率，指标值：&gt;=95%，实际完成值95%</w:t>
      </w:r>
      <w:r>
        <w:t xml:space="preserve"> </w:t>
      </w:r>
      <w:r>
        <w:rPr>
          <w:rFonts w:hint="eastAsia"/>
        </w:rPr>
        <w:t>，指标完成率</w:t>
      </w:r>
      <w:r>
        <w:rPr>
          <w:rFonts w:hint="eastAsia"/>
          <w:lang w:val="en-US" w:eastAsia="zh-CN"/>
        </w:rPr>
        <w:t>100</w:t>
      </w:r>
      <w:r>
        <w:rPr>
          <w:rFonts w:hint="eastAsia"/>
        </w:rPr>
        <w:t>%</w:t>
      </w:r>
      <w:r>
        <w:rPr>
          <w:rFonts w:hint="eastAsia"/>
          <w:lang w:eastAsia="zh-CN"/>
        </w:rPr>
        <w:t>。</w:t>
      </w:r>
    </w:p>
    <w:p>
      <w:pPr>
        <w:spacing w:line="360" w:lineRule="auto"/>
        <w:ind w:firstLine="600" w:firstLineChars="200"/>
      </w:pPr>
      <w:r>
        <w:rPr>
          <w:rFonts w:hint="eastAsia"/>
        </w:rPr>
        <w:t>3、时效指标：指标1：资金拨付情况，指标值：2021年1月-6月，实际完成值：2021年1月-6月，指标完成率100</w:t>
      </w:r>
      <w:r>
        <w:t xml:space="preserve"> </w:t>
      </w:r>
      <w:r>
        <w:rPr>
          <w:rFonts w:hint="eastAsia"/>
        </w:rPr>
        <w:t>%。；指标2：资金拨付按时率</w:t>
      </w:r>
      <w:r>
        <w:rPr>
          <w:rFonts w:hint="eastAsia"/>
          <w:lang w:val="en-US" w:eastAsia="zh-CN"/>
        </w:rPr>
        <w:t>,</w:t>
      </w:r>
      <w:r>
        <w:rPr>
          <w:rFonts w:hint="eastAsia"/>
        </w:rPr>
        <w:t>指标值：</w:t>
      </w:r>
      <w:r>
        <w:rPr>
          <w:rFonts w:hint="eastAsia"/>
          <w:lang w:val="en-US" w:eastAsia="zh-CN"/>
        </w:rPr>
        <w:t>1</w:t>
      </w:r>
      <w:r>
        <w:rPr>
          <w:rFonts w:hint="eastAsia"/>
        </w:rPr>
        <w:t>，实际完成值：</w:t>
      </w:r>
      <w:r>
        <w:rPr>
          <w:rFonts w:hint="eastAsia"/>
          <w:lang w:val="en-US" w:eastAsia="zh-CN"/>
        </w:rPr>
        <w:t>1</w:t>
      </w:r>
      <w:r>
        <w:rPr>
          <w:rFonts w:hint="eastAsia"/>
        </w:rPr>
        <w:t>，指标完成率100</w:t>
      </w:r>
      <w:r>
        <w:t xml:space="preserve"> </w:t>
      </w:r>
      <w:r>
        <w:rPr>
          <w:rFonts w:hint="eastAsia"/>
        </w:rPr>
        <w:t>%。</w:t>
      </w:r>
    </w:p>
    <w:p>
      <w:pPr>
        <w:spacing w:line="360" w:lineRule="auto"/>
        <w:ind w:firstLine="600" w:firstLineChars="200"/>
        <w:rPr>
          <w:rFonts w:hint="default" w:eastAsia="仿宋_GB2312"/>
          <w:lang w:val="en-US" w:eastAsia="zh-CN"/>
        </w:rPr>
      </w:pPr>
      <w:r>
        <w:rPr>
          <w:rFonts w:hint="eastAsia"/>
        </w:rPr>
        <w:t>4、成本指标：指标1：全区政协视频会议维护费，指标值：1.2万元 ，实际完成值1.2万元，指标完成率100%，指标2：组织本县委员调研费用，指标值：1.3万元 ，实际完成值1.3万元，指标完成率100</w:t>
      </w:r>
      <w:r>
        <w:t xml:space="preserve"> </w:t>
      </w:r>
      <w:r>
        <w:rPr>
          <w:rFonts w:hint="eastAsia"/>
        </w:rPr>
        <w:t>%</w:t>
      </w:r>
      <w:bookmarkStart w:id="16" w:name="_Toc68703841"/>
      <w:r>
        <w:rPr>
          <w:rFonts w:hint="eastAsia"/>
          <w:lang w:val="en-US" w:eastAsia="zh-CN"/>
        </w:rPr>
        <w:t>,</w:t>
      </w:r>
      <w:r>
        <w:rPr>
          <w:rFonts w:hint="eastAsia"/>
        </w:rPr>
        <w:t>指标3：组织委员考察学习费用，指标值：2.5万元；实际完成值2.5万元，指标完成率100%</w:t>
      </w:r>
      <w:r>
        <w:rPr>
          <w:rFonts w:hint="eastAsia"/>
          <w:lang w:val="en-US" w:eastAsia="zh-CN"/>
        </w:rPr>
        <w:t>,指标4：拨款金额，指标值：=5万元，实际完成值：5万元，实际完成率：100%。</w:t>
      </w:r>
    </w:p>
    <w:p>
      <w:pPr>
        <w:spacing w:line="360" w:lineRule="auto"/>
        <w:ind w:firstLine="600" w:firstLineChars="200"/>
        <w:rPr>
          <w:rFonts w:ascii="仿宋_GB2312"/>
        </w:rPr>
      </w:pPr>
      <w:r>
        <w:rPr>
          <w:rFonts w:hint="eastAsia" w:ascii="仿宋_GB2312"/>
        </w:rPr>
        <w:t>（四）项目效益情况。</w:t>
      </w:r>
      <w:bookmarkEnd w:id="16"/>
    </w:p>
    <w:p>
      <w:pPr>
        <w:spacing w:line="360" w:lineRule="auto"/>
        <w:ind w:firstLine="600" w:firstLineChars="200"/>
      </w:pPr>
      <w:r>
        <w:rPr>
          <w:rFonts w:hint="eastAsia"/>
        </w:rPr>
        <w:t>1、社会效益指标：指标1：促进相关政策落地落实，指标值：明显提高，实际完成值：明显提高，指标完成率：100%；指标2：委员履职能力，指标值：有所提升，实际完成值：有所提升，指标完成率：100%。</w:t>
      </w:r>
    </w:p>
    <w:p>
      <w:pPr>
        <w:spacing w:line="360" w:lineRule="auto"/>
        <w:ind w:firstLine="600" w:firstLineChars="200"/>
        <w:rPr>
          <w:rFonts w:hint="default" w:eastAsia="仿宋_GB2312"/>
          <w:lang w:val="en-US" w:eastAsia="zh-CN"/>
        </w:rPr>
      </w:pPr>
      <w:r>
        <w:rPr>
          <w:rFonts w:hint="eastAsia"/>
        </w:rPr>
        <w:t>2、可持续影响指标：指标1：可持续影响时间，指标值：1年；实际完成值：1年，指标完成率：100%。指标2：可持续影响范围</w:t>
      </w:r>
      <w:r>
        <w:rPr>
          <w:rFonts w:hint="eastAsia"/>
          <w:lang w:eastAsia="zh-CN"/>
        </w:rPr>
        <w:t>，</w:t>
      </w:r>
      <w:r>
        <w:rPr>
          <w:rFonts w:hint="eastAsia"/>
        </w:rPr>
        <w:t>指标值:</w:t>
      </w:r>
      <w:r>
        <w:rPr>
          <w:rFonts w:hint="eastAsia"/>
          <w:lang w:val="en-US" w:eastAsia="zh-CN"/>
        </w:rPr>
        <w:t>0，实际指标值：0，实际完成率：100%</w:t>
      </w:r>
      <w:r>
        <w:rPr>
          <w:rFonts w:hint="eastAsia"/>
        </w:rPr>
        <w:t>。指标3：推动社会主义核心价值观落细落小落实，融入到社会方方面面， 指标值：长期</w:t>
      </w:r>
      <w:r>
        <w:rPr>
          <w:rFonts w:hint="eastAsia"/>
          <w:lang w:eastAsia="zh-CN"/>
        </w:rPr>
        <w:t>，</w:t>
      </w:r>
      <w:r>
        <w:rPr>
          <w:rFonts w:hint="eastAsia"/>
          <w:lang w:val="en-US" w:eastAsia="zh-CN"/>
        </w:rPr>
        <w:t>实际指标值：长期，指标完成率：100%。</w:t>
      </w:r>
      <w:r>
        <w:rPr>
          <w:rFonts w:hint="eastAsia"/>
        </w:rPr>
        <w:t>指标4： 体现政策导向，长期保障工作平稳进行。指标值：长期</w:t>
      </w:r>
      <w:r>
        <w:rPr>
          <w:rFonts w:hint="eastAsia"/>
          <w:lang w:eastAsia="zh-CN"/>
        </w:rPr>
        <w:t>，</w:t>
      </w:r>
      <w:r>
        <w:rPr>
          <w:rFonts w:hint="eastAsia"/>
          <w:lang w:val="en-US" w:eastAsia="zh-CN"/>
        </w:rPr>
        <w:t>实际完成值：长期，指标完成率：100%。</w:t>
      </w:r>
    </w:p>
    <w:p>
      <w:pPr>
        <w:spacing w:line="360" w:lineRule="auto"/>
        <w:ind w:firstLine="600" w:firstLineChars="200"/>
      </w:pPr>
      <w:r>
        <w:rPr>
          <w:rFonts w:hint="eastAsia"/>
        </w:rPr>
        <w:t>（五）满意度情况。</w:t>
      </w:r>
    </w:p>
    <w:p>
      <w:pPr>
        <w:spacing w:line="360" w:lineRule="auto"/>
        <w:ind w:firstLine="600" w:firstLineChars="200"/>
        <w:rPr>
          <w:rFonts w:hint="eastAsia" w:eastAsia="仿宋_GB2312"/>
          <w:lang w:val="en-US" w:eastAsia="zh-CN"/>
        </w:rPr>
      </w:pPr>
      <w:r>
        <w:rPr>
          <w:rFonts w:hint="eastAsia"/>
        </w:rPr>
        <w:t>1、服务对象满意度指标：基层政协满意度，指标值：95%，实际完成值：&gt;=95%，指标完成率：</w:t>
      </w:r>
      <w:r>
        <w:rPr>
          <w:rFonts w:hint="eastAsia"/>
          <w:lang w:val="en-US" w:eastAsia="zh-CN"/>
        </w:rPr>
        <w:t>95</w:t>
      </w:r>
      <w:r>
        <w:rPr>
          <w:rFonts w:hint="eastAsia"/>
        </w:rPr>
        <w:t>%</w:t>
      </w:r>
      <w:r>
        <w:rPr>
          <w:rFonts w:hint="eastAsia"/>
          <w:lang w:eastAsia="zh-CN"/>
        </w:rPr>
        <w:t>。</w:t>
      </w:r>
    </w:p>
    <w:p>
      <w:pPr>
        <w:pStyle w:val="3"/>
        <w:spacing w:line="360" w:lineRule="auto"/>
        <w:rPr>
          <w:rFonts w:ascii="宋体" w:hAnsi="宋体" w:eastAsia="宋体"/>
          <w:sz w:val="32"/>
          <w:szCs w:val="32"/>
        </w:rPr>
      </w:pPr>
      <w:r>
        <w:rPr>
          <w:rFonts w:hint="eastAsia" w:ascii="宋体" w:hAnsi="宋体" w:eastAsia="宋体"/>
          <w:sz w:val="32"/>
          <w:szCs w:val="32"/>
        </w:rPr>
        <w:t>五、主要经验及做法、存在的问题及原因分析</w:t>
      </w:r>
    </w:p>
    <w:bookmarkEnd w:id="15"/>
    <w:p>
      <w:pPr>
        <w:pStyle w:val="4"/>
        <w:spacing w:line="360" w:lineRule="auto"/>
        <w:rPr>
          <w:rFonts w:ascii="仿宋_GB2312" w:eastAsia="仿宋_GB2312"/>
          <w:b w:val="0"/>
          <w:bCs w:val="0"/>
        </w:rPr>
      </w:pPr>
      <w:bookmarkStart w:id="17" w:name="_Toc68703843"/>
      <w:r>
        <w:rPr>
          <w:rFonts w:hint="eastAsia" w:ascii="仿宋_GB2312" w:eastAsia="仿宋_GB2312"/>
          <w:b w:val="0"/>
          <w:bCs w:val="0"/>
        </w:rPr>
        <w:t>（一）主要经验及做法</w:t>
      </w:r>
      <w:bookmarkEnd w:id="17"/>
    </w:p>
    <w:p>
      <w:pPr>
        <w:pStyle w:val="4"/>
        <w:spacing w:line="500" w:lineRule="exact"/>
        <w:ind w:firstLine="600" w:firstLineChars="200"/>
        <w:rPr>
          <w:rFonts w:ascii="仿宋_GB2312" w:hAnsi="仿宋_GB2312" w:eastAsia="仿宋_GB2312" w:cs="仿宋_GB2312"/>
          <w:b w:val="0"/>
          <w:bCs w:val="0"/>
          <w:sz w:val="30"/>
          <w:szCs w:val="30"/>
        </w:rPr>
      </w:pPr>
      <w:bookmarkStart w:id="18" w:name="_Toc68703844"/>
      <w:r>
        <w:rPr>
          <w:rFonts w:hint="eastAsia" w:ascii="仿宋_GB2312" w:hAnsi="仿宋_GB2312" w:eastAsia="仿宋_GB2312" w:cs="仿宋_GB2312"/>
          <w:b w:val="0"/>
          <w:bCs w:val="0"/>
          <w:sz w:val="30"/>
          <w:szCs w:val="30"/>
        </w:rPr>
        <w:t>一是做好项目预算安排。根据下一年度的工作计划，提前预算，规范操作、严格控制开支范围，节约成本，提高效率。</w:t>
      </w:r>
    </w:p>
    <w:p>
      <w:pPr>
        <w:pStyle w:val="4"/>
        <w:spacing w:line="500" w:lineRule="exact"/>
        <w:ind w:firstLine="600" w:firstLineChars="200"/>
        <w:rPr>
          <w:rFonts w:ascii="仿宋_GB2312" w:hAnsi="仿宋_GB2312" w:eastAsia="仿宋_GB2312" w:cs="仿宋_GB2312"/>
          <w:b w:val="0"/>
          <w:bCs w:val="0"/>
          <w:sz w:val="30"/>
          <w:szCs w:val="30"/>
        </w:rPr>
      </w:pPr>
      <w:r>
        <w:rPr>
          <w:rFonts w:ascii="仿宋_GB2312" w:hAnsi="仿宋_GB2312" w:eastAsia="仿宋_GB2312" w:cs="仿宋_GB2312"/>
          <w:b w:val="0"/>
          <w:bCs w:val="0"/>
          <w:sz w:val="30"/>
          <w:szCs w:val="30"/>
        </w:rPr>
        <w:t>二是通过加强监督检查，对资金的使用及配套情况有了进一步的了解，规范了专项资金的使用。</w:t>
      </w:r>
    </w:p>
    <w:p>
      <w:pPr>
        <w:pStyle w:val="7"/>
        <w:widowControl/>
        <w:shd w:val="clear" w:color="auto" w:fill="FFFFFF"/>
        <w:spacing w:before="0" w:beforeAutospacing="0" w:after="0" w:afterAutospacing="0" w:line="500" w:lineRule="exact"/>
        <w:ind w:firstLine="600" w:firstLineChars="200"/>
        <w:jc w:val="both"/>
        <w:rPr>
          <w:rFonts w:ascii="仿宋_GB2312" w:hAnsi="仿宋_GB2312" w:cs="仿宋_GB2312"/>
          <w:sz w:val="30"/>
          <w:szCs w:val="30"/>
        </w:rPr>
      </w:pPr>
      <w:r>
        <w:rPr>
          <w:rFonts w:ascii="仿宋_GB2312" w:hAnsi="仿宋_GB2312" w:cs="仿宋_GB2312"/>
          <w:sz w:val="30"/>
          <w:szCs w:val="30"/>
        </w:rPr>
        <w:t>三是强化管理。由</w:t>
      </w:r>
      <w:r>
        <w:rPr>
          <w:rFonts w:hint="eastAsia" w:ascii="仿宋_GB2312" w:hAnsi="仿宋_GB2312" w:cs="仿宋_GB2312"/>
          <w:sz w:val="30"/>
          <w:szCs w:val="30"/>
        </w:rPr>
        <w:t>各乡镇政协</w:t>
      </w:r>
      <w:r>
        <w:rPr>
          <w:rFonts w:ascii="仿宋_GB2312" w:hAnsi="仿宋_GB2312" w:cs="仿宋_GB2312"/>
          <w:sz w:val="30"/>
          <w:szCs w:val="30"/>
        </w:rPr>
        <w:t>联络室负责人，专门负责联络室的日常维护和管理，不断完善</w:t>
      </w:r>
      <w:r>
        <w:rPr>
          <w:rFonts w:hint="eastAsia" w:ascii="仿宋_GB2312" w:hAnsi="仿宋_GB2312" w:cs="仿宋_GB2312"/>
          <w:sz w:val="30"/>
          <w:szCs w:val="30"/>
        </w:rPr>
        <w:t>政协“商量书屋”办公室</w:t>
      </w:r>
      <w:r>
        <w:rPr>
          <w:rFonts w:ascii="仿宋_GB2312" w:hAnsi="仿宋_GB2312" w:cs="仿宋_GB2312"/>
          <w:sz w:val="30"/>
          <w:szCs w:val="30"/>
        </w:rPr>
        <w:t>的各项规章制度。在制定</w:t>
      </w:r>
      <w:r>
        <w:rPr>
          <w:rFonts w:hint="eastAsia" w:ascii="仿宋_GB2312" w:hAnsi="仿宋_GB2312" w:cs="仿宋_GB2312"/>
          <w:sz w:val="30"/>
          <w:szCs w:val="30"/>
        </w:rPr>
        <w:t>委员</w:t>
      </w:r>
      <w:r>
        <w:rPr>
          <w:rFonts w:ascii="仿宋_GB2312" w:hAnsi="仿宋_GB2312" w:cs="仿宋_GB2312"/>
          <w:sz w:val="30"/>
          <w:szCs w:val="30"/>
        </w:rPr>
        <w:t>活动计划和工作流程，并严格按照计划开展工作，不断规范活动台账的管理，确保</w:t>
      </w:r>
      <w:r>
        <w:rPr>
          <w:rFonts w:hint="eastAsia" w:ascii="仿宋_GB2312" w:hAnsi="仿宋_GB2312" w:cs="仿宋_GB2312"/>
          <w:sz w:val="30"/>
          <w:szCs w:val="30"/>
        </w:rPr>
        <w:t>政协</w:t>
      </w:r>
      <w:r>
        <w:rPr>
          <w:rFonts w:ascii="仿宋_GB2312" w:hAnsi="仿宋_GB2312" w:cs="仿宋_GB2312"/>
          <w:sz w:val="30"/>
          <w:szCs w:val="30"/>
        </w:rPr>
        <w:t>活动有记录、有痕迹。</w:t>
      </w:r>
    </w:p>
    <w:p>
      <w:pPr>
        <w:pStyle w:val="4"/>
        <w:numPr>
          <w:ilvl w:val="0"/>
          <w:numId w:val="4"/>
        </w:numPr>
        <w:spacing w:line="360" w:lineRule="auto"/>
        <w:rPr>
          <w:rFonts w:ascii="仿宋_GB2312" w:eastAsia="仿宋_GB2312"/>
          <w:b w:val="0"/>
          <w:bCs w:val="0"/>
        </w:rPr>
      </w:pPr>
      <w:r>
        <w:rPr>
          <w:rFonts w:hint="eastAsia" w:ascii="仿宋_GB2312" w:eastAsia="仿宋_GB2312"/>
          <w:b w:val="0"/>
          <w:bCs w:val="0"/>
        </w:rPr>
        <w:t>存在的问题及原因分析</w:t>
      </w:r>
      <w:bookmarkEnd w:id="18"/>
    </w:p>
    <w:p>
      <w:pPr>
        <w:pStyle w:val="2"/>
        <w:ind w:left="600" w:leftChars="200" w:firstLine="312" w:firstLineChars="100"/>
      </w:pPr>
      <w:bookmarkStart w:id="19" w:name="_Toc68703845"/>
      <w:r>
        <w:rPr>
          <w:rFonts w:hint="eastAsia" w:ascii="宋体" w:hAnsi="宋体"/>
          <w:spacing w:val="-4"/>
          <w:sz w:val="32"/>
          <w:szCs w:val="32"/>
        </w:rPr>
        <w:t>县政协工作相较党委的要求、社会的期待，还存在些许差距和不足，主要表现在：协商建言的成果转化还需进一步强化，民主监督的机制方式还需进一步健全，政协委员的服务管理还需进一步提升等等，这些问题将在今后工作中切实加以改进。</w:t>
      </w:r>
    </w:p>
    <w:p>
      <w:pPr>
        <w:pStyle w:val="3"/>
        <w:numPr>
          <w:ilvl w:val="0"/>
          <w:numId w:val="5"/>
        </w:numPr>
        <w:spacing w:line="360" w:lineRule="auto"/>
        <w:rPr>
          <w:rFonts w:ascii="宋体" w:hAnsi="宋体" w:eastAsia="宋体"/>
          <w:sz w:val="32"/>
          <w:szCs w:val="32"/>
        </w:rPr>
      </w:pPr>
      <w:r>
        <w:rPr>
          <w:rFonts w:hint="eastAsia" w:ascii="宋体" w:hAnsi="宋体" w:eastAsia="宋体"/>
          <w:sz w:val="32"/>
          <w:szCs w:val="32"/>
        </w:rPr>
        <w:t>有关建议</w:t>
      </w:r>
      <w:bookmarkEnd w:id="19"/>
    </w:p>
    <w:p>
      <w:pPr>
        <w:spacing w:line="540" w:lineRule="exact"/>
        <w:ind w:firstLine="873" w:firstLineChars="280"/>
        <w:rPr>
          <w:rFonts w:ascii="宋体" w:hAnsi="宋体"/>
          <w:spacing w:val="-4"/>
          <w:sz w:val="32"/>
          <w:szCs w:val="32"/>
        </w:rPr>
      </w:pPr>
      <w:r>
        <w:rPr>
          <w:rFonts w:hint="eastAsia" w:ascii="宋体" w:hAnsi="宋体"/>
          <w:spacing w:val="-4"/>
          <w:sz w:val="32"/>
          <w:szCs w:val="32"/>
        </w:rPr>
        <w:t>建议细化预算编制工作，合理编制并执行会议费预算，同预算进行对比分析，找出差距、及时整改，在会议预算范围内合理规范各项开支。</w:t>
      </w:r>
    </w:p>
    <w:p>
      <w:pPr>
        <w:pStyle w:val="3"/>
        <w:spacing w:line="360" w:lineRule="auto"/>
        <w:rPr>
          <w:rFonts w:ascii="宋体" w:hAnsi="宋体" w:eastAsia="宋体"/>
          <w:sz w:val="32"/>
          <w:szCs w:val="32"/>
        </w:rPr>
      </w:pPr>
      <w:bookmarkStart w:id="20" w:name="_Toc68703846"/>
      <w:r>
        <w:rPr>
          <w:rFonts w:hint="eastAsia" w:ascii="宋体" w:hAnsi="宋体" w:eastAsia="宋体"/>
          <w:sz w:val="32"/>
          <w:szCs w:val="32"/>
        </w:rPr>
        <w:t>七、其他需要说明的问题</w:t>
      </w:r>
      <w:bookmarkEnd w:id="20"/>
    </w:p>
    <w:p>
      <w:pPr>
        <w:spacing w:line="540" w:lineRule="exact"/>
        <w:ind w:firstLine="873" w:firstLineChars="280"/>
        <w:rPr>
          <w:rFonts w:hint="eastAsia" w:ascii="宋体" w:hAnsi="宋体"/>
          <w:spacing w:val="-4"/>
          <w:sz w:val="32"/>
          <w:szCs w:val="32"/>
        </w:rPr>
      </w:pPr>
      <w:r>
        <w:rPr>
          <w:rFonts w:hint="eastAsia" w:ascii="宋体" w:hAnsi="宋体"/>
          <w:spacing w:val="-4"/>
          <w:sz w:val="32"/>
          <w:szCs w:val="32"/>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1CCEAF"/>
    <w:multiLevelType w:val="singleLevel"/>
    <w:tmpl w:val="421CCEAF"/>
    <w:lvl w:ilvl="0" w:tentative="0">
      <w:start w:val="2"/>
      <w:numFmt w:val="chineseCounting"/>
      <w:suff w:val="nothing"/>
      <w:lvlText w:val="（%1）"/>
      <w:lvlJc w:val="left"/>
      <w:rPr>
        <w:rFonts w:hint="eastAsia"/>
      </w:rPr>
    </w:lvl>
  </w:abstractNum>
  <w:abstractNum w:abstractNumId="1">
    <w:nsid w:val="48F4B2D7"/>
    <w:multiLevelType w:val="singleLevel"/>
    <w:tmpl w:val="48F4B2D7"/>
    <w:lvl w:ilvl="0" w:tentative="0">
      <w:start w:val="2"/>
      <w:numFmt w:val="chineseCounting"/>
      <w:suff w:val="nothing"/>
      <w:lvlText w:val="（%1）"/>
      <w:lvlJc w:val="left"/>
      <w:rPr>
        <w:rFonts w:hint="eastAsia"/>
      </w:rPr>
    </w:lvl>
  </w:abstractNum>
  <w:abstractNum w:abstractNumId="2">
    <w:nsid w:val="4D7F5357"/>
    <w:multiLevelType w:val="singleLevel"/>
    <w:tmpl w:val="4D7F5357"/>
    <w:lvl w:ilvl="0" w:tentative="0">
      <w:start w:val="1"/>
      <w:numFmt w:val="decimal"/>
      <w:suff w:val="nothing"/>
      <w:lvlText w:val="%1、"/>
      <w:lvlJc w:val="left"/>
    </w:lvl>
  </w:abstractNum>
  <w:abstractNum w:abstractNumId="3">
    <w:nsid w:val="51809641"/>
    <w:multiLevelType w:val="singleLevel"/>
    <w:tmpl w:val="51809641"/>
    <w:lvl w:ilvl="0" w:tentative="0">
      <w:start w:val="1"/>
      <w:numFmt w:val="decimal"/>
      <w:suff w:val="nothing"/>
      <w:lvlText w:val="%1、"/>
      <w:lvlJc w:val="left"/>
    </w:lvl>
  </w:abstractNum>
  <w:abstractNum w:abstractNumId="4">
    <w:nsid w:val="73E46D3E"/>
    <w:multiLevelType w:val="singleLevel"/>
    <w:tmpl w:val="73E46D3E"/>
    <w:lvl w:ilvl="0" w:tentative="0">
      <w:start w:val="6"/>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I1MDZlYmI5MDk0MTg0NGQ5YjU3MzZhZWMwZGE3NjIifQ=="/>
  </w:docVars>
  <w:rsids>
    <w:rsidRoot w:val="007D49C5"/>
    <w:rsid w:val="005B64E8"/>
    <w:rsid w:val="00614288"/>
    <w:rsid w:val="00725E81"/>
    <w:rsid w:val="00792CFE"/>
    <w:rsid w:val="007D49C5"/>
    <w:rsid w:val="008C631D"/>
    <w:rsid w:val="00992B70"/>
    <w:rsid w:val="00B24331"/>
    <w:rsid w:val="04EC0C6F"/>
    <w:rsid w:val="06BC2640"/>
    <w:rsid w:val="0A0E3091"/>
    <w:rsid w:val="13F91041"/>
    <w:rsid w:val="143B16BD"/>
    <w:rsid w:val="16465840"/>
    <w:rsid w:val="186C1E74"/>
    <w:rsid w:val="1CD571F5"/>
    <w:rsid w:val="20854A7E"/>
    <w:rsid w:val="20995C94"/>
    <w:rsid w:val="22635032"/>
    <w:rsid w:val="24DB2AF4"/>
    <w:rsid w:val="29032211"/>
    <w:rsid w:val="2FE6298A"/>
    <w:rsid w:val="3C722062"/>
    <w:rsid w:val="40175BC0"/>
    <w:rsid w:val="43BD0D0D"/>
    <w:rsid w:val="45FE5444"/>
    <w:rsid w:val="48795D77"/>
    <w:rsid w:val="49F94E18"/>
    <w:rsid w:val="4EA34659"/>
    <w:rsid w:val="5785743D"/>
    <w:rsid w:val="650A5838"/>
    <w:rsid w:val="6D7325A8"/>
    <w:rsid w:val="730B4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semiHidden/>
    <w:unhideWhenUsed/>
    <w:qFormat/>
    <w:uiPriority w:val="99"/>
    <w:pPr>
      <w:snapToGrid w:val="0"/>
      <w:jc w:val="left"/>
    </w:pPr>
    <w:rPr>
      <w:sz w:val="18"/>
      <w:szCs w:val="18"/>
    </w:rPr>
  </w:style>
  <w:style w:type="paragraph" w:styleId="5">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6">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7">
    <w:name w:val="Normal (Web)"/>
    <w:basedOn w:val="1"/>
    <w:qFormat/>
    <w:uiPriority w:val="99"/>
    <w:pPr>
      <w:spacing w:before="100" w:beforeAutospacing="1" w:after="100" w:afterAutospacing="1"/>
      <w:jc w:val="left"/>
    </w:pPr>
    <w:rPr>
      <w:sz w:val="24"/>
    </w:rPr>
  </w:style>
  <w:style w:type="character" w:styleId="10">
    <w:name w:val="Hyperlink"/>
    <w:basedOn w:val="9"/>
    <w:unhideWhenUsed/>
    <w:qFormat/>
    <w:uiPriority w:val="99"/>
    <w:rPr>
      <w:color w:val="0563C1" w:themeColor="hyperlink"/>
      <w:u w:val="single"/>
    </w:rPr>
  </w:style>
  <w:style w:type="character" w:customStyle="1" w:styleId="11">
    <w:name w:val="标题 1 Char"/>
    <w:basedOn w:val="9"/>
    <w:link w:val="3"/>
    <w:qFormat/>
    <w:uiPriority w:val="9"/>
    <w:rPr>
      <w:rFonts w:ascii="Times New Roman" w:hAnsi="Times New Roman" w:eastAsia="仿宋_GB2312" w:cs="Times New Roman"/>
      <w:b/>
      <w:bCs/>
      <w:kern w:val="44"/>
      <w:sz w:val="44"/>
      <w:szCs w:val="44"/>
    </w:rPr>
  </w:style>
  <w:style w:type="character" w:customStyle="1" w:styleId="12">
    <w:name w:val="标题 2 Char"/>
    <w:basedOn w:val="9"/>
    <w:link w:val="4"/>
    <w:qFormat/>
    <w:uiPriority w:val="9"/>
    <w:rPr>
      <w:rFonts w:asciiTheme="majorHAnsi" w:hAnsiTheme="majorHAnsi" w:eastAsiaTheme="majorEastAsia" w:cstheme="majorBidi"/>
      <w:b/>
      <w:bCs/>
      <w:sz w:val="32"/>
      <w:szCs w:val="32"/>
    </w:rPr>
  </w:style>
  <w:style w:type="paragraph" w:customStyle="1" w:styleId="13">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5541</Words>
  <Characters>5704</Characters>
  <Lines>42</Lines>
  <Paragraphs>11</Paragraphs>
  <TotalTime>14</TotalTime>
  <ScaleCrop>false</ScaleCrop>
  <LinksUpToDate>false</LinksUpToDate>
  <CharactersWithSpaces>5732</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A.X</cp:lastModifiedBy>
  <dcterms:modified xsi:type="dcterms:W3CDTF">2022-04-26T04:24:44Z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305D311972F64BC6A27F6212ABA004D3</vt:lpwstr>
  </property>
</Properties>
</file>