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pageBreakBefore w:val="0"/>
        <w:kinsoku/>
        <w:wordWrap/>
        <w:overflowPunct/>
        <w:topLinePunct w:val="0"/>
        <w:autoSpaceDE/>
        <w:autoSpaceDN/>
        <w:bidi w:val="0"/>
        <w:adjustRightInd/>
        <w:snapToGrid/>
        <w:spacing w:line="560" w:lineRule="exact"/>
        <w:ind w:firstLine="320" w:firstLineChars="100"/>
        <w:jc w:val="center"/>
        <w:textAlignment w:val="auto"/>
        <w:rPr>
          <w:rFonts w:hint="eastAsia" w:ascii="宋体" w:hAnsi="宋体" w:eastAsia="宋体" w:cs="宋体"/>
          <w:color w:val="auto"/>
          <w:kern w:val="0"/>
          <w:sz w:val="32"/>
          <w:szCs w:val="32"/>
          <w:lang w:val="en-US" w:eastAsia="zh-CN"/>
        </w:rPr>
      </w:pPr>
      <w:r>
        <w:rPr>
          <w:rFonts w:hint="eastAsia" w:ascii="宋体" w:hAnsi="宋体" w:eastAsia="宋体" w:cs="宋体"/>
          <w:color w:val="auto"/>
          <w:kern w:val="0"/>
          <w:sz w:val="32"/>
          <w:szCs w:val="32"/>
          <w:lang w:val="en-US" w:eastAsia="zh-CN"/>
        </w:rPr>
        <w:t>（2021年度）</w:t>
      </w:r>
    </w:p>
    <w:p>
      <w:pPr>
        <w:spacing w:line="480" w:lineRule="auto"/>
        <w:jc w:val="both"/>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w:t>
      </w:r>
      <w:r>
        <w:rPr>
          <w:rFonts w:ascii="宋体" w:hAnsi="宋体" w:eastAsia="宋体" w:cs="宋体"/>
          <w:kern w:val="0"/>
          <w:sz w:val="32"/>
          <w:szCs w:val="32"/>
        </w:rPr>
        <w:t xml:space="preserve"> </w:t>
      </w:r>
      <w:r>
        <w:rPr>
          <w:rFonts w:hint="eastAsia" w:ascii="宋体" w:hAnsi="宋体" w:eastAsia="宋体" w:cs="宋体"/>
          <w:kern w:val="0"/>
          <w:sz w:val="32"/>
          <w:szCs w:val="32"/>
        </w:rPr>
        <w:t>新型冠状病毒感染肺炎疫情防控应急补助资金</w:t>
      </w:r>
    </w:p>
    <w:p>
      <w:pPr>
        <w:pageBreakBefore w:val="0"/>
        <w:kinsoku/>
        <w:wordWrap/>
        <w:overflowPunct/>
        <w:topLinePunct w:val="0"/>
        <w:autoSpaceDE/>
        <w:autoSpaceDN/>
        <w:bidi w:val="0"/>
        <w:adjustRightInd/>
        <w:snapToGrid/>
        <w:spacing w:line="560" w:lineRule="exact"/>
        <w:ind w:firstLine="321" w:firstLineChars="100"/>
        <w:textAlignment w:val="auto"/>
        <w:rPr>
          <w:rFonts w:hint="eastAsia" w:ascii="宋体" w:hAnsi="宋体" w:eastAsia="宋体" w:cs="宋体"/>
          <w:color w:val="auto"/>
          <w:kern w:val="0"/>
          <w:sz w:val="32"/>
          <w:szCs w:val="32"/>
          <w:lang w:val="en-US" w:eastAsia="zh-CN"/>
        </w:rPr>
      </w:pPr>
      <w:r>
        <w:rPr>
          <w:rFonts w:hint="eastAsia" w:ascii="宋体" w:hAnsi="宋体" w:eastAsia="宋体" w:cs="仿宋_GB2312"/>
          <w:b/>
          <w:bCs/>
          <w:color w:val="auto"/>
          <w:kern w:val="0"/>
          <w:sz w:val="32"/>
          <w:szCs w:val="32"/>
        </w:rPr>
        <w:t>实施单位（公章）：</w:t>
      </w:r>
      <w:r>
        <w:rPr>
          <w:rFonts w:ascii="宋体" w:hAnsi="宋体" w:eastAsia="宋体" w:cs="宋体"/>
          <w:color w:val="auto"/>
          <w:kern w:val="0"/>
          <w:sz w:val="32"/>
          <w:szCs w:val="32"/>
        </w:rPr>
        <w:t xml:space="preserve"> </w:t>
      </w:r>
      <w:r>
        <w:rPr>
          <w:rFonts w:hint="eastAsia" w:ascii="宋体" w:hAnsi="宋体" w:eastAsia="宋体" w:cs="宋体"/>
          <w:color w:val="auto"/>
          <w:kern w:val="0"/>
          <w:sz w:val="32"/>
          <w:szCs w:val="32"/>
          <w:lang w:val="en-US" w:eastAsia="zh-CN"/>
        </w:rPr>
        <w:t>特克斯县疾病预防控制中心</w:t>
      </w:r>
    </w:p>
    <w:p>
      <w:pPr>
        <w:pageBreakBefore w:val="0"/>
        <w:kinsoku/>
        <w:wordWrap/>
        <w:overflowPunct/>
        <w:topLinePunct w:val="0"/>
        <w:autoSpaceDE/>
        <w:autoSpaceDN/>
        <w:bidi w:val="0"/>
        <w:adjustRightInd/>
        <w:snapToGrid/>
        <w:spacing w:line="560" w:lineRule="exact"/>
        <w:ind w:firstLine="321" w:firstLineChars="100"/>
        <w:textAlignment w:val="auto"/>
        <w:rPr>
          <w:rFonts w:hint="default" w:ascii="宋体" w:hAnsi="宋体" w:eastAsia="宋体" w:cs="宋体"/>
          <w:color w:val="auto"/>
          <w:kern w:val="0"/>
          <w:sz w:val="32"/>
          <w:szCs w:val="32"/>
          <w:lang w:val="en-US" w:eastAsia="zh-CN"/>
        </w:rPr>
      </w:pPr>
      <w:r>
        <w:rPr>
          <w:rFonts w:hint="eastAsia" w:ascii="宋体" w:hAnsi="宋体" w:eastAsia="宋体" w:cs="仿宋_GB2312"/>
          <w:b/>
          <w:bCs/>
          <w:color w:val="auto"/>
          <w:kern w:val="0"/>
          <w:sz w:val="32"/>
          <w:szCs w:val="32"/>
        </w:rPr>
        <w:t>主管部门（公章）：</w:t>
      </w:r>
      <w:r>
        <w:rPr>
          <w:rFonts w:ascii="宋体" w:hAnsi="宋体" w:eastAsia="宋体" w:cs="宋体"/>
          <w:color w:val="auto"/>
          <w:kern w:val="0"/>
          <w:sz w:val="32"/>
          <w:szCs w:val="32"/>
        </w:rPr>
        <w:t xml:space="preserve"> </w:t>
      </w:r>
      <w:r>
        <w:rPr>
          <w:rFonts w:hint="eastAsia" w:ascii="宋体" w:hAnsi="宋体" w:eastAsia="宋体" w:cs="宋体"/>
          <w:color w:val="auto"/>
          <w:kern w:val="0"/>
          <w:sz w:val="32"/>
          <w:szCs w:val="32"/>
          <w:lang w:val="en-US" w:eastAsia="zh-CN"/>
        </w:rPr>
        <w:t>特克斯县卫生健康委员会</w:t>
      </w:r>
    </w:p>
    <w:p>
      <w:pPr>
        <w:pageBreakBefore w:val="0"/>
        <w:kinsoku/>
        <w:wordWrap/>
        <w:overflowPunct/>
        <w:topLinePunct w:val="0"/>
        <w:autoSpaceDE/>
        <w:autoSpaceDN/>
        <w:bidi w:val="0"/>
        <w:adjustRightInd/>
        <w:snapToGrid/>
        <w:spacing w:line="560" w:lineRule="exact"/>
        <w:ind w:firstLine="321" w:firstLineChars="100"/>
        <w:textAlignment w:val="auto"/>
        <w:rPr>
          <w:rFonts w:hint="eastAsia" w:ascii="宋体" w:hAnsi="宋体" w:eastAsia="宋体" w:cs="宋体"/>
          <w:color w:val="auto"/>
          <w:kern w:val="0"/>
          <w:sz w:val="32"/>
          <w:szCs w:val="32"/>
          <w:lang w:val="en-US" w:eastAsia="zh-CN"/>
        </w:rPr>
      </w:pPr>
      <w:r>
        <w:rPr>
          <w:rFonts w:hint="eastAsia" w:ascii="宋体" w:hAnsi="宋体" w:eastAsia="宋体" w:cs="仿宋_GB2312"/>
          <w:b/>
          <w:bCs/>
          <w:color w:val="auto"/>
          <w:kern w:val="0"/>
          <w:sz w:val="32"/>
          <w:szCs w:val="32"/>
        </w:rPr>
        <w:t>项目负责人（签章）：</w:t>
      </w:r>
      <w:r>
        <w:rPr>
          <w:rFonts w:ascii="宋体" w:hAnsi="宋体" w:eastAsia="宋体" w:cs="宋体"/>
          <w:color w:val="auto"/>
          <w:kern w:val="0"/>
          <w:sz w:val="32"/>
          <w:szCs w:val="32"/>
        </w:rPr>
        <w:t xml:space="preserve"> </w:t>
      </w:r>
      <w:r>
        <w:rPr>
          <w:rFonts w:hint="eastAsia" w:ascii="宋体" w:hAnsi="宋体" w:eastAsia="宋体" w:cs="宋体"/>
          <w:color w:val="auto"/>
          <w:kern w:val="0"/>
          <w:sz w:val="32"/>
          <w:szCs w:val="32"/>
          <w:lang w:val="en-US" w:eastAsia="zh-CN"/>
        </w:rPr>
        <w:t>李栋锋</w:t>
      </w:r>
    </w:p>
    <w:p>
      <w:pPr>
        <w:widowControl/>
        <w:ind w:firstLine="321" w:firstLineChars="100"/>
        <w:jc w:val="left"/>
        <w:rPr>
          <w:rFonts w:ascii="宋体" w:hAnsi="宋体" w:eastAsia="宋体" w:cs="Arial"/>
          <w:b/>
          <w:bCs/>
          <w:sz w:val="36"/>
          <w:szCs w:val="36"/>
        </w:rPr>
      </w:pPr>
      <w:r>
        <w:rPr>
          <w:rFonts w:hint="eastAsia" w:ascii="宋体" w:hAnsi="宋体" w:eastAsia="宋体" w:cs="仿宋_GB2312"/>
          <w:b/>
          <w:bCs/>
          <w:color w:val="auto"/>
          <w:kern w:val="0"/>
          <w:sz w:val="32"/>
          <w:szCs w:val="32"/>
        </w:rPr>
        <w:t>填报时间：</w:t>
      </w:r>
      <w:r>
        <w:rPr>
          <w:rFonts w:hint="eastAsia" w:ascii="宋体" w:hAnsi="宋体" w:eastAsia="宋体" w:cs="仿宋_GB2312"/>
          <w:color w:val="auto"/>
          <w:kern w:val="0"/>
          <w:sz w:val="32"/>
          <w:szCs w:val="32"/>
        </w:rPr>
        <w:t>202</w:t>
      </w:r>
      <w:r>
        <w:rPr>
          <w:rFonts w:ascii="宋体" w:hAnsi="宋体" w:eastAsia="宋体" w:cs="仿宋_GB2312"/>
          <w:color w:val="auto"/>
          <w:kern w:val="0"/>
          <w:sz w:val="32"/>
          <w:szCs w:val="32"/>
        </w:rPr>
        <w:t>2</w:t>
      </w:r>
      <w:r>
        <w:rPr>
          <w:rFonts w:hint="eastAsia" w:ascii="宋体" w:hAnsi="宋体" w:eastAsia="宋体" w:cs="仿宋_GB2312"/>
          <w:color w:val="auto"/>
          <w:kern w:val="0"/>
          <w:sz w:val="32"/>
          <w:szCs w:val="32"/>
        </w:rPr>
        <w:t>年</w:t>
      </w:r>
      <w:r>
        <w:rPr>
          <w:rFonts w:hint="eastAsia" w:ascii="宋体" w:hAnsi="宋体" w:eastAsia="宋体" w:cs="仿宋_GB2312"/>
          <w:color w:val="auto"/>
          <w:kern w:val="0"/>
          <w:sz w:val="32"/>
          <w:szCs w:val="32"/>
          <w:lang w:val="en-US" w:eastAsia="zh-CN"/>
        </w:rPr>
        <w:t>4</w:t>
      </w:r>
      <w:r>
        <w:rPr>
          <w:rFonts w:hint="eastAsia" w:ascii="宋体" w:hAnsi="宋体" w:eastAsia="宋体" w:cs="仿宋_GB2312"/>
          <w:color w:val="auto"/>
          <w:kern w:val="0"/>
          <w:sz w:val="32"/>
          <w:szCs w:val="32"/>
        </w:rPr>
        <w:t>月</w:t>
      </w:r>
      <w:r>
        <w:rPr>
          <w:rFonts w:hint="eastAsia" w:ascii="宋体" w:hAnsi="宋体" w:eastAsia="宋体" w:cs="仿宋_GB2312"/>
          <w:color w:val="auto"/>
          <w:kern w:val="0"/>
          <w:sz w:val="32"/>
          <w:szCs w:val="32"/>
          <w:lang w:val="en-US" w:eastAsia="zh-CN"/>
        </w:rPr>
        <w:t>12</w:t>
      </w:r>
      <w:r>
        <w:rPr>
          <w:rFonts w:hint="eastAsia" w:ascii="宋体" w:hAnsi="宋体" w:eastAsia="宋体" w:cs="仿宋_GB2312"/>
          <w:color w:val="auto"/>
          <w:kern w:val="0"/>
          <w:sz w:val="32"/>
          <w:szCs w:val="32"/>
        </w:rPr>
        <w:t>日</w:t>
      </w: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rPr>
      </w:pPr>
    </w:p>
    <w:p>
      <w:pPr>
        <w:jc w:val="center"/>
        <w:rPr>
          <w:rFonts w:ascii="仿宋_GB2312"/>
          <w:szCs w:val="30"/>
        </w:rPr>
      </w:pPr>
    </w:p>
    <w:p>
      <w:pPr>
        <w:pStyle w:val="2"/>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3"/>
        <w:spacing w:line="360" w:lineRule="auto"/>
        <w:rPr>
          <w:rFonts w:hint="eastAsia" w:ascii="仿宋_GB2312" w:eastAsia="仿宋_GB2312"/>
          <w:b w:val="0"/>
          <w:bCs w:val="0"/>
        </w:rPr>
      </w:pPr>
      <w:bookmarkStart w:id="1" w:name="_Toc68703828"/>
      <w:r>
        <w:rPr>
          <w:rFonts w:hint="eastAsia" w:ascii="仿宋_GB2312" w:eastAsia="仿宋_GB2312"/>
          <w:b w:val="0"/>
          <w:bCs w:val="0"/>
        </w:rPr>
        <w:t>（一）项目概况。</w:t>
      </w:r>
      <w:bookmarkEnd w:id="1"/>
    </w:p>
    <w:p>
      <w:pPr>
        <w:spacing w:line="360" w:lineRule="auto"/>
        <w:ind w:firstLine="600" w:firstLineChars="200"/>
        <w:rPr>
          <w:rFonts w:hint="eastAsia" w:ascii="仿宋_GB2312"/>
        </w:rPr>
      </w:pPr>
      <w:r>
        <w:rPr>
          <w:rFonts w:hint="eastAsia" w:ascii="仿宋_GB2312"/>
        </w:rPr>
        <w:t>1、项目背景</w:t>
      </w:r>
    </w:p>
    <w:p>
      <w:pPr>
        <w:pStyle w:val="3"/>
        <w:spacing w:line="360" w:lineRule="auto"/>
        <w:ind w:firstLine="600" w:firstLineChars="200"/>
        <w:rPr>
          <w:rFonts w:hint="eastAsia" w:ascii="仿宋_GB2312"/>
        </w:rPr>
      </w:pPr>
      <w:r>
        <w:rPr>
          <w:rFonts w:hint="eastAsia" w:ascii="仿宋_GB2312" w:hAnsi="Times New Roman" w:eastAsia="仿宋_GB2312" w:cs="Times New Roman"/>
          <w:b w:val="0"/>
          <w:bCs w:val="0"/>
          <w:kern w:val="2"/>
          <w:sz w:val="30"/>
          <w:szCs w:val="24"/>
          <w:lang w:val="en-US" w:eastAsia="zh-CN" w:bidi="ar-SA"/>
        </w:rPr>
        <w:t>2021年度新冠疫情（重点人群、集中隔离、居家隔离对象核酸检测及留观）防控专项经费,设立专项经费全力保障疫情防控工作开展,坚决遏制疫情蔓延势头。</w:t>
      </w:r>
    </w:p>
    <w:p>
      <w:pPr>
        <w:spacing w:line="360" w:lineRule="auto"/>
        <w:ind w:firstLine="600" w:firstLineChars="200"/>
        <w:rPr>
          <w:rFonts w:ascii="仿宋_GB2312"/>
        </w:rPr>
      </w:pPr>
      <w:r>
        <w:rPr>
          <w:rFonts w:hint="eastAsia" w:ascii="仿宋_GB2312"/>
        </w:rPr>
        <w:t>2、主要内容</w:t>
      </w:r>
      <w:r>
        <w:rPr>
          <w:rFonts w:hint="eastAsia"/>
        </w:rPr>
        <w:t>及</w:t>
      </w:r>
      <w:r>
        <w:rPr>
          <w:rFonts w:hint="eastAsia" w:ascii="仿宋_GB2312"/>
        </w:rPr>
        <w:t>实施情况</w:t>
      </w:r>
    </w:p>
    <w:p>
      <w:pPr>
        <w:spacing w:line="360" w:lineRule="auto"/>
        <w:ind w:firstLine="600" w:firstLineChars="200"/>
        <w:rPr>
          <w:rFonts w:ascii="仿宋_GB2312"/>
          <w:color w:val="FF0000"/>
        </w:rPr>
      </w:pPr>
      <w:r>
        <w:rPr>
          <w:rFonts w:hint="eastAsia" w:ascii="仿宋_GB2312"/>
        </w:rPr>
        <w:t>主要内容：新冠肺炎核酸检测的目的，目前主要是筛查出无症状感染者，及时发现病例，有利于新型冠状病毒感染的防控。</w:t>
      </w:r>
    </w:p>
    <w:p>
      <w:pPr>
        <w:spacing w:line="360" w:lineRule="auto"/>
        <w:ind w:firstLine="600" w:firstLineChars="200"/>
        <w:rPr>
          <w:rFonts w:ascii="仿宋_GB2312"/>
          <w:color w:val="FF0000"/>
        </w:rPr>
      </w:pPr>
      <w:r>
        <w:rPr>
          <w:rFonts w:hint="eastAsia" w:ascii="仿宋_GB2312"/>
        </w:rPr>
        <w:t>实施情况：核酸检测经费</w:t>
      </w:r>
      <w:r>
        <w:rPr>
          <w:rFonts w:hint="eastAsia" w:ascii="仿宋_GB2312"/>
          <w:lang w:val="en-US" w:eastAsia="zh-CN"/>
        </w:rPr>
        <w:t>105</w:t>
      </w:r>
      <w:r>
        <w:rPr>
          <w:rFonts w:hint="eastAsia" w:ascii="仿宋_GB2312"/>
        </w:rPr>
        <w:t>万元全部到位，确保专款专用。</w:t>
      </w:r>
      <w:r>
        <w:rPr>
          <w:rFonts w:hint="eastAsia" w:ascii="仿宋_GB2312"/>
          <w:lang w:val="en-US" w:eastAsia="zh-CN"/>
        </w:rPr>
        <w:t>经费主要用于</w:t>
      </w:r>
      <w:r>
        <w:rPr>
          <w:rFonts w:hint="eastAsia" w:ascii="仿宋_GB2312"/>
        </w:rPr>
        <w:t>进行核酸检测</w:t>
      </w:r>
      <w:r>
        <w:rPr>
          <w:rFonts w:hint="eastAsia" w:ascii="仿宋_GB2312"/>
          <w:lang w:val="en-US" w:eastAsia="zh-CN"/>
        </w:rPr>
        <w:t>工作支出</w:t>
      </w:r>
      <w:r>
        <w:rPr>
          <w:rFonts w:hint="eastAsia" w:ascii="仿宋_GB2312"/>
        </w:rPr>
        <w:t>。</w:t>
      </w:r>
    </w:p>
    <w:p>
      <w:pPr>
        <w:spacing w:line="360" w:lineRule="auto"/>
        <w:ind w:firstLine="600" w:firstLineChars="200"/>
        <w:rPr>
          <w:rFonts w:ascii="仿宋_GB2312"/>
        </w:rPr>
      </w:pPr>
      <w:r>
        <w:rPr>
          <w:rFonts w:ascii="仿宋_GB2312"/>
        </w:rPr>
        <w:t>3</w:t>
      </w:r>
      <w:r>
        <w:rPr>
          <w:rFonts w:hint="eastAsia" w:ascii="仿宋_GB2312"/>
        </w:rPr>
        <w:t>、资金投入和使用情况</w:t>
      </w:r>
    </w:p>
    <w:p>
      <w:pPr>
        <w:spacing w:line="360" w:lineRule="auto"/>
        <w:ind w:firstLine="600" w:firstLineChars="200"/>
        <w:rPr>
          <w:color w:val="auto"/>
        </w:rPr>
      </w:pPr>
      <w:r>
        <w:rPr>
          <w:rFonts w:hint="eastAsia"/>
        </w:rPr>
        <w:t>资金投入情况：</w:t>
      </w:r>
      <w:r>
        <w:rPr>
          <w:rFonts w:hint="eastAsia"/>
          <w:color w:val="auto"/>
        </w:rPr>
        <w:t>该项目年初预算数</w:t>
      </w:r>
      <w:r>
        <w:rPr>
          <w:rFonts w:hint="eastAsia"/>
          <w:color w:val="auto"/>
          <w:lang w:val="en-US" w:eastAsia="zh-CN"/>
        </w:rPr>
        <w:t>105</w:t>
      </w:r>
      <w:r>
        <w:rPr>
          <w:rFonts w:hint="eastAsia"/>
          <w:color w:val="auto"/>
        </w:rPr>
        <w:t>万元，全年预算数</w:t>
      </w:r>
      <w:r>
        <w:rPr>
          <w:rFonts w:hint="eastAsia"/>
          <w:color w:val="auto"/>
          <w:lang w:val="en-US" w:eastAsia="zh-CN"/>
        </w:rPr>
        <w:t>105</w:t>
      </w:r>
      <w:r>
        <w:rPr>
          <w:rFonts w:hint="eastAsia"/>
          <w:color w:val="auto"/>
        </w:rPr>
        <w:t>万元，实际总投入</w:t>
      </w:r>
      <w:r>
        <w:rPr>
          <w:rFonts w:hint="eastAsia"/>
          <w:color w:val="auto"/>
          <w:lang w:val="en-US" w:eastAsia="zh-CN"/>
        </w:rPr>
        <w:t>105</w:t>
      </w:r>
      <w:r>
        <w:rPr>
          <w:rFonts w:hint="eastAsia"/>
          <w:color w:val="auto"/>
        </w:rPr>
        <w:t>万元，该项目资金已全部落实到位</w:t>
      </w:r>
      <w:r>
        <w:rPr>
          <w:rFonts w:hint="eastAsia"/>
          <w:color w:val="auto"/>
          <w:lang w:val="en-US" w:eastAsia="zh-CN"/>
        </w:rPr>
        <w:t>105</w:t>
      </w:r>
      <w:r>
        <w:rPr>
          <w:rFonts w:hint="eastAsia"/>
          <w:color w:val="auto"/>
        </w:rPr>
        <w:t>万元，资金来源为</w:t>
      </w:r>
      <w:r>
        <w:rPr>
          <w:rFonts w:hint="eastAsia"/>
          <w:color w:val="auto"/>
          <w:lang w:val="en-US" w:eastAsia="zh-CN"/>
        </w:rPr>
        <w:t>上级专项</w:t>
      </w:r>
      <w:r>
        <w:rPr>
          <w:rFonts w:hint="eastAsia"/>
          <w:color w:val="auto"/>
        </w:rPr>
        <w:t>。</w:t>
      </w:r>
    </w:p>
    <w:p>
      <w:pPr>
        <w:spacing w:line="360" w:lineRule="auto"/>
        <w:ind w:firstLine="600" w:firstLineChars="200"/>
        <w:rPr>
          <w:color w:val="auto"/>
        </w:rPr>
      </w:pPr>
      <w:r>
        <w:rPr>
          <w:rFonts w:hint="eastAsia"/>
        </w:rPr>
        <w:t>资金使用情况</w:t>
      </w:r>
      <w:r>
        <w:rPr>
          <w:rFonts w:hint="eastAsia"/>
          <w:color w:val="auto"/>
        </w:rPr>
        <w:t>：该项目年初预算数</w:t>
      </w:r>
      <w:r>
        <w:rPr>
          <w:rFonts w:hint="eastAsia"/>
          <w:color w:val="auto"/>
          <w:lang w:val="en-US" w:eastAsia="zh-CN"/>
        </w:rPr>
        <w:t>105</w:t>
      </w:r>
      <w:r>
        <w:rPr>
          <w:rFonts w:hint="eastAsia"/>
          <w:color w:val="auto"/>
        </w:rPr>
        <w:t>万元，全年预算数</w:t>
      </w:r>
      <w:r>
        <w:rPr>
          <w:rFonts w:hint="eastAsia"/>
          <w:color w:val="auto"/>
          <w:lang w:val="en-US" w:eastAsia="zh-CN"/>
        </w:rPr>
        <w:t>105</w:t>
      </w:r>
      <w:r>
        <w:rPr>
          <w:rFonts w:hint="eastAsia"/>
          <w:color w:val="auto"/>
        </w:rPr>
        <w:t>万元，全年执行数</w:t>
      </w:r>
      <w:r>
        <w:rPr>
          <w:rFonts w:hint="eastAsia"/>
          <w:color w:val="auto"/>
          <w:lang w:val="en-US" w:eastAsia="zh-CN"/>
        </w:rPr>
        <w:t>105</w:t>
      </w:r>
      <w:r>
        <w:rPr>
          <w:rFonts w:hint="eastAsia"/>
          <w:color w:val="auto"/>
        </w:rPr>
        <w:t>万元，预算执行率为</w:t>
      </w:r>
      <w:r>
        <w:rPr>
          <w:rFonts w:hint="eastAsia"/>
          <w:color w:val="auto"/>
          <w:lang w:val="en-US" w:eastAsia="zh-CN"/>
        </w:rPr>
        <w:t>100</w:t>
      </w:r>
      <w:r>
        <w:rPr>
          <w:rFonts w:hint="eastAsia"/>
          <w:color w:val="auto"/>
        </w:rPr>
        <w:t>%，用于核酸检测采购成本</w:t>
      </w:r>
      <w:r>
        <w:rPr>
          <w:rFonts w:hint="eastAsia"/>
          <w:color w:val="auto"/>
          <w:lang w:val="en-US" w:eastAsia="zh-CN"/>
        </w:rPr>
        <w:t>105</w:t>
      </w:r>
      <w:r>
        <w:rPr>
          <w:rFonts w:hint="eastAsia"/>
          <w:color w:val="auto"/>
        </w:rPr>
        <w:t>万元。</w:t>
      </w:r>
    </w:p>
    <w:p>
      <w:pPr>
        <w:pStyle w:val="3"/>
        <w:spacing w:line="360" w:lineRule="auto"/>
        <w:ind w:firstLine="640" w:firstLineChars="200"/>
        <w:rPr>
          <w:rFonts w:ascii="仿宋_GB2312" w:eastAsia="仿宋_GB2312"/>
          <w:b w:val="0"/>
          <w:bCs w:val="0"/>
        </w:rPr>
      </w:pPr>
      <w:bookmarkStart w:id="2" w:name="_Toc68703829"/>
      <w:r>
        <w:rPr>
          <w:rFonts w:hint="eastAsia" w:ascii="仿宋_GB2312" w:eastAsia="仿宋_GB2312"/>
          <w:b w:val="0"/>
          <w:bCs w:val="0"/>
        </w:rPr>
        <w:t>（二）项目绩效目标。</w:t>
      </w:r>
      <w:bookmarkEnd w:id="2"/>
      <w:bookmarkStart w:id="21" w:name="_GoBack"/>
      <w:bookmarkEnd w:id="21"/>
    </w:p>
    <w:p>
      <w:pPr>
        <w:spacing w:line="360" w:lineRule="auto"/>
        <w:ind w:firstLine="600" w:firstLineChars="200"/>
        <w:rPr>
          <w:color w:val="auto"/>
        </w:rPr>
      </w:pPr>
      <w:r>
        <w:rPr>
          <w:rFonts w:hint="eastAsia"/>
        </w:rPr>
        <w:t>1、总体目标：</w:t>
      </w:r>
      <w:r>
        <w:rPr>
          <w:rFonts w:hint="eastAsia"/>
          <w:color w:val="auto"/>
        </w:rPr>
        <w:t>采购新冠肺炎核酸检测试剂，满足特克斯县核酸检测需求。</w:t>
      </w:r>
    </w:p>
    <w:p>
      <w:pPr>
        <w:spacing w:line="360" w:lineRule="auto"/>
        <w:ind w:firstLine="600" w:firstLineChars="200"/>
        <w:rPr>
          <w:rFonts w:hint="default" w:eastAsia="仿宋_GB2312"/>
          <w:color w:val="auto"/>
          <w:lang w:val="en-US" w:eastAsia="zh-CN"/>
        </w:rPr>
      </w:pPr>
      <w:r>
        <w:t>2</w:t>
      </w:r>
      <w:r>
        <w:rPr>
          <w:rFonts w:hint="eastAsia"/>
        </w:rPr>
        <w:t>、阶段性目标：</w:t>
      </w:r>
      <w:r>
        <w:rPr>
          <w:rFonts w:hint="eastAsia"/>
          <w:lang w:val="en-US" w:eastAsia="zh-CN"/>
        </w:rPr>
        <w:t>特克斯县疾病预防控制</w:t>
      </w:r>
      <w:r>
        <w:rPr>
          <w:rFonts w:hint="eastAsia"/>
          <w:color w:val="auto"/>
          <w:lang w:val="en-US" w:eastAsia="zh-CN"/>
        </w:rPr>
        <w:t>中心严格</w:t>
      </w:r>
      <w:r>
        <w:rPr>
          <w:rFonts w:hint="eastAsia"/>
          <w:color w:val="auto"/>
        </w:rPr>
        <w:t>按照文件要求</w:t>
      </w:r>
      <w:r>
        <w:rPr>
          <w:rFonts w:hint="eastAsia"/>
          <w:color w:val="auto"/>
          <w:lang w:eastAsia="zh-CN"/>
        </w:rPr>
        <w:t>，</w:t>
      </w:r>
      <w:r>
        <w:rPr>
          <w:rFonts w:hint="eastAsia"/>
          <w:color w:val="auto"/>
          <w:lang w:val="en-US" w:eastAsia="zh-CN"/>
        </w:rPr>
        <w:t>控制核酸检测试剂采购成本，控制在16元\支，使用新型冠状病毒感染肺炎疫情防控应急补助项目资金</w:t>
      </w:r>
      <w:r>
        <w:rPr>
          <w:rFonts w:hint="eastAsia"/>
          <w:color w:val="auto"/>
        </w:rPr>
        <w:t>采购核酸检测试剂65625支</w:t>
      </w:r>
      <w:r>
        <w:rPr>
          <w:rFonts w:hint="eastAsia"/>
          <w:color w:val="auto"/>
          <w:lang w:eastAsia="zh-CN"/>
        </w:rPr>
        <w:t>，</w:t>
      </w:r>
      <w:r>
        <w:rPr>
          <w:rFonts w:hint="eastAsia"/>
          <w:color w:val="auto"/>
          <w:lang w:val="en-US" w:eastAsia="zh-CN"/>
        </w:rPr>
        <w:t>用于特克斯县开展全民核酸检测工作</w:t>
      </w:r>
      <w:r>
        <w:rPr>
          <w:rFonts w:hint="eastAsia"/>
          <w:color w:val="auto"/>
        </w:rPr>
        <w:t>，</w:t>
      </w:r>
      <w:r>
        <w:rPr>
          <w:rFonts w:hint="eastAsia"/>
          <w:color w:val="auto"/>
          <w:lang w:val="en-US" w:eastAsia="zh-CN"/>
        </w:rPr>
        <w:t>为满足特克斯县核酸检测</w:t>
      </w:r>
      <w:r>
        <w:rPr>
          <w:rFonts w:hint="eastAsia"/>
          <w:color w:val="auto"/>
        </w:rPr>
        <w:t>需求</w:t>
      </w:r>
      <w:r>
        <w:rPr>
          <w:rFonts w:hint="eastAsia"/>
          <w:color w:val="auto"/>
          <w:lang w:eastAsia="zh-CN"/>
        </w:rPr>
        <w:t>。</w:t>
      </w:r>
      <w:r>
        <w:rPr>
          <w:rFonts w:hint="eastAsia"/>
          <w:color w:val="auto"/>
          <w:lang w:val="en-US" w:eastAsia="zh-CN"/>
        </w:rPr>
        <w:t>严格按照项目管理方案组织实施，根据政府采购和专项资金使用规定按程序申报、审批、进行资金支付，加快项目执行进度，提高资金使用效益。</w:t>
      </w:r>
    </w:p>
    <w:p>
      <w:pPr>
        <w:pStyle w:val="2"/>
        <w:spacing w:line="360" w:lineRule="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3"/>
        <w:spacing w:line="360" w:lineRule="auto"/>
        <w:rPr>
          <w:rFonts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pPr>
      <w:r>
        <w:rPr>
          <w:rFonts w:hint="eastAsia"/>
        </w:rPr>
        <w:t>1、绩效评价目的：</w:t>
      </w:r>
    </w:p>
    <w:p>
      <w:pPr>
        <w:spacing w:line="360" w:lineRule="auto"/>
        <w:ind w:firstLine="640" w:firstLineChars="200"/>
        <w:jc w:val="left"/>
        <w:rPr>
          <w:rFonts w:ascii="仿宋_GB2312"/>
          <w:bCs/>
          <w:color w:val="auto"/>
          <w:sz w:val="32"/>
          <w:szCs w:val="32"/>
        </w:rPr>
      </w:pPr>
      <w:r>
        <w:rPr>
          <w:rFonts w:hint="eastAsia" w:ascii="仿宋_GB2312"/>
          <w:bCs/>
          <w:color w:val="auto"/>
          <w:sz w:val="32"/>
          <w:szCs w:val="32"/>
        </w:rPr>
        <w:t>通过绩效评价，客观地评判项目的管理绩效，了解和掌握新型冠状病毒感染肺炎疫情防控应急补助资金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line="360" w:lineRule="auto"/>
        <w:ind w:firstLine="600" w:firstLineChars="200"/>
        <w:jc w:val="left"/>
      </w:pPr>
      <w:r>
        <w:rPr>
          <w:rFonts w:hint="eastAsia"/>
        </w:rPr>
        <w:t>2、绩效评价对象：</w:t>
      </w:r>
    </w:p>
    <w:p>
      <w:pPr>
        <w:spacing w:line="360" w:lineRule="auto"/>
        <w:ind w:firstLine="640" w:firstLineChars="200"/>
        <w:rPr>
          <w:rFonts w:hint="eastAsia" w:ascii="宋体" w:hAnsi="宋体" w:eastAsia="宋体" w:cs="宋体"/>
          <w:kern w:val="0"/>
          <w:sz w:val="32"/>
          <w:szCs w:val="32"/>
        </w:rPr>
      </w:pPr>
      <w:r>
        <w:rPr>
          <w:rFonts w:hint="eastAsia" w:ascii="仿宋_GB2312"/>
          <w:bCs/>
          <w:color w:val="auto"/>
          <w:sz w:val="32"/>
          <w:szCs w:val="32"/>
        </w:rPr>
        <w:t>新型冠状病毒感染肺炎疫情防控应急补助资金</w:t>
      </w:r>
    </w:p>
    <w:p>
      <w:pPr>
        <w:spacing w:line="360" w:lineRule="auto"/>
        <w:ind w:firstLine="600" w:firstLineChars="200"/>
      </w:pPr>
      <w:r>
        <w:rPr>
          <w:rFonts w:hint="eastAsia"/>
        </w:rPr>
        <w:t>3、绩效评价范围：</w:t>
      </w:r>
    </w:p>
    <w:p>
      <w:pPr>
        <w:spacing w:line="360" w:lineRule="auto"/>
        <w:ind w:firstLine="600" w:firstLineChars="200"/>
        <w:rPr>
          <w:color w:val="auto"/>
        </w:rPr>
      </w:pPr>
      <w:r>
        <w:rPr>
          <w:rFonts w:hint="eastAsia"/>
          <w:color w:val="auto"/>
        </w:rPr>
        <w:t>本次评价从项目决策（包括绩效目标、决策过程）、项目管理（包括项目资金、项目实施）、项目产出（包括项目产出数量、产出质量、产出时效和产出成本）项目效益四个维度进</w:t>
      </w:r>
      <w:r>
        <w:rPr>
          <w:rFonts w:hint="eastAsia" w:ascii="Times New Roman" w:hAnsi="Times New Roman" w:cs="Times New Roman"/>
          <w:color w:val="auto"/>
        </w:rPr>
        <w:t>行新型冠状病毒感染肺炎疫情防控应急补助资金</w:t>
      </w:r>
      <w:r>
        <w:rPr>
          <w:rFonts w:hint="eastAsia"/>
          <w:color w:val="auto"/>
        </w:rPr>
        <w:t>评价，评价核心为专项资金的支出完成情况和效果。</w:t>
      </w:r>
    </w:p>
    <w:p>
      <w:pPr>
        <w:spacing w:line="360" w:lineRule="auto"/>
      </w:pPr>
    </w:p>
    <w:p>
      <w:pPr>
        <w:pStyle w:val="3"/>
        <w:spacing w:line="360" w:lineRule="auto"/>
        <w:rPr>
          <w:rFonts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spacing w:line="360" w:lineRule="auto"/>
      </w:pPr>
      <w:r>
        <w:rPr>
          <w:rFonts w:hint="eastAsia"/>
        </w:rPr>
        <w:t>1、绩效评价原则</w:t>
      </w:r>
    </w:p>
    <w:p>
      <w:pPr>
        <w:spacing w:line="600" w:lineRule="exact"/>
        <w:ind w:firstLine="640"/>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ascii="仿宋_GB2312"/>
          <w:bCs/>
          <w:color w:val="auto"/>
          <w:sz w:val="32"/>
          <w:szCs w:val="32"/>
        </w:rPr>
      </w:pPr>
      <w:r>
        <w:rPr>
          <w:rFonts w:hint="eastAsia" w:ascii="仿宋_GB2312"/>
          <w:bCs/>
          <w:color w:val="auto"/>
          <w:sz w:val="32"/>
          <w:szCs w:val="32"/>
        </w:rPr>
        <w:t>（四）公开透明。本次项目支出绩效评价结果已依法依规公开在</w:t>
      </w:r>
      <w:r>
        <w:rPr>
          <w:rFonts w:hint="eastAsia" w:ascii="仿宋_GB2312"/>
          <w:bCs/>
          <w:color w:val="auto"/>
          <w:sz w:val="32"/>
          <w:szCs w:val="32"/>
          <w:lang w:val="en-US" w:eastAsia="zh-CN"/>
        </w:rPr>
        <w:t>特克斯县人民政府</w:t>
      </w:r>
      <w:r>
        <w:rPr>
          <w:rFonts w:hint="eastAsia" w:ascii="仿宋_GB2312"/>
          <w:bCs/>
          <w:color w:val="auto"/>
          <w:sz w:val="32"/>
          <w:szCs w:val="32"/>
        </w:rPr>
        <w:t>网站上，并自觉接受社会监督。</w:t>
      </w:r>
    </w:p>
    <w:p>
      <w:pPr>
        <w:spacing w:line="360" w:lineRule="auto"/>
        <w:rPr>
          <w:color w:val="auto"/>
        </w:rPr>
      </w:pPr>
    </w:p>
    <w:p>
      <w:pPr>
        <w:spacing w:line="360" w:lineRule="auto"/>
      </w:pPr>
      <w:r>
        <w:rPr>
          <w:rFonts w:hint="eastAsia"/>
        </w:rPr>
        <w:t>2、评价指标体系（附表说明）</w:t>
      </w:r>
    </w:p>
    <w:p>
      <w:pPr>
        <w:pStyle w:val="3"/>
        <w:spacing w:before="0" w:after="0" w:line="240" w:lineRule="auto"/>
        <w:jc w:val="center"/>
        <w:rPr>
          <w:rFonts w:hint="eastAsia"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rPr>
        <w:t>新型冠状病毒感染肺炎疫情防控应急补助资金项目支出绩效评价</w:t>
      </w:r>
    </w:p>
    <w:p>
      <w:pPr>
        <w:pStyle w:val="3"/>
        <w:spacing w:before="0" w:after="0" w:line="240" w:lineRule="auto"/>
        <w:jc w:val="center"/>
        <w:rPr>
          <w:rFonts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rPr>
        <w:t>指标体系</w:t>
      </w:r>
    </w:p>
    <w:tbl>
      <w:tblPr>
        <w:tblStyle w:val="6"/>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auto"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15</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r>
    </w:tbl>
    <w:p>
      <w:pPr>
        <w:sectPr>
          <w:pgSz w:w="11906" w:h="16838"/>
          <w:pgMar w:top="1928" w:right="1531" w:bottom="1701" w:left="1531" w:header="737" w:footer="851" w:gutter="0"/>
          <w:cols w:space="720" w:num="1"/>
          <w:docGrid w:type="lines" w:linePitch="408" w:charSpace="0"/>
        </w:sectPr>
      </w:pPr>
    </w:p>
    <w:p>
      <w:pPr>
        <w:spacing w:line="360" w:lineRule="auto"/>
      </w:pPr>
      <w:r>
        <w:rPr>
          <w:rFonts w:hint="eastAsia"/>
        </w:rPr>
        <w:t>3、评价方法</w:t>
      </w:r>
    </w:p>
    <w:p>
      <w:pPr>
        <w:spacing w:line="360" w:lineRule="auto"/>
        <w:ind w:firstLine="640" w:firstLineChars="200"/>
        <w:rPr>
          <w:rFonts w:hint="eastAsia" w:eastAsia="仿宋_GB2312"/>
          <w:bCs/>
          <w:sz w:val="32"/>
          <w:szCs w:val="32"/>
          <w:lang w:eastAsia="zh-CN"/>
        </w:rPr>
      </w:pPr>
      <w:r>
        <w:rPr>
          <w:rFonts w:hint="eastAsia"/>
          <w:bCs/>
          <w:color w:val="auto"/>
          <w:sz w:val="32"/>
          <w:szCs w:val="32"/>
        </w:rPr>
        <w:t>本次项目支出绩效自评采用成本效益分析法，原因是：</w:t>
      </w:r>
      <w:r>
        <w:rPr>
          <w:rFonts w:hint="eastAsia"/>
          <w:bCs/>
          <w:color w:val="auto"/>
          <w:sz w:val="32"/>
          <w:szCs w:val="32"/>
          <w:lang w:val="en-US" w:eastAsia="zh-CN"/>
        </w:rPr>
        <w:t>本项目是新型冠状病毒核酸检测，是为了诊断有无新型冠状病毒感染，鉴别新型冠状病毒肺炎与普通肺炎。大规模人群检测，筛查无症状感染者，及时发现病例，有利于新型冠状病毒感染的防控。</w:t>
      </w:r>
      <w:r>
        <w:rPr>
          <w:rFonts w:hint="eastAsia"/>
          <w:bCs/>
          <w:color w:val="auto"/>
          <w:sz w:val="32"/>
          <w:szCs w:val="32"/>
        </w:rPr>
        <w:t>将</w:t>
      </w:r>
      <w:r>
        <w:rPr>
          <w:rFonts w:hint="eastAsia"/>
          <w:bCs/>
          <w:color w:val="auto"/>
          <w:sz w:val="32"/>
          <w:szCs w:val="32"/>
          <w:lang w:val="en-US" w:eastAsia="zh-CN"/>
        </w:rPr>
        <w:t>项目资金</w:t>
      </w:r>
      <w:r>
        <w:rPr>
          <w:rFonts w:hint="eastAsia"/>
          <w:bCs/>
          <w:color w:val="auto"/>
          <w:sz w:val="32"/>
          <w:szCs w:val="32"/>
        </w:rPr>
        <w:t>投入与</w:t>
      </w:r>
      <w:r>
        <w:rPr>
          <w:rFonts w:hint="eastAsia"/>
          <w:bCs/>
          <w:color w:val="auto"/>
          <w:sz w:val="32"/>
          <w:szCs w:val="32"/>
          <w:lang w:val="en-US" w:eastAsia="zh-CN"/>
        </w:rPr>
        <w:t>项目</w:t>
      </w:r>
      <w:r>
        <w:rPr>
          <w:rFonts w:hint="eastAsia"/>
          <w:bCs/>
          <w:color w:val="auto"/>
          <w:sz w:val="32"/>
          <w:szCs w:val="32"/>
        </w:rPr>
        <w:t>产出、</w:t>
      </w:r>
      <w:r>
        <w:rPr>
          <w:rFonts w:hint="eastAsia"/>
          <w:bCs/>
          <w:color w:val="auto"/>
          <w:sz w:val="32"/>
          <w:szCs w:val="32"/>
          <w:lang w:val="en-US" w:eastAsia="zh-CN"/>
        </w:rPr>
        <w:t>项目</w:t>
      </w:r>
      <w:r>
        <w:rPr>
          <w:rFonts w:hint="eastAsia"/>
          <w:bCs/>
          <w:color w:val="auto"/>
          <w:sz w:val="32"/>
          <w:szCs w:val="32"/>
        </w:rPr>
        <w:t>效益进行关联性分析</w:t>
      </w:r>
      <w:r>
        <w:rPr>
          <w:rFonts w:hint="eastAsia"/>
          <w:bCs/>
          <w:color w:val="auto"/>
          <w:sz w:val="32"/>
          <w:szCs w:val="32"/>
          <w:lang w:eastAsia="zh-CN"/>
        </w:rPr>
        <w:t>。</w:t>
      </w:r>
    </w:p>
    <w:p>
      <w:pPr>
        <w:spacing w:line="360" w:lineRule="auto"/>
      </w:pPr>
    </w:p>
    <w:p>
      <w:pPr>
        <w:spacing w:line="360" w:lineRule="auto"/>
      </w:pPr>
      <w:r>
        <w:rPr>
          <w:rFonts w:hint="eastAsia"/>
        </w:rPr>
        <w:t>4、评价标准</w:t>
      </w:r>
    </w:p>
    <w:p>
      <w:pPr>
        <w:pStyle w:val="3"/>
        <w:spacing w:line="360" w:lineRule="auto"/>
        <w:ind w:firstLine="640" w:firstLineChars="200"/>
        <w:rPr>
          <w:rFonts w:hint="eastAsia" w:ascii="Times New Roman" w:hAnsi="Times New Roman" w:eastAsia="仿宋_GB2312" w:cs="Times New Roman"/>
          <w:b w:val="0"/>
          <w:bCs/>
          <w:color w:val="auto"/>
          <w:kern w:val="2"/>
          <w:sz w:val="32"/>
          <w:szCs w:val="32"/>
          <w:lang w:val="en-US" w:eastAsia="zh-CN" w:bidi="ar-SA"/>
        </w:rPr>
      </w:pPr>
      <w:bookmarkStart w:id="6" w:name="_Toc68703833"/>
      <w:r>
        <w:rPr>
          <w:rFonts w:hint="eastAsia" w:ascii="Times New Roman" w:hAnsi="Times New Roman" w:eastAsia="仿宋_GB2312" w:cs="Times New Roman"/>
          <w:b w:val="0"/>
          <w:bCs/>
          <w:color w:val="auto"/>
          <w:kern w:val="2"/>
          <w:sz w:val="32"/>
          <w:szCs w:val="32"/>
          <w:lang w:val="en-US" w:eastAsia="zh-CN" w:bidi="ar-SA"/>
        </w:rPr>
        <w:t>本次项目支出绩效自评采用计划标准，原因是：以预先制定的项目目标、项目计划、项目预算、项目产出作为评价标准。为规范和加强专项资金的管理，充分发挥财政资金的使用效益，讲求资金的使用绩效加强考核管理，规避资金使用风险，根据国家及自治区的相关专项资金的管理制度、办法，按要求在规定时限内完成资金的拨付，发挥社会和经济效益。</w:t>
      </w:r>
    </w:p>
    <w:p>
      <w:pPr>
        <w:pStyle w:val="3"/>
        <w:spacing w:line="360" w:lineRule="auto"/>
        <w:rPr>
          <w:rFonts w:ascii="仿宋_GB2312" w:eastAsia="仿宋_GB2312"/>
          <w:b w:val="0"/>
          <w:bCs w:val="0"/>
        </w:rPr>
      </w:pPr>
      <w:r>
        <w:rPr>
          <w:rFonts w:hint="eastAsia" w:ascii="仿宋_GB2312" w:eastAsia="仿宋_GB2312"/>
          <w:b w:val="0"/>
          <w:bCs w:val="0"/>
        </w:rPr>
        <w:t>（三）绩效评价工作过程。</w:t>
      </w:r>
      <w:bookmarkEnd w:id="6"/>
    </w:p>
    <w:p>
      <w:pPr>
        <w:spacing w:line="360" w:lineRule="auto"/>
      </w:pPr>
      <w:r>
        <w:rPr>
          <w:rFonts w:hint="eastAsia"/>
        </w:rPr>
        <w:t>1、前期准备：</w:t>
      </w:r>
    </w:p>
    <w:p>
      <w:pPr>
        <w:spacing w:line="360" w:lineRule="auto"/>
        <w:ind w:firstLine="600" w:firstLineChars="200"/>
        <w:rPr>
          <w:color w:val="auto"/>
        </w:rPr>
      </w:pPr>
      <w:r>
        <w:rPr>
          <w:rFonts w:hint="eastAsia"/>
          <w:color w:val="auto"/>
        </w:rPr>
        <w:t>2</w:t>
      </w:r>
      <w:r>
        <w:rPr>
          <w:color w:val="auto"/>
        </w:rPr>
        <w:t>022</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spacing w:line="360" w:lineRule="auto"/>
        <w:rPr>
          <w:color w:val="auto"/>
        </w:rPr>
      </w:pPr>
      <w:r>
        <w:rPr>
          <w:color w:val="auto"/>
        </w:rPr>
        <w:t>2</w:t>
      </w:r>
      <w:r>
        <w:rPr>
          <w:rFonts w:hint="eastAsia"/>
          <w:color w:val="auto"/>
        </w:rPr>
        <w:t>、组织实施：</w:t>
      </w:r>
    </w:p>
    <w:p>
      <w:pPr>
        <w:spacing w:line="360" w:lineRule="auto"/>
        <w:ind w:firstLine="600" w:firstLineChars="200"/>
        <w:rPr>
          <w:color w:val="auto"/>
        </w:rPr>
      </w:pPr>
      <w:r>
        <w:rPr>
          <w:rFonts w:hint="eastAsia"/>
          <w:color w:val="auto"/>
        </w:rPr>
        <w:t>2</w:t>
      </w:r>
      <w:r>
        <w:rPr>
          <w:color w:val="auto"/>
        </w:rPr>
        <w:t>022</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10</w:t>
      </w:r>
      <w:r>
        <w:rPr>
          <w:rFonts w:hint="eastAsia"/>
          <w:color w:val="auto"/>
        </w:rPr>
        <w:t>日-</w:t>
      </w:r>
      <w:r>
        <w:rPr>
          <w:rFonts w:hint="eastAsia"/>
          <w:color w:val="auto"/>
          <w:lang w:val="en-US" w:eastAsia="zh-CN"/>
        </w:rPr>
        <w:t>3</w:t>
      </w:r>
      <w:r>
        <w:rPr>
          <w:rFonts w:hint="eastAsia"/>
          <w:color w:val="auto"/>
        </w:rPr>
        <w:t>月</w:t>
      </w:r>
      <w:r>
        <w:rPr>
          <w:rFonts w:hint="eastAsia"/>
          <w:color w:val="auto"/>
          <w:lang w:val="en-US" w:eastAsia="zh-CN"/>
        </w:rPr>
        <w:t>20</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r>
        <w:rPr>
          <w:color w:val="auto"/>
        </w:rPr>
        <w:t xml:space="preserve"> </w:t>
      </w:r>
    </w:p>
    <w:p>
      <w:pPr>
        <w:spacing w:line="360" w:lineRule="auto"/>
        <w:rPr>
          <w:color w:val="auto"/>
        </w:rPr>
      </w:pPr>
      <w:r>
        <w:rPr>
          <w:rFonts w:hint="eastAsia"/>
          <w:color w:val="auto"/>
        </w:rPr>
        <w:t>3、分析评价：</w:t>
      </w:r>
    </w:p>
    <w:p>
      <w:pPr>
        <w:spacing w:line="360" w:lineRule="auto"/>
        <w:ind w:firstLine="600" w:firstLineChars="200"/>
        <w:rPr>
          <w:rFonts w:ascii="仿宋_GB2312"/>
          <w:color w:val="auto"/>
        </w:rPr>
      </w:pPr>
      <w:r>
        <w:rPr>
          <w:rFonts w:hint="eastAsia"/>
          <w:color w:val="auto"/>
        </w:rPr>
        <w:t>202</w:t>
      </w:r>
      <w:r>
        <w:rPr>
          <w:color w:val="auto"/>
        </w:rPr>
        <w:t>2</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21</w:t>
      </w:r>
      <w:r>
        <w:rPr>
          <w:rFonts w:hint="eastAsia"/>
          <w:color w:val="auto"/>
        </w:rPr>
        <w:t>日-</w:t>
      </w:r>
      <w:r>
        <w:rPr>
          <w:rFonts w:hint="eastAsia"/>
          <w:color w:val="auto"/>
          <w:lang w:val="en-US" w:eastAsia="zh-CN"/>
        </w:rPr>
        <w:t>3</w:t>
      </w:r>
      <w:r>
        <w:rPr>
          <w:rFonts w:hint="eastAsia"/>
          <w:color w:val="auto"/>
        </w:rPr>
        <w:t>月</w:t>
      </w:r>
      <w:r>
        <w:rPr>
          <w:rFonts w:hint="eastAsia"/>
          <w:color w:val="auto"/>
          <w:lang w:val="en-US" w:eastAsia="zh-CN"/>
        </w:rPr>
        <w:t>31</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2"/>
        <w:spacing w:line="360" w:lineRule="auto"/>
        <w:rPr>
          <w:rFonts w:ascii="宋体" w:hAnsi="宋体" w:eastAsia="宋体"/>
          <w:sz w:val="32"/>
          <w:szCs w:val="32"/>
        </w:rPr>
      </w:pPr>
      <w:bookmarkStart w:id="7" w:name="_Toc68703834"/>
      <w:r>
        <w:rPr>
          <w:rFonts w:hint="eastAsia" w:ascii="宋体" w:hAnsi="宋体" w:eastAsia="宋体"/>
          <w:sz w:val="32"/>
          <w:szCs w:val="32"/>
        </w:rPr>
        <w:t>三、综合评价情况及评价结论</w:t>
      </w:r>
      <w:bookmarkEnd w:id="7"/>
    </w:p>
    <w:p>
      <w:pPr>
        <w:pStyle w:val="3"/>
        <w:spacing w:line="360" w:lineRule="auto"/>
        <w:rPr>
          <w:rFonts w:ascii="仿宋_GB2312" w:eastAsia="仿宋_GB2312"/>
          <w:b w:val="0"/>
          <w:bCs w:val="0"/>
        </w:rPr>
      </w:pPr>
      <w:bookmarkStart w:id="8" w:name="_Toc68703835"/>
      <w:r>
        <w:rPr>
          <w:rFonts w:hint="eastAsia" w:ascii="仿宋_GB2312" w:eastAsia="仿宋_GB2312"/>
          <w:b w:val="0"/>
          <w:bCs w:val="0"/>
        </w:rPr>
        <w:t>（一）综合评价情况</w:t>
      </w:r>
      <w:bookmarkEnd w:id="8"/>
    </w:p>
    <w:p>
      <w:pPr>
        <w:spacing w:line="360" w:lineRule="auto"/>
        <w:ind w:firstLine="600" w:firstLineChars="200"/>
        <w:rPr>
          <w:color w:val="auto"/>
        </w:rPr>
      </w:pPr>
      <w:r>
        <w:rPr>
          <w:rFonts w:hint="eastAsia"/>
          <w:color w:val="auto"/>
        </w:rPr>
        <w:t>本项目严格按照</w:t>
      </w:r>
      <w:r>
        <w:rPr>
          <w:rFonts w:hint="eastAsia" w:ascii="仿宋_GB2312"/>
          <w:bCs/>
          <w:color w:val="auto"/>
          <w:kern w:val="0"/>
          <w:sz w:val="32"/>
          <w:szCs w:val="32"/>
        </w:rPr>
        <w:t>科学公正、统筹兼顾、激励约束、公开透明的</w:t>
      </w:r>
      <w:r>
        <w:rPr>
          <w:rFonts w:hint="eastAsia"/>
          <w:color w:val="auto"/>
        </w:rPr>
        <w:t>绩效评价原则，采用</w:t>
      </w:r>
      <w:r>
        <w:rPr>
          <w:rFonts w:hint="eastAsia"/>
          <w:bCs/>
          <w:color w:val="auto"/>
          <w:sz w:val="32"/>
          <w:szCs w:val="32"/>
        </w:rPr>
        <w:t>成本效益分析法</w:t>
      </w:r>
      <w:r>
        <w:rPr>
          <w:rFonts w:hint="eastAsia"/>
          <w:color w:val="auto"/>
        </w:rPr>
        <w:t>，坚持</w:t>
      </w:r>
      <w:r>
        <w:rPr>
          <w:rFonts w:hint="eastAsia"/>
          <w:bCs/>
          <w:color w:val="auto"/>
          <w:sz w:val="32"/>
          <w:szCs w:val="32"/>
        </w:rPr>
        <w:t>计划标准</w:t>
      </w:r>
      <w:r>
        <w:rPr>
          <w:rFonts w:hint="eastAsia"/>
          <w:color w:val="auto"/>
        </w:rPr>
        <w:t>对本项目的立项、项绩效目标、资金投入、资金管理、组织实施、产出数量、产出质量、产出时效、产出成本、项目效益进行了综合评价</w:t>
      </w:r>
    </w:p>
    <w:p>
      <w:pPr>
        <w:spacing w:line="360" w:lineRule="auto"/>
        <w:ind w:firstLine="600" w:firstLineChars="200"/>
        <w:jc w:val="center"/>
        <w:rPr>
          <w:rFonts w:hint="eastAsia"/>
          <w:color w:val="auto"/>
        </w:rPr>
      </w:pPr>
      <w:r>
        <w:rPr>
          <w:rFonts w:hint="eastAsia"/>
          <w:color w:val="auto"/>
        </w:rPr>
        <w:t>新型冠状病毒感染肺炎疫情防控应急补助资金项目评价</w:t>
      </w:r>
    </w:p>
    <w:p>
      <w:pPr>
        <w:spacing w:line="360" w:lineRule="auto"/>
        <w:ind w:firstLine="600" w:firstLineChars="200"/>
        <w:jc w:val="center"/>
        <w:rPr>
          <w:color w:val="auto"/>
        </w:rPr>
      </w:pPr>
      <w:r>
        <w:rPr>
          <w:rFonts w:hint="eastAsia"/>
          <w:color w:val="auto"/>
        </w:rPr>
        <w:t>得分情况</w:t>
      </w:r>
    </w:p>
    <w:tbl>
      <w:tblPr>
        <w:tblStyle w:val="6"/>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r>
    </w:tbl>
    <w:p>
      <w:pPr>
        <w:pStyle w:val="3"/>
        <w:spacing w:line="360" w:lineRule="auto"/>
        <w:rPr>
          <w:rFonts w:ascii="仿宋_GB2312" w:eastAsia="仿宋_GB2312"/>
          <w:b w:val="0"/>
          <w:bCs w:val="0"/>
        </w:rPr>
      </w:pPr>
      <w:bookmarkStart w:id="9" w:name="_Toc68703836"/>
      <w:r>
        <w:rPr>
          <w:rFonts w:hint="eastAsia" w:ascii="仿宋_GB2312" w:eastAsia="仿宋_GB2312"/>
          <w:b w:val="0"/>
          <w:bCs w:val="0"/>
        </w:rPr>
        <w:t>（二）评价结论</w:t>
      </w:r>
      <w:bookmarkEnd w:id="9"/>
    </w:p>
    <w:p>
      <w:pPr>
        <w:spacing w:line="360" w:lineRule="auto"/>
        <w:ind w:firstLine="600" w:firstLineChars="200"/>
        <w:rPr>
          <w:color w:val="auto"/>
        </w:rPr>
      </w:pPr>
      <w:r>
        <w:rPr>
          <w:rFonts w:hint="eastAsia"/>
          <w:color w:val="auto"/>
        </w:rPr>
        <w:t>本项目的项目决策、项目过程、项目产出、项目效益均达到了预期要求，最终得分为100分。</w:t>
      </w:r>
    </w:p>
    <w:p>
      <w:pPr>
        <w:spacing w:line="360" w:lineRule="auto"/>
        <w:ind w:firstLine="600" w:firstLineChars="200"/>
        <w:rPr>
          <w:color w:val="auto"/>
        </w:rPr>
      </w:pPr>
    </w:p>
    <w:p>
      <w:pPr>
        <w:pStyle w:val="2"/>
        <w:spacing w:line="360" w:lineRule="auto"/>
        <w:rPr>
          <w:rFonts w:ascii="宋体" w:hAnsi="宋体" w:eastAsia="宋体"/>
          <w:sz w:val="32"/>
          <w:szCs w:val="32"/>
        </w:rPr>
      </w:pPr>
      <w:bookmarkStart w:id="10" w:name="_Toc68703837"/>
      <w:r>
        <w:rPr>
          <w:rFonts w:hint="eastAsia" w:ascii="宋体" w:hAnsi="宋体" w:eastAsia="宋体"/>
          <w:sz w:val="32"/>
          <w:szCs w:val="32"/>
        </w:rPr>
        <w:t>四、绩效评价指标分析</w:t>
      </w:r>
      <w:bookmarkEnd w:id="10"/>
    </w:p>
    <w:p>
      <w:pPr>
        <w:pStyle w:val="3"/>
        <w:spacing w:line="360" w:lineRule="auto"/>
        <w:rPr>
          <w:rFonts w:ascii="仿宋_GB2312" w:eastAsia="仿宋_GB2312"/>
          <w:b w:val="0"/>
          <w:bCs w:val="0"/>
        </w:rPr>
      </w:pPr>
      <w:bookmarkStart w:id="11" w:name="_Toc68703838"/>
      <w:r>
        <w:rPr>
          <w:rFonts w:hint="eastAsia" w:ascii="仿宋_GB2312" w:eastAsia="仿宋_GB2312"/>
          <w:b w:val="0"/>
          <w:bCs w:val="0"/>
        </w:rPr>
        <w:t>（一）项目决策情况。</w:t>
      </w:r>
      <w:bookmarkEnd w:id="11"/>
    </w:p>
    <w:p>
      <w:pPr>
        <w:spacing w:line="360" w:lineRule="auto"/>
      </w:pPr>
      <w:r>
        <w:rPr>
          <w:rFonts w:hint="eastAsia"/>
        </w:rPr>
        <w:t>1、立项依据充分性</w:t>
      </w:r>
    </w:p>
    <w:p>
      <w:pPr>
        <w:spacing w:line="360" w:lineRule="auto"/>
        <w:ind w:firstLine="900" w:firstLineChars="300"/>
        <w:rPr>
          <w:color w:val="FF0000"/>
        </w:rPr>
      </w:pPr>
      <w:r>
        <w:rPr>
          <w:rFonts w:hint="eastAsia"/>
          <w:color w:val="auto"/>
        </w:rPr>
        <w:t>项目立项依据</w:t>
      </w:r>
      <w:r>
        <w:rPr>
          <w:rFonts w:hint="eastAsia"/>
          <w:color w:val="auto"/>
          <w:lang w:eastAsia="zh-CN"/>
        </w:rPr>
        <w:t>《</w:t>
      </w:r>
      <w:r>
        <w:rPr>
          <w:rFonts w:hint="eastAsia"/>
          <w:color w:val="auto"/>
          <w:lang w:val="en-US" w:eastAsia="zh-CN"/>
        </w:rPr>
        <w:t>自治区财政资金使用跟踪反馈管理暂行办法</w:t>
      </w:r>
      <w:r>
        <w:rPr>
          <w:rFonts w:hint="eastAsia"/>
          <w:color w:val="auto"/>
          <w:lang w:eastAsia="zh-CN"/>
        </w:rPr>
        <w:t>》（</w:t>
      </w:r>
      <w:r>
        <w:rPr>
          <w:rFonts w:hint="eastAsia"/>
          <w:color w:val="auto"/>
          <w:lang w:val="en-US" w:eastAsia="zh-CN"/>
        </w:rPr>
        <w:t>新财规【2016】113号</w:t>
      </w:r>
      <w:r>
        <w:rPr>
          <w:rFonts w:hint="eastAsia"/>
          <w:color w:val="auto"/>
          <w:lang w:eastAsia="zh-CN"/>
        </w:rPr>
        <w:t>）</w:t>
      </w:r>
      <w:r>
        <w:rPr>
          <w:rFonts w:hint="eastAsia"/>
          <w:color w:val="auto"/>
          <w:lang w:val="en-US" w:eastAsia="zh-CN"/>
        </w:rPr>
        <w:t>规定</w:t>
      </w:r>
      <w:r>
        <w:rPr>
          <w:rFonts w:hint="eastAsia"/>
          <w:color w:val="auto"/>
        </w:rPr>
        <w:t>；项目立项符合行业发展规划和政策要求；项目立项与部门职责范围相符，属于部门履职所需；项目属于公共财政支持范围，符合中央、地方事权支出责任划分原则；项目</w:t>
      </w:r>
      <w:r>
        <w:rPr>
          <w:rFonts w:hint="eastAsia"/>
          <w:color w:val="auto"/>
          <w:lang w:val="en-US" w:eastAsia="zh-CN"/>
        </w:rPr>
        <w:t>不</w:t>
      </w:r>
      <w:r>
        <w:rPr>
          <w:rFonts w:hint="eastAsia"/>
          <w:color w:val="auto"/>
        </w:rPr>
        <w:t>与相关部门同类项目或部门内部相关项目重复。</w:t>
      </w:r>
    </w:p>
    <w:p>
      <w:pPr>
        <w:spacing w:line="360" w:lineRule="auto"/>
      </w:pPr>
      <w:r>
        <w:rPr>
          <w:rFonts w:hint="eastAsia"/>
        </w:rPr>
        <w:t>2、立项程序规范性</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项目按照规定的程序申请设立；审批文件、材料符合相关要求；</w:t>
      </w:r>
    </w:p>
    <w:p>
      <w:pPr>
        <w:spacing w:line="360" w:lineRule="auto"/>
        <w:rPr>
          <w:rFonts w:hint="eastAsia"/>
          <w:color w:val="auto"/>
        </w:rPr>
      </w:pPr>
      <w:r>
        <w:rPr>
          <w:rFonts w:hint="eastAsia"/>
          <w:color w:val="auto"/>
        </w:rPr>
        <w:t>事前已经过必要的可行性研究、专家论证、风险评估、绩效评估、集体决策。</w:t>
      </w:r>
    </w:p>
    <w:p>
      <w:pPr>
        <w:spacing w:line="360" w:lineRule="auto"/>
      </w:pPr>
      <w:r>
        <w:rPr>
          <w:rFonts w:hint="eastAsia"/>
        </w:rPr>
        <w:t>3、绩效目标合理性</w:t>
      </w:r>
    </w:p>
    <w:p>
      <w:pPr>
        <w:spacing w:line="360" w:lineRule="auto"/>
        <w:ind w:firstLine="600" w:firstLineChars="200"/>
        <w:rPr>
          <w:color w:val="auto"/>
        </w:rPr>
      </w:pPr>
      <w:r>
        <w:rPr>
          <w:rFonts w:hint="eastAsia"/>
          <w:color w:val="auto"/>
        </w:rPr>
        <w:t>新型冠状病毒感染肺炎疫情防控应急补助资金项目设立了项目绩效目标，与</w:t>
      </w:r>
      <w:r>
        <w:rPr>
          <w:rFonts w:hint="eastAsia"/>
          <w:color w:val="auto"/>
          <w:lang w:val="en-US" w:eastAsia="zh-CN"/>
        </w:rPr>
        <w:t>满足特克斯县核酸检测工作需求</w:t>
      </w:r>
      <w:r>
        <w:rPr>
          <w:rFonts w:hint="eastAsia"/>
          <w:color w:val="auto"/>
        </w:rPr>
        <w:t>具有相关性，项目的预期产出效益和效果也均能符合正常的业绩水平，并且与预算确定的项目投资额或资金量相匹配。</w:t>
      </w:r>
    </w:p>
    <w:p>
      <w:pPr>
        <w:spacing w:line="360" w:lineRule="auto"/>
      </w:pPr>
      <w:r>
        <w:rPr>
          <w:rFonts w:hint="eastAsia"/>
        </w:rPr>
        <w:t>4、绩效指标明确性</w:t>
      </w:r>
    </w:p>
    <w:p>
      <w:pPr>
        <w:spacing w:line="360" w:lineRule="auto"/>
        <w:ind w:firstLine="600" w:firstLineChars="200"/>
        <w:rPr>
          <w:color w:val="auto"/>
        </w:rPr>
      </w:pPr>
      <w:bookmarkStart w:id="12" w:name="_Hlk68699917"/>
      <w:r>
        <w:rPr>
          <w:rFonts w:hint="eastAsia"/>
          <w:color w:val="auto"/>
        </w:rPr>
        <w:t>新</w:t>
      </w:r>
      <w:r>
        <w:rPr>
          <w:rFonts w:hint="eastAsia"/>
          <w:color w:val="auto"/>
        </w:rPr>
        <w:t>型冠状病毒感染肺炎疫情防控应急补助资金项目将项目绩效目标细化分解为具体的绩效指标，一级指标共</w:t>
      </w:r>
      <w:r>
        <w:rPr>
          <w:rFonts w:hint="eastAsia"/>
          <w:color w:val="auto"/>
          <w:lang w:val="en-US" w:eastAsia="zh-CN"/>
        </w:rPr>
        <w:t>3</w:t>
      </w:r>
      <w:r>
        <w:rPr>
          <w:rFonts w:hint="eastAsia"/>
          <w:color w:val="auto"/>
        </w:rPr>
        <w:t>条，二级指标共</w:t>
      </w:r>
      <w:r>
        <w:rPr>
          <w:rFonts w:hint="eastAsia"/>
          <w:color w:val="auto"/>
          <w:lang w:val="en-US" w:eastAsia="zh-CN"/>
        </w:rPr>
        <w:t>7</w:t>
      </w:r>
      <w:r>
        <w:rPr>
          <w:rFonts w:hint="eastAsia"/>
          <w:color w:val="auto"/>
        </w:rPr>
        <w:t>条，三级指标共</w:t>
      </w:r>
      <w:r>
        <w:rPr>
          <w:rFonts w:hint="eastAsia"/>
          <w:color w:val="auto"/>
          <w:lang w:val="en-US" w:eastAsia="zh-CN"/>
        </w:rPr>
        <w:t>7</w:t>
      </w:r>
      <w:r>
        <w:rPr>
          <w:rFonts w:hint="eastAsia"/>
          <w:color w:val="auto"/>
        </w:rPr>
        <w:t>条，其中量化指标条数共</w:t>
      </w:r>
      <w:r>
        <w:rPr>
          <w:rFonts w:hint="eastAsia"/>
          <w:color w:val="auto"/>
          <w:lang w:val="en-US" w:eastAsia="zh-CN"/>
        </w:rPr>
        <w:t>5</w:t>
      </w:r>
      <w:r>
        <w:rPr>
          <w:rFonts w:hint="eastAsia"/>
          <w:color w:val="auto"/>
        </w:rPr>
        <w:t>条，所有绩效指标均通过清晰、可衡量的指标值予以体现，并且做到了与项目目标任务数或计划数相对应。</w:t>
      </w:r>
      <w:bookmarkEnd w:id="12"/>
    </w:p>
    <w:p>
      <w:pPr>
        <w:spacing w:line="360" w:lineRule="auto"/>
      </w:pPr>
      <w:r>
        <w:rPr>
          <w:rFonts w:hint="eastAsia"/>
        </w:rPr>
        <w:t>5、预算编制科学性</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color w:val="auto"/>
        </w:rPr>
      </w:pPr>
      <w:r>
        <w:rPr>
          <w:rFonts w:hint="eastAsia"/>
          <w:color w:val="auto"/>
        </w:rPr>
        <w:t>项目预算编制经过科学论证；预算内容与项目内容匹配；预算额度测算依据充分，按照标准编制；预算确定的项目资金量与工作任务相匹配。</w:t>
      </w:r>
    </w:p>
    <w:p>
      <w:pPr>
        <w:spacing w:line="360" w:lineRule="auto"/>
      </w:pPr>
      <w:r>
        <w:rPr>
          <w:rFonts w:hint="eastAsia"/>
        </w:rPr>
        <w:t>6、资金分配合理性</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项目预算资金分配依据充分；资金分配额度合理，与项目单位</w:t>
      </w:r>
      <w:r>
        <w:rPr>
          <w:rFonts w:hint="eastAsia"/>
          <w:color w:val="auto"/>
          <w:lang w:val="en-US" w:eastAsia="zh-CN"/>
        </w:rPr>
        <w:t>及</w:t>
      </w:r>
      <w:r>
        <w:rPr>
          <w:rFonts w:hint="eastAsia"/>
          <w:color w:val="auto"/>
        </w:rPr>
        <w:t>地方实际相适应。</w:t>
      </w:r>
    </w:p>
    <w:p>
      <w:pPr>
        <w:pStyle w:val="3"/>
        <w:spacing w:line="360" w:lineRule="auto"/>
        <w:rPr>
          <w:rFonts w:ascii="仿宋_GB2312" w:eastAsia="仿宋_GB2312"/>
          <w:b w:val="0"/>
          <w:bCs w:val="0"/>
        </w:rPr>
      </w:pPr>
      <w:bookmarkStart w:id="13" w:name="_Toc68703839"/>
      <w:r>
        <w:rPr>
          <w:rFonts w:hint="eastAsia" w:ascii="仿宋_GB2312" w:eastAsia="仿宋_GB2312"/>
          <w:b w:val="0"/>
          <w:bCs w:val="0"/>
        </w:rPr>
        <w:t>（二）项目过程情况。</w:t>
      </w:r>
      <w:bookmarkEnd w:id="13"/>
    </w:p>
    <w:p>
      <w:pPr>
        <w:spacing w:line="360" w:lineRule="auto"/>
      </w:pPr>
      <w:r>
        <w:rPr>
          <w:rFonts w:hint="eastAsia"/>
        </w:rPr>
        <w:t>1、资金到位率：</w:t>
      </w:r>
    </w:p>
    <w:p>
      <w:pPr>
        <w:spacing w:line="360" w:lineRule="auto"/>
        <w:ind w:firstLine="600" w:firstLineChars="200"/>
        <w:rPr>
          <w:color w:val="auto"/>
        </w:rPr>
      </w:pPr>
      <w:r>
        <w:rPr>
          <w:rFonts w:hint="eastAsia"/>
          <w:color w:val="auto"/>
        </w:rPr>
        <w:t>预算资金</w:t>
      </w:r>
      <w:r>
        <w:rPr>
          <w:rFonts w:hint="eastAsia"/>
          <w:color w:val="auto"/>
          <w:lang w:val="en-US" w:eastAsia="zh-CN"/>
        </w:rPr>
        <w:t>105</w:t>
      </w:r>
      <w:r>
        <w:rPr>
          <w:rFonts w:hint="eastAsia"/>
          <w:color w:val="auto"/>
        </w:rPr>
        <w:t>万元，实际到位资金</w:t>
      </w:r>
      <w:r>
        <w:rPr>
          <w:rFonts w:hint="eastAsia"/>
          <w:color w:val="auto"/>
          <w:lang w:val="en-US" w:eastAsia="zh-CN"/>
        </w:rPr>
        <w:t>105</w:t>
      </w:r>
      <w:r>
        <w:rPr>
          <w:rFonts w:hint="eastAsia"/>
          <w:color w:val="auto"/>
        </w:rPr>
        <w:t>万元，资金到位率</w:t>
      </w:r>
      <w:r>
        <w:rPr>
          <w:rFonts w:hint="eastAsia"/>
          <w:color w:val="auto"/>
          <w:lang w:val="en-US" w:eastAsia="zh-CN"/>
        </w:rPr>
        <w:t>100</w:t>
      </w:r>
      <w:r>
        <w:rPr>
          <w:rFonts w:hint="eastAsia"/>
          <w:color w:val="auto"/>
        </w:rPr>
        <w:t>%。</w:t>
      </w:r>
    </w:p>
    <w:p>
      <w:pPr>
        <w:spacing w:line="360" w:lineRule="auto"/>
        <w:rPr>
          <w:color w:val="auto"/>
        </w:rPr>
      </w:pPr>
      <w:r>
        <w:rPr>
          <w:rFonts w:hint="eastAsia"/>
          <w:color w:val="auto"/>
        </w:rPr>
        <w:t>2、预算执行率</w:t>
      </w:r>
    </w:p>
    <w:p>
      <w:pPr>
        <w:spacing w:line="360" w:lineRule="auto"/>
        <w:ind w:firstLine="600" w:firstLineChars="200"/>
        <w:rPr>
          <w:color w:val="auto"/>
        </w:rPr>
      </w:pPr>
      <w:r>
        <w:rPr>
          <w:rFonts w:hint="eastAsia"/>
          <w:color w:val="auto"/>
        </w:rPr>
        <w:t>年初预算数</w:t>
      </w:r>
      <w:r>
        <w:rPr>
          <w:rFonts w:hint="eastAsia"/>
          <w:color w:val="auto"/>
          <w:lang w:val="en-US" w:eastAsia="zh-CN"/>
        </w:rPr>
        <w:t>105</w:t>
      </w:r>
      <w:r>
        <w:rPr>
          <w:rFonts w:hint="eastAsia"/>
          <w:color w:val="auto"/>
        </w:rPr>
        <w:t>万元，全年预算数</w:t>
      </w:r>
      <w:r>
        <w:rPr>
          <w:rFonts w:hint="eastAsia"/>
          <w:color w:val="auto"/>
          <w:lang w:val="en-US" w:eastAsia="zh-CN"/>
        </w:rPr>
        <w:t>105</w:t>
      </w:r>
      <w:r>
        <w:rPr>
          <w:rFonts w:hint="eastAsia"/>
          <w:color w:val="auto"/>
        </w:rPr>
        <w:t>万元，全年执行数</w:t>
      </w:r>
      <w:r>
        <w:rPr>
          <w:rFonts w:hint="eastAsia"/>
          <w:color w:val="auto"/>
          <w:lang w:val="en-US" w:eastAsia="zh-CN"/>
        </w:rPr>
        <w:t>105</w:t>
      </w:r>
      <w:r>
        <w:rPr>
          <w:rFonts w:hint="eastAsia"/>
          <w:color w:val="auto"/>
        </w:rPr>
        <w:t>万元，预算执行率为</w:t>
      </w:r>
      <w:r>
        <w:rPr>
          <w:rFonts w:hint="eastAsia"/>
          <w:color w:val="auto"/>
          <w:lang w:val="en-US" w:eastAsia="zh-CN"/>
        </w:rPr>
        <w:t>100</w:t>
      </w:r>
      <w:r>
        <w:rPr>
          <w:rFonts w:hint="eastAsia"/>
          <w:color w:val="auto"/>
        </w:rPr>
        <w:t>%</w:t>
      </w:r>
    </w:p>
    <w:p>
      <w:pPr>
        <w:spacing w:line="360" w:lineRule="auto"/>
        <w:rPr>
          <w:color w:val="auto"/>
        </w:rPr>
      </w:pPr>
      <w:r>
        <w:rPr>
          <w:rFonts w:hint="eastAsia"/>
          <w:color w:val="auto"/>
        </w:rPr>
        <w:t>3、资金使用合规性</w:t>
      </w:r>
    </w:p>
    <w:p>
      <w:pPr>
        <w:spacing w:line="360" w:lineRule="auto"/>
        <w:ind w:firstLine="600" w:firstLineChars="200"/>
        <w:rPr>
          <w:color w:val="FF0000"/>
        </w:rPr>
      </w:pPr>
      <w:r>
        <w:rPr>
          <w:rFonts w:hint="eastAsia"/>
          <w:color w:val="auto"/>
        </w:rPr>
        <w:t>符合国家财经法规和财务管理制度以及有关专项资金管理办法的规定；资金的拨付有完整的审批程序和手续；</w:t>
      </w:r>
      <w:r>
        <w:rPr>
          <w:rFonts w:hint="eastAsia"/>
          <w:color w:val="auto"/>
          <w:lang w:val="en-US" w:eastAsia="zh-CN"/>
        </w:rPr>
        <w:t>资金使用</w:t>
      </w:r>
      <w:r>
        <w:rPr>
          <w:rFonts w:hint="eastAsia"/>
          <w:color w:val="auto"/>
        </w:rPr>
        <w:t>符合项目预算批复或合同规定的用途；</w:t>
      </w:r>
      <w:r>
        <w:rPr>
          <w:rFonts w:hint="eastAsia"/>
          <w:color w:val="auto"/>
          <w:lang w:val="en-US" w:eastAsia="zh-CN"/>
        </w:rPr>
        <w:t>不</w:t>
      </w:r>
      <w:r>
        <w:rPr>
          <w:rFonts w:hint="eastAsia"/>
          <w:color w:val="auto"/>
        </w:rPr>
        <w:t>存在截留、挤占、挪用、虚列支出等情况。</w:t>
      </w:r>
    </w:p>
    <w:p>
      <w:pPr>
        <w:spacing w:line="360" w:lineRule="auto"/>
      </w:pPr>
      <w:r>
        <w:rPr>
          <w:rFonts w:hint="eastAsia"/>
        </w:rPr>
        <w:t>4、管理制度健全性</w:t>
      </w:r>
    </w:p>
    <w:p>
      <w:pPr>
        <w:spacing w:line="360" w:lineRule="auto"/>
        <w:ind w:firstLine="600" w:firstLineChars="200"/>
        <w:rPr>
          <w:color w:val="FF0000"/>
        </w:rPr>
      </w:pPr>
      <w:r>
        <w:rPr>
          <w:rFonts w:hint="eastAsia"/>
          <w:color w:val="auto"/>
        </w:rPr>
        <w:t>已制定或具有相应的财务和业务管理制度；财务和业务管理制度合法、合规、完整</w:t>
      </w:r>
    </w:p>
    <w:p>
      <w:pPr>
        <w:spacing w:line="360" w:lineRule="auto"/>
      </w:pPr>
      <w:r>
        <w:rPr>
          <w:rFonts w:hint="eastAsia"/>
        </w:rPr>
        <w:t>5、制度执行有效性</w:t>
      </w:r>
    </w:p>
    <w:p>
      <w:pPr>
        <w:spacing w:line="360" w:lineRule="auto"/>
        <w:ind w:firstLine="600" w:firstLineChars="200"/>
        <w:rPr>
          <w:color w:val="FF0000"/>
        </w:rPr>
      </w:pPr>
      <w:r>
        <w:rPr>
          <w:rFonts w:hint="eastAsia"/>
          <w:color w:val="auto"/>
        </w:rPr>
        <w:t>遵守相关法律法规和相关管理规定；项目调整及支出调整手续完备；项目合同书、验收报告、技术鉴定等资料齐全并及时归档；项目实施的人员条件、场地设备、信息支撑等落实到位。</w:t>
      </w:r>
    </w:p>
    <w:p>
      <w:pPr>
        <w:pStyle w:val="3"/>
        <w:spacing w:line="360" w:lineRule="auto"/>
        <w:rPr>
          <w:rFonts w:ascii="仿宋_GB2312" w:eastAsia="仿宋_GB2312"/>
          <w:b w:val="0"/>
          <w:bCs w:val="0"/>
        </w:rPr>
      </w:pPr>
      <w:bookmarkStart w:id="14" w:name="_Toc68703840"/>
      <w:r>
        <w:rPr>
          <w:rFonts w:hint="eastAsia" w:ascii="仿宋_GB2312" w:eastAsia="仿宋_GB2312"/>
          <w:b w:val="0"/>
          <w:bCs w:val="0"/>
        </w:rPr>
        <w:t>（三）项目产出情况。</w:t>
      </w:r>
      <w:bookmarkEnd w:id="14"/>
    </w:p>
    <w:p>
      <w:pPr>
        <w:spacing w:line="360" w:lineRule="auto"/>
        <w:ind w:firstLine="600" w:firstLineChars="200"/>
        <w:rPr>
          <w:rFonts w:hint="eastAsia" w:eastAsia="仿宋_GB2312"/>
          <w:color w:val="auto"/>
          <w:lang w:eastAsia="zh-CN"/>
        </w:rPr>
      </w:pPr>
      <w:r>
        <w:rPr>
          <w:rFonts w:hint="eastAsia"/>
          <w:color w:val="auto"/>
        </w:rPr>
        <w:t>1、数量指标：指标1：采购核酸检测试剂数量，指标值：≥65625支，实际完成值65625支，指标完成率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rFonts w:hint="eastAsia" w:eastAsia="仿宋_GB2312"/>
          <w:color w:val="auto"/>
          <w:lang w:eastAsia="zh-CN"/>
        </w:rPr>
      </w:pPr>
      <w:r>
        <w:rPr>
          <w:color w:val="auto"/>
        </w:rPr>
        <w:t>2</w:t>
      </w:r>
      <w:r>
        <w:rPr>
          <w:rFonts w:hint="eastAsia"/>
          <w:color w:val="auto"/>
        </w:rPr>
        <w:t>、质量指标：指标1：核酸检测试剂质量合格率，指标值：</w:t>
      </w:r>
      <w:r>
        <w:rPr>
          <w:rFonts w:hint="eastAsia"/>
          <w:color w:val="auto"/>
          <w:lang w:val="en-US" w:eastAsia="zh-CN"/>
        </w:rPr>
        <w:t>100%</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rFonts w:hint="eastAsia" w:eastAsia="仿宋_GB2312"/>
          <w:color w:val="auto"/>
          <w:lang w:eastAsia="zh-CN"/>
        </w:rPr>
      </w:pPr>
      <w:r>
        <w:rPr>
          <w:rFonts w:hint="eastAsia"/>
          <w:color w:val="auto"/>
        </w:rPr>
        <w:t>3、时效指标：指标1：购买核酸检测试剂及时性</w:t>
      </w:r>
      <w:r>
        <w:rPr>
          <w:rFonts w:hint="eastAsia"/>
          <w:color w:val="auto"/>
          <w:lang w:eastAsia="zh-CN"/>
        </w:rPr>
        <w:t>，</w:t>
      </w:r>
      <w:r>
        <w:rPr>
          <w:rFonts w:hint="eastAsia"/>
          <w:color w:val="auto"/>
        </w:rPr>
        <w:t>指标值：</w:t>
      </w:r>
      <w:r>
        <w:rPr>
          <w:rFonts w:hint="eastAsia"/>
          <w:color w:val="auto"/>
          <w:lang w:val="en-US" w:eastAsia="zh-CN"/>
        </w:rPr>
        <w:t>100%</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rFonts w:hint="eastAsia"/>
          <w:color w:val="auto"/>
        </w:rPr>
      </w:pPr>
      <w:r>
        <w:rPr>
          <w:rFonts w:hint="eastAsia"/>
          <w:color w:val="auto"/>
        </w:rPr>
        <w:t>4、成本指标</w:t>
      </w:r>
      <w:r>
        <w:rPr>
          <w:rFonts w:hint="eastAsia"/>
          <w:color w:val="auto"/>
          <w:lang w:eastAsia="zh-CN"/>
        </w:rPr>
        <w:t>：</w:t>
      </w:r>
      <w:r>
        <w:rPr>
          <w:rFonts w:hint="eastAsia"/>
          <w:color w:val="auto"/>
        </w:rPr>
        <w:t>指标1：核酸检测采购成本</w:t>
      </w:r>
      <w:r>
        <w:rPr>
          <w:rFonts w:hint="eastAsia"/>
          <w:color w:val="auto"/>
          <w:lang w:eastAsia="zh-CN"/>
        </w:rPr>
        <w:t>，</w:t>
      </w:r>
      <w:r>
        <w:rPr>
          <w:rFonts w:hint="eastAsia"/>
          <w:color w:val="auto"/>
        </w:rPr>
        <w:t>指标值：</w:t>
      </w:r>
      <w:r>
        <w:rPr>
          <w:rFonts w:hint="eastAsia"/>
          <w:color w:val="auto"/>
          <w:lang w:val="en-US" w:eastAsia="zh-CN"/>
        </w:rPr>
        <w:t>≤16元/支</w:t>
      </w:r>
      <w:r>
        <w:rPr>
          <w:rFonts w:hint="eastAsia"/>
          <w:color w:val="auto"/>
        </w:rPr>
        <w:t>，实际完成值</w:t>
      </w:r>
      <w:r>
        <w:rPr>
          <w:rFonts w:hint="eastAsia"/>
          <w:color w:val="auto"/>
          <w:lang w:val="en-US" w:eastAsia="zh-CN"/>
        </w:rPr>
        <w:t>16元/支</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pStyle w:val="3"/>
        <w:spacing w:line="360" w:lineRule="auto"/>
        <w:rPr>
          <w:rFonts w:ascii="仿宋_GB2312" w:eastAsia="仿宋_GB2312"/>
          <w:b w:val="0"/>
          <w:bCs w:val="0"/>
          <w:color w:val="auto"/>
        </w:rPr>
      </w:pPr>
      <w:bookmarkStart w:id="15" w:name="_Toc68703841"/>
      <w:r>
        <w:rPr>
          <w:rFonts w:hint="eastAsia" w:ascii="仿宋_GB2312" w:eastAsia="仿宋_GB2312"/>
          <w:b w:val="0"/>
          <w:bCs w:val="0"/>
          <w:color w:val="auto"/>
        </w:rPr>
        <w:t>（四）项目效益情况。</w:t>
      </w:r>
      <w:bookmarkEnd w:id="15"/>
    </w:p>
    <w:p>
      <w:pPr>
        <w:spacing w:line="360" w:lineRule="auto"/>
        <w:ind w:firstLine="600" w:firstLineChars="200"/>
        <w:rPr>
          <w:rFonts w:hint="eastAsia" w:eastAsia="仿宋_GB2312"/>
          <w:color w:val="auto"/>
          <w:lang w:eastAsia="zh-CN"/>
        </w:rPr>
      </w:pPr>
      <w:r>
        <w:rPr>
          <w:rFonts w:hint="eastAsia"/>
          <w:color w:val="auto"/>
          <w:lang w:val="en-US" w:eastAsia="zh-CN"/>
        </w:rPr>
        <w:t>1</w:t>
      </w:r>
      <w:r>
        <w:rPr>
          <w:rFonts w:hint="eastAsia"/>
          <w:color w:val="auto"/>
        </w:rPr>
        <w:t>、社会效益指标：指标1：提高疾病预防控制水平</w:t>
      </w:r>
      <w:r>
        <w:rPr>
          <w:rFonts w:hint="eastAsia"/>
          <w:color w:val="auto"/>
          <w:lang w:eastAsia="zh-CN"/>
        </w:rPr>
        <w:t>，</w:t>
      </w:r>
      <w:r>
        <w:rPr>
          <w:rFonts w:hint="eastAsia"/>
          <w:color w:val="auto"/>
        </w:rPr>
        <w:t>指标值：</w:t>
      </w:r>
      <w:r>
        <w:rPr>
          <w:rFonts w:hint="eastAsia"/>
          <w:color w:val="auto"/>
          <w:lang w:val="en-US" w:eastAsia="zh-CN"/>
        </w:rPr>
        <w:t>显著提升，</w:t>
      </w:r>
      <w:r>
        <w:rPr>
          <w:rFonts w:hint="eastAsia"/>
          <w:color w:val="auto"/>
        </w:rPr>
        <w:t>实际完成值</w:t>
      </w:r>
      <w:r>
        <w:rPr>
          <w:rFonts w:hint="eastAsia"/>
          <w:color w:val="auto"/>
          <w:lang w:eastAsia="zh-CN"/>
        </w:rPr>
        <w:t>：</w:t>
      </w:r>
      <w:r>
        <w:rPr>
          <w:rFonts w:hint="eastAsia"/>
          <w:color w:val="auto"/>
          <w:lang w:val="en-US" w:eastAsia="zh-CN"/>
        </w:rPr>
        <w:t>显著提升，</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2</w:t>
      </w:r>
      <w:r>
        <w:rPr>
          <w:rFonts w:hint="eastAsia"/>
          <w:color w:val="auto"/>
        </w:rPr>
        <w:t>：提高医疗检测检验能力</w:t>
      </w:r>
      <w:r>
        <w:rPr>
          <w:rFonts w:hint="eastAsia"/>
          <w:color w:val="auto"/>
          <w:lang w:eastAsia="zh-CN"/>
        </w:rPr>
        <w:t>，</w:t>
      </w:r>
      <w:r>
        <w:rPr>
          <w:rFonts w:hint="eastAsia"/>
          <w:color w:val="auto"/>
        </w:rPr>
        <w:t>指标值：</w:t>
      </w:r>
      <w:r>
        <w:rPr>
          <w:rFonts w:hint="eastAsia"/>
          <w:color w:val="auto"/>
          <w:lang w:val="en-US" w:eastAsia="zh-CN"/>
        </w:rPr>
        <w:t>显著提升，</w:t>
      </w:r>
      <w:r>
        <w:rPr>
          <w:rFonts w:hint="eastAsia"/>
          <w:color w:val="auto"/>
        </w:rPr>
        <w:t>实际完成值</w:t>
      </w:r>
      <w:r>
        <w:rPr>
          <w:rFonts w:hint="eastAsia"/>
          <w:color w:val="auto"/>
          <w:lang w:eastAsia="zh-CN"/>
        </w:rPr>
        <w:t>：</w:t>
      </w:r>
      <w:r>
        <w:rPr>
          <w:rFonts w:hint="eastAsia"/>
          <w:color w:val="auto"/>
          <w:lang w:val="en-US" w:eastAsia="zh-CN"/>
        </w:rPr>
        <w:t>显著提升，</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rFonts w:hint="eastAsia"/>
          <w:color w:val="auto"/>
          <w:lang w:eastAsia="zh-CN"/>
        </w:rPr>
      </w:pPr>
      <w:r>
        <w:rPr>
          <w:rFonts w:hint="eastAsia"/>
          <w:color w:val="auto"/>
        </w:rPr>
        <w:t>5、满意度指标：指标1：检验人员满意度</w:t>
      </w:r>
      <w:r>
        <w:rPr>
          <w:rFonts w:hint="eastAsia"/>
          <w:color w:val="auto"/>
          <w:lang w:eastAsia="zh-CN"/>
        </w:rPr>
        <w:t>，</w:t>
      </w:r>
      <w:r>
        <w:rPr>
          <w:rFonts w:hint="eastAsia"/>
          <w:color w:val="auto"/>
        </w:rPr>
        <w:t>指标值：</w:t>
      </w:r>
      <w:r>
        <w:rPr>
          <w:rFonts w:hint="eastAsia"/>
          <w:color w:val="auto"/>
          <w:lang w:val="en-US" w:eastAsia="zh-CN"/>
        </w:rPr>
        <w:t>≥85%，</w:t>
      </w:r>
      <w:r>
        <w:rPr>
          <w:rFonts w:hint="eastAsia"/>
          <w:color w:val="auto"/>
        </w:rPr>
        <w:t>实际完成值</w:t>
      </w:r>
      <w:r>
        <w:rPr>
          <w:rFonts w:hint="eastAsia"/>
          <w:color w:val="auto"/>
          <w:lang w:eastAsia="zh-CN"/>
        </w:rPr>
        <w:t>：</w:t>
      </w:r>
      <w:r>
        <w:rPr>
          <w:rFonts w:hint="eastAsia"/>
          <w:color w:val="auto"/>
          <w:lang w:val="en-US" w:eastAsia="zh-CN"/>
        </w:rPr>
        <w:t>85%，</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bookmarkStart w:id="16" w:name="_Toc68703842"/>
    </w:p>
    <w:p>
      <w:pPr>
        <w:spacing w:line="360" w:lineRule="auto"/>
        <w:ind w:firstLine="640" w:firstLineChars="200"/>
        <w:rPr>
          <w:rFonts w:ascii="宋体" w:hAnsi="宋体" w:eastAsia="宋体"/>
          <w:sz w:val="32"/>
          <w:szCs w:val="32"/>
        </w:rPr>
      </w:pPr>
      <w:r>
        <w:rPr>
          <w:rFonts w:hint="eastAsia" w:ascii="宋体" w:hAnsi="宋体" w:eastAsia="宋体"/>
          <w:sz w:val="32"/>
          <w:szCs w:val="32"/>
        </w:rPr>
        <w:t>五、主要经验及做法、存在的问题及原因分析</w:t>
      </w:r>
      <w:bookmarkEnd w:id="16"/>
    </w:p>
    <w:p>
      <w:pPr>
        <w:pStyle w:val="3"/>
        <w:spacing w:line="360" w:lineRule="auto"/>
        <w:rPr>
          <w:rFonts w:ascii="仿宋_GB2312" w:eastAsia="仿宋_GB2312"/>
          <w:b w:val="0"/>
          <w:bCs w:val="0"/>
        </w:rPr>
      </w:pPr>
      <w:bookmarkStart w:id="17" w:name="_Toc68703843"/>
      <w:r>
        <w:rPr>
          <w:rFonts w:hint="eastAsia" w:ascii="仿宋_GB2312" w:eastAsia="仿宋_GB2312"/>
          <w:b w:val="0"/>
          <w:bCs w:val="0"/>
        </w:rPr>
        <w:t>（一）主要经验及做法</w:t>
      </w:r>
      <w:bookmarkEnd w:id="17"/>
    </w:p>
    <w:p>
      <w:pPr>
        <w:pStyle w:val="3"/>
        <w:pageBreakBefore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eastAsia="仿宋_GB2312"/>
          <w:b w:val="0"/>
          <w:bCs w:val="0"/>
          <w:color w:val="auto"/>
        </w:rPr>
      </w:pPr>
      <w:r>
        <w:rPr>
          <w:rFonts w:hint="eastAsia" w:ascii="仿宋_GB2312" w:eastAsia="仿宋_GB2312"/>
          <w:b w:val="0"/>
          <w:bCs w:val="0"/>
          <w:color w:val="auto"/>
        </w:rPr>
        <w:t>本项目严格按照相关规定，专账核算、专人管理，实行集中支付管理，做到资金到项目、管理到项目、核算到项目、责任到项目,并落实绩效管理各项要求，加快项目实施和资金支出进度，最大程度发挥资金使用效益。</w:t>
      </w:r>
    </w:p>
    <w:p>
      <w:pPr>
        <w:pStyle w:val="3"/>
        <w:spacing w:line="360" w:lineRule="auto"/>
        <w:rPr>
          <w:rFonts w:ascii="仿宋_GB2312" w:eastAsia="仿宋_GB2312"/>
          <w:b w:val="0"/>
          <w:bCs w:val="0"/>
        </w:rPr>
      </w:pPr>
      <w:bookmarkStart w:id="18" w:name="_Toc68703844"/>
      <w:r>
        <w:rPr>
          <w:rFonts w:hint="eastAsia" w:ascii="仿宋_GB2312" w:eastAsia="仿宋_GB2312"/>
          <w:b w:val="0"/>
          <w:bCs w:val="0"/>
        </w:rPr>
        <w:t>（二）存在的问题及原因分析</w:t>
      </w:r>
      <w:bookmarkEnd w:id="18"/>
    </w:p>
    <w:p>
      <w:pPr>
        <w:rPr>
          <w:rFonts w:hint="eastAsia" w:ascii="仿宋_GB2312" w:eastAsia="仿宋_GB2312" w:hAnsiTheme="majorHAnsi" w:cstheme="majorBidi"/>
          <w:b w:val="0"/>
          <w:bCs w:val="0"/>
          <w:color w:val="auto"/>
          <w:kern w:val="2"/>
          <w:sz w:val="32"/>
          <w:szCs w:val="32"/>
          <w:lang w:val="en-US" w:eastAsia="zh-CN" w:bidi="ar-SA"/>
        </w:rPr>
      </w:pPr>
      <w:r>
        <w:rPr>
          <w:rFonts w:hint="eastAsia" w:ascii="仿宋_GB2312" w:eastAsia="仿宋_GB2312" w:hAnsiTheme="majorHAnsi" w:cstheme="majorBidi"/>
          <w:b w:val="0"/>
          <w:bCs w:val="0"/>
          <w:color w:val="auto"/>
          <w:kern w:val="2"/>
          <w:sz w:val="32"/>
          <w:szCs w:val="32"/>
          <w:lang w:val="en-US" w:eastAsia="zh-CN" w:bidi="ar-SA"/>
        </w:rPr>
        <w:t>1.资源配置针对性不强。设置规划的合理性不够，没有按实际需求配置资源。</w:t>
      </w:r>
    </w:p>
    <w:p>
      <w:pPr>
        <w:rPr>
          <w:rFonts w:hint="default" w:ascii="仿宋_GB2312" w:eastAsia="仿宋_GB2312" w:hAnsiTheme="majorHAnsi" w:cstheme="majorBidi"/>
          <w:b w:val="0"/>
          <w:bCs w:val="0"/>
          <w:color w:val="auto"/>
          <w:kern w:val="2"/>
          <w:sz w:val="32"/>
          <w:szCs w:val="32"/>
          <w:lang w:val="en-US" w:eastAsia="zh-CN" w:bidi="ar-SA"/>
        </w:rPr>
      </w:pPr>
      <w:r>
        <w:rPr>
          <w:rFonts w:hint="eastAsia" w:ascii="仿宋_GB2312" w:hAnsiTheme="majorHAnsi" w:cstheme="majorBidi"/>
          <w:b w:val="0"/>
          <w:bCs w:val="0"/>
          <w:color w:val="auto"/>
          <w:kern w:val="2"/>
          <w:sz w:val="32"/>
          <w:szCs w:val="32"/>
          <w:lang w:val="en-US" w:eastAsia="zh-CN" w:bidi="ar-SA"/>
        </w:rPr>
        <w:t>2.</w:t>
      </w:r>
      <w:r>
        <w:rPr>
          <w:rFonts w:hint="eastAsia" w:ascii="仿宋_GB2312" w:eastAsia="仿宋_GB2312" w:hAnsiTheme="majorHAnsi" w:cstheme="majorBidi"/>
          <w:b w:val="0"/>
          <w:bCs w:val="0"/>
          <w:color w:val="auto"/>
          <w:kern w:val="2"/>
          <w:sz w:val="32"/>
          <w:szCs w:val="32"/>
          <w:lang w:val="en-US" w:eastAsia="zh-CN" w:bidi="ar-SA"/>
        </w:rPr>
        <w:t>专业</w:t>
      </w:r>
      <w:r>
        <w:rPr>
          <w:rFonts w:hint="eastAsia" w:ascii="仿宋_GB2312" w:hAnsiTheme="majorHAnsi" w:cstheme="majorBidi"/>
          <w:b w:val="0"/>
          <w:bCs w:val="0"/>
          <w:color w:val="auto"/>
          <w:kern w:val="2"/>
          <w:sz w:val="32"/>
          <w:szCs w:val="32"/>
          <w:lang w:val="en-US" w:eastAsia="zh-CN" w:bidi="ar-SA"/>
        </w:rPr>
        <w:t>检验</w:t>
      </w:r>
      <w:r>
        <w:rPr>
          <w:rFonts w:hint="eastAsia" w:ascii="仿宋_GB2312" w:eastAsia="仿宋_GB2312" w:hAnsiTheme="majorHAnsi" w:cstheme="majorBidi"/>
          <w:b w:val="0"/>
          <w:bCs w:val="0"/>
          <w:color w:val="auto"/>
          <w:kern w:val="2"/>
          <w:sz w:val="32"/>
          <w:szCs w:val="32"/>
          <w:lang w:val="en-US" w:eastAsia="zh-CN" w:bidi="ar-SA"/>
        </w:rPr>
        <w:t>技术人才队伍总量不足，</w:t>
      </w:r>
      <w:r>
        <w:rPr>
          <w:rFonts w:hint="eastAsia" w:ascii="仿宋_GB2312" w:hAnsiTheme="majorHAnsi" w:cstheme="majorBidi"/>
          <w:b w:val="0"/>
          <w:bCs w:val="0"/>
          <w:color w:val="auto"/>
          <w:kern w:val="2"/>
          <w:sz w:val="32"/>
          <w:szCs w:val="32"/>
          <w:lang w:val="en-US" w:eastAsia="zh-CN" w:bidi="ar-SA"/>
        </w:rPr>
        <w:t>人员配置</w:t>
      </w:r>
      <w:r>
        <w:rPr>
          <w:rFonts w:hint="eastAsia" w:ascii="仿宋_GB2312" w:eastAsia="仿宋_GB2312" w:hAnsiTheme="majorHAnsi" w:cstheme="majorBidi"/>
          <w:b w:val="0"/>
          <w:bCs w:val="0"/>
          <w:color w:val="auto"/>
          <w:kern w:val="2"/>
          <w:sz w:val="32"/>
          <w:szCs w:val="32"/>
          <w:lang w:val="en-US" w:eastAsia="zh-CN" w:bidi="ar-SA"/>
        </w:rPr>
        <w:t>结构不合理</w:t>
      </w:r>
      <w:r>
        <w:rPr>
          <w:rFonts w:hint="eastAsia" w:ascii="仿宋_GB2312" w:hAnsiTheme="majorHAnsi" w:cstheme="majorBidi"/>
          <w:b w:val="0"/>
          <w:bCs w:val="0"/>
          <w:color w:val="auto"/>
          <w:kern w:val="2"/>
          <w:sz w:val="32"/>
          <w:szCs w:val="32"/>
          <w:lang w:val="en-US" w:eastAsia="zh-CN" w:bidi="ar-SA"/>
        </w:rPr>
        <w:t>。</w:t>
      </w:r>
    </w:p>
    <w:p>
      <w:pPr>
        <w:pStyle w:val="2"/>
        <w:spacing w:line="360" w:lineRule="auto"/>
        <w:rPr>
          <w:rFonts w:hint="eastAsia" w:ascii="宋体" w:hAnsi="宋体" w:eastAsia="宋体"/>
          <w:sz w:val="32"/>
          <w:szCs w:val="32"/>
        </w:rPr>
      </w:pPr>
      <w:bookmarkStart w:id="19" w:name="_Toc68703845"/>
      <w:r>
        <w:rPr>
          <w:rFonts w:hint="eastAsia" w:ascii="宋体" w:hAnsi="宋体" w:eastAsia="宋体"/>
          <w:sz w:val="32"/>
          <w:szCs w:val="32"/>
        </w:rPr>
        <w:t>六、有关建议</w:t>
      </w:r>
      <w:bookmarkEnd w:id="19"/>
    </w:p>
    <w:p>
      <w:pPr>
        <w:ind w:firstLine="640" w:firstLineChars="200"/>
        <w:rPr>
          <w:rFonts w:hint="eastAsia" w:ascii="仿宋_GB2312" w:eastAsia="仿宋_GB2312" w:hAnsiTheme="majorHAnsi" w:cstheme="majorBidi"/>
          <w:b w:val="0"/>
          <w:bCs w:val="0"/>
          <w:color w:val="auto"/>
          <w:kern w:val="2"/>
          <w:sz w:val="32"/>
          <w:szCs w:val="32"/>
          <w:lang w:val="en-US" w:eastAsia="zh-CN" w:bidi="ar-SA"/>
        </w:rPr>
      </w:pPr>
      <w:r>
        <w:rPr>
          <w:rFonts w:hint="eastAsia" w:ascii="仿宋_GB2312" w:hAnsiTheme="majorHAnsi" w:cstheme="majorBidi"/>
          <w:b w:val="0"/>
          <w:bCs w:val="0"/>
          <w:color w:val="auto"/>
          <w:kern w:val="2"/>
          <w:sz w:val="32"/>
          <w:szCs w:val="32"/>
          <w:lang w:val="en-US" w:eastAsia="zh-CN" w:bidi="ar-SA"/>
        </w:rPr>
        <w:t>1</w:t>
      </w:r>
      <w:r>
        <w:rPr>
          <w:rFonts w:hint="eastAsia" w:ascii="仿宋_GB2312" w:eastAsia="仿宋_GB2312" w:hAnsiTheme="majorHAnsi" w:cstheme="majorBidi"/>
          <w:b w:val="0"/>
          <w:bCs w:val="0"/>
          <w:color w:val="auto"/>
          <w:kern w:val="2"/>
          <w:sz w:val="32"/>
          <w:szCs w:val="32"/>
          <w:lang w:val="en-US" w:eastAsia="zh-CN" w:bidi="ar-SA"/>
        </w:rPr>
        <w:t>.强化项目培训。加强公共卫生服务人员项目培训工作，重点培训项目管理方案和技术规范，提高工作人员的技术水平。</w:t>
      </w:r>
    </w:p>
    <w:p>
      <w:pPr>
        <w:ind w:firstLine="640" w:firstLineChars="200"/>
      </w:pPr>
      <w:r>
        <w:rPr>
          <w:rFonts w:hint="eastAsia" w:ascii="仿宋_GB2312" w:hAnsiTheme="majorHAnsi" w:cstheme="majorBidi"/>
          <w:b w:val="0"/>
          <w:bCs w:val="0"/>
          <w:color w:val="auto"/>
          <w:kern w:val="2"/>
          <w:sz w:val="32"/>
          <w:szCs w:val="32"/>
          <w:lang w:val="en-US" w:eastAsia="zh-CN" w:bidi="ar-SA"/>
        </w:rPr>
        <w:t>2</w:t>
      </w:r>
      <w:r>
        <w:rPr>
          <w:rFonts w:hint="eastAsia" w:ascii="仿宋_GB2312" w:eastAsia="仿宋_GB2312" w:hAnsiTheme="majorHAnsi" w:cstheme="majorBidi"/>
          <w:b w:val="0"/>
          <w:bCs w:val="0"/>
          <w:color w:val="auto"/>
          <w:kern w:val="2"/>
          <w:sz w:val="32"/>
          <w:szCs w:val="32"/>
          <w:lang w:val="en-US" w:eastAsia="zh-CN" w:bidi="ar-SA"/>
        </w:rPr>
        <w:t>.规范资金使用。按照项目管理方案要求，合理规范使用资金，提高项目资金使用率。</w:t>
      </w:r>
    </w:p>
    <w:p>
      <w:pPr>
        <w:pStyle w:val="2"/>
        <w:spacing w:line="360" w:lineRule="auto"/>
        <w:rPr>
          <w:rFonts w:ascii="宋体" w:hAnsi="宋体" w:eastAsia="宋体"/>
          <w:sz w:val="32"/>
          <w:szCs w:val="32"/>
        </w:rPr>
      </w:pPr>
      <w:bookmarkStart w:id="20" w:name="_Toc68703846"/>
      <w:r>
        <w:rPr>
          <w:rFonts w:hint="eastAsia" w:ascii="宋体" w:hAnsi="宋体" w:eastAsia="宋体"/>
          <w:sz w:val="32"/>
          <w:szCs w:val="32"/>
        </w:rPr>
        <w:t>七、其他需要说明的问题</w:t>
      </w:r>
      <w:bookmarkEnd w:id="20"/>
    </w:p>
    <w:p>
      <w:pPr>
        <w:spacing w:line="360" w:lineRule="auto"/>
        <w:rPr>
          <w:rFonts w:hint="eastAsia" w:eastAsia="仿宋_GB2312"/>
          <w:color w:val="auto"/>
          <w:lang w:eastAsia="zh-CN"/>
        </w:rPr>
      </w:pPr>
      <w:r>
        <w:rPr>
          <w:rFonts w:hint="eastAsia"/>
          <w:color w:val="auto"/>
          <w:lang w:val="en-US" w:eastAsia="zh-CN"/>
        </w:rPr>
        <w:t>无</w:t>
      </w: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9C5"/>
    <w:rsid w:val="005B64E8"/>
    <w:rsid w:val="00614288"/>
    <w:rsid w:val="00792CFE"/>
    <w:rsid w:val="007D49C5"/>
    <w:rsid w:val="008C631D"/>
    <w:rsid w:val="00B24331"/>
    <w:rsid w:val="2C8D634D"/>
    <w:rsid w:val="39106573"/>
    <w:rsid w:val="41447ED7"/>
    <w:rsid w:val="438D2D3C"/>
    <w:rsid w:val="473E2065"/>
    <w:rsid w:val="72D86B23"/>
    <w:rsid w:val="7C8F3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4">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5">
    <w:name w:val="toc 2"/>
    <w:basedOn w:val="1"/>
    <w:next w:val="1"/>
    <w:unhideWhenUsed/>
    <w:uiPriority w:val="39"/>
    <w:pPr>
      <w:widowControl/>
      <w:spacing w:after="100" w:line="259" w:lineRule="auto"/>
      <w:ind w:left="220"/>
      <w:jc w:val="left"/>
    </w:pPr>
    <w:rPr>
      <w:rFonts w:asciiTheme="minorHAnsi" w:hAnsiTheme="minorHAnsi" w:eastAsiaTheme="minorEastAsia"/>
      <w:kern w:val="0"/>
      <w:sz w:val="22"/>
      <w:szCs w:val="22"/>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标题 1 字符"/>
    <w:basedOn w:val="7"/>
    <w:link w:val="2"/>
    <w:qFormat/>
    <w:uiPriority w:val="9"/>
    <w:rPr>
      <w:rFonts w:ascii="Times New Roman" w:hAnsi="Times New Roman" w:eastAsia="仿宋_GB2312" w:cs="Times New Roman"/>
      <w:b/>
      <w:bCs/>
      <w:kern w:val="44"/>
      <w:sz w:val="44"/>
      <w:szCs w:val="44"/>
    </w:rPr>
  </w:style>
  <w:style w:type="character" w:customStyle="1" w:styleId="10">
    <w:name w:val="标题 2 字符"/>
    <w:basedOn w:val="7"/>
    <w:link w:val="3"/>
    <w:qFormat/>
    <w:uiPriority w:val="9"/>
    <w:rPr>
      <w:rFonts w:asciiTheme="majorHAnsi" w:hAnsiTheme="majorHAnsi" w:eastAsiaTheme="majorEastAsia" w:cstheme="majorBidi"/>
      <w:b/>
      <w:bCs/>
      <w:sz w:val="32"/>
      <w:szCs w:val="32"/>
    </w:rPr>
  </w:style>
  <w:style w:type="paragraph" w:customStyle="1" w:styleId="11">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4637</Words>
  <Characters>4777</Characters>
  <Lines>38</Lines>
  <Paragraphs>10</Paragraphs>
  <TotalTime>3</TotalTime>
  <ScaleCrop>false</ScaleCrop>
  <LinksUpToDate>false</LinksUpToDate>
  <CharactersWithSpaces>4787</CharactersWithSpaces>
  <Application>WPS Office_11.1.0.11622_F1E327BC-269C-435d-A152-05C5408002CA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A.X</cp:lastModifiedBy>
  <dcterms:modified xsi:type="dcterms:W3CDTF">2022-04-22T05:41:20Z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2052-11.1.0.11622</vt:lpwstr>
  </property>
  <property fmtid="{D5CDD505-2E9C-101B-9397-08002B2CF9AE}" pid="3" name="ICV">
    <vt:lpwstr>F9A906034C7248CA84B7B715D309E8DA</vt:lpwstr>
  </property>
</Properties>
</file>