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Arial"/>
          <w:b/>
          <w:bCs/>
          <w:sz w:val="36"/>
          <w:szCs w:val="36"/>
        </w:rPr>
      </w:pPr>
    </w:p>
    <w:p>
      <w:pPr>
        <w:ind w:firstLine="0" w:firstLineChars="0"/>
        <w:jc w:val="center"/>
        <w:rPr>
          <w:rFonts w:ascii="宋体" w:hAnsi="宋体" w:eastAsia="宋体" w:cs="Arial"/>
          <w:b/>
          <w:bCs/>
          <w:sz w:val="36"/>
          <w:szCs w:val="36"/>
        </w:rPr>
      </w:pPr>
    </w:p>
    <w:p>
      <w:pPr>
        <w:ind w:firstLine="0" w:firstLineChars="0"/>
        <w:jc w:val="center"/>
        <w:rPr>
          <w:rFonts w:ascii="宋体" w:hAnsi="宋体" w:eastAsia="宋体" w:cs="Arial"/>
          <w:b/>
          <w:bCs/>
          <w:sz w:val="36"/>
          <w:szCs w:val="36"/>
        </w:rPr>
      </w:pPr>
    </w:p>
    <w:p>
      <w:pPr>
        <w:spacing w:line="240" w:lineRule="auto"/>
        <w:ind w:firstLine="0" w:firstLineChars="0"/>
        <w:jc w:val="center"/>
        <w:rPr>
          <w:rFonts w:ascii="宋体" w:hAnsi="宋体" w:eastAsia="宋体" w:cs="Arial"/>
          <w:b/>
          <w:bCs/>
          <w:sz w:val="52"/>
          <w:szCs w:val="52"/>
        </w:rPr>
      </w:pPr>
      <w:r>
        <w:rPr>
          <w:rFonts w:hint="eastAsia" w:ascii="宋体" w:hAnsi="宋体" w:eastAsia="宋体" w:cs="Arial"/>
          <w:b/>
          <w:bCs/>
          <w:sz w:val="52"/>
          <w:szCs w:val="52"/>
        </w:rPr>
        <w:t>机关单位养老保险补助项目支出绩效评价报告</w:t>
      </w:r>
    </w:p>
    <w:p>
      <w:pPr>
        <w:spacing w:line="240" w:lineRule="atLeast"/>
        <w:ind w:firstLine="0" w:firstLineChars="0"/>
        <w:jc w:val="center"/>
        <w:rPr>
          <w:rFonts w:ascii="宋体" w:hAnsi="宋体" w:eastAsia="宋体" w:cs="Arial"/>
          <w:b/>
          <w:bCs/>
          <w:sz w:val="36"/>
          <w:szCs w:val="36"/>
        </w:rPr>
      </w:pPr>
    </w:p>
    <w:p>
      <w:pPr>
        <w:widowControl/>
        <w:ind w:firstLine="720"/>
        <w:jc w:val="center"/>
        <w:rPr>
          <w:rFonts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240" w:lineRule="atLeast"/>
        <w:ind w:firstLine="0" w:firstLineChars="0"/>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ind w:firstLine="0" w:firstLineChars="0"/>
      </w:pPr>
    </w:p>
    <w:p>
      <w:pPr>
        <w:pStyle w:val="2"/>
        <w:ind w:firstLine="560"/>
      </w:pPr>
    </w:p>
    <w:p>
      <w:pPr>
        <w:ind w:firstLine="321" w:firstLineChars="100"/>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项目名称：2021年财政对机关事业单位养老保险本级补助资金</w:t>
      </w:r>
    </w:p>
    <w:p>
      <w:pPr>
        <w:ind w:firstLine="321" w:firstLineChars="100"/>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实施单位：特克斯县人力资源和社会保障局</w:t>
      </w:r>
    </w:p>
    <w:p>
      <w:pPr>
        <w:ind w:firstLine="321" w:firstLineChars="100"/>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主管部门：新疆维吾尔自治区人力资源和社会保障局</w:t>
      </w:r>
    </w:p>
    <w:p>
      <w:pPr>
        <w:ind w:firstLine="321" w:firstLineChars="100"/>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项目负责人：姜海红</w:t>
      </w:r>
    </w:p>
    <w:p>
      <w:pPr>
        <w:ind w:firstLine="321" w:firstLineChars="100"/>
        <w:rPr>
          <w:rFonts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填报时间：2022年4月15日</w:t>
      </w:r>
    </w:p>
    <w:p>
      <w:pPr>
        <w:ind w:firstLine="0" w:firstLineChars="0"/>
        <w:jc w:val="center"/>
        <w:rPr>
          <w:b/>
          <w:bCs/>
          <w:sz w:val="32"/>
          <w:szCs w:val="28"/>
        </w:rPr>
      </w:pPr>
    </w:p>
    <w:p>
      <w:pPr>
        <w:ind w:firstLine="0" w:firstLineChars="0"/>
        <w:jc w:val="center"/>
        <w:rPr>
          <w:b/>
          <w:bCs/>
          <w:sz w:val="32"/>
          <w:szCs w:val="28"/>
        </w:rPr>
      </w:pPr>
    </w:p>
    <w:p>
      <w:pPr>
        <w:ind w:firstLine="0" w:firstLineChars="0"/>
        <w:jc w:val="center"/>
        <w:rPr>
          <w:b/>
          <w:bCs/>
          <w:sz w:val="32"/>
          <w:szCs w:val="28"/>
        </w:rPr>
      </w:pPr>
      <w:r>
        <w:rPr>
          <w:rFonts w:hint="eastAsia"/>
          <w:b/>
          <w:bCs/>
          <w:sz w:val="32"/>
          <w:szCs w:val="28"/>
        </w:rPr>
        <w:t>2021年机关单位养老保险补助项目支出绩效评价报告</w:t>
      </w:r>
    </w:p>
    <w:p>
      <w:pPr>
        <w:pStyle w:val="3"/>
        <w:ind w:firstLine="640"/>
        <w:rPr>
          <w:b w:val="0"/>
          <w:bCs/>
        </w:rPr>
      </w:pPr>
      <w:r>
        <w:rPr>
          <w:rFonts w:hint="eastAsia"/>
          <w:b w:val="0"/>
          <w:bCs/>
        </w:rPr>
        <w:t>一、基本情况</w:t>
      </w:r>
    </w:p>
    <w:p>
      <w:pPr>
        <w:pStyle w:val="4"/>
        <w:ind w:firstLine="640"/>
        <w:rPr>
          <w:b w:val="0"/>
          <w:bCs/>
        </w:rPr>
      </w:pPr>
      <w:r>
        <w:rPr>
          <w:rFonts w:hint="eastAsia"/>
          <w:b w:val="0"/>
          <w:bCs/>
        </w:rPr>
        <w:t>（一）项目概况</w:t>
      </w:r>
    </w:p>
    <w:p>
      <w:pPr>
        <w:pStyle w:val="5"/>
        <w:ind w:firstLine="560"/>
      </w:pPr>
      <w:r>
        <w:rPr>
          <w:rFonts w:hint="eastAsia"/>
        </w:rPr>
        <w:t>1.项目背景</w:t>
      </w:r>
    </w:p>
    <w:p>
      <w:pPr>
        <w:ind w:firstLine="560"/>
      </w:pPr>
      <w:r>
        <w:rPr>
          <w:rFonts w:hint="eastAsia"/>
        </w:rPr>
        <w:t>机关事业单位养老保险制度改革，涉及机关单位、全额拨款事业单位，差额拨款事业单位。根据新政发【2015】105号文件要求，坚持改革现行机关事业单位工作人员退休保障制度，切实履行缴费义务，享受相应的养老保险待遇，形成责任共担、统筹互济的养老保险筹资和分配机制。2014年10月机关事业单位养老保险清算工作启动，由原来的财政统发纳入到社会保险基金社会化发放。改革机关事业单位养老保险制度，是贯彻落实党的十八大和十八届三中、四中全会精神的重要举措，对于建立覆盖全民、更加公平、可持续的社会保障制度具有重要意义。截止目前，我县享受机关事业单位养老保险待遇人员3370人，人均享受养老金待遇5506.18元/月，发放机关养老待遇22267万元。覆盖率达到98%，养老金发放率98%。保障退休人员生活需求。</w:t>
      </w:r>
    </w:p>
    <w:p>
      <w:pPr>
        <w:spacing w:line="360" w:lineRule="auto"/>
        <w:ind w:firstLine="560"/>
      </w:pPr>
      <w:r>
        <w:rPr>
          <w:rFonts w:hint="eastAsia"/>
        </w:rPr>
        <w:t>2、主要内容及实施情况</w:t>
      </w:r>
    </w:p>
    <w:p>
      <w:pPr>
        <w:ind w:firstLine="560" w:firstLineChars="200"/>
      </w:pPr>
      <w:r>
        <w:rPr>
          <w:rFonts w:hint="eastAsia"/>
        </w:rPr>
        <w:t>主要内容：自治区按照国家统一部署，根据职工工资增长和物价变动等情况，统筹安排机关事业单位退休人员的基本养老金调整，逐步建立兼顾各类人员的养老保险待遇正常调整机制，截止2021年末我县机关单位养老保险补助项目补助享受待遇人数3370人，人均享受养老金待遇5506.18元/月。全年发放养老金待遇22267万元，充分保障了退休人员基本生活。</w:t>
      </w:r>
    </w:p>
    <w:p>
      <w:pPr>
        <w:ind w:left="0" w:leftChars="0" w:firstLine="0" w:firstLineChars="0"/>
      </w:pPr>
    </w:p>
    <w:p>
      <w:pPr>
        <w:ind w:firstLine="560"/>
      </w:pPr>
      <w:r>
        <w:t>实施</w:t>
      </w:r>
      <w:r>
        <w:rPr>
          <w:rFonts w:hint="eastAsia"/>
        </w:rPr>
        <w:t>情况</w:t>
      </w:r>
      <w:r>
        <w:t>：</w:t>
      </w:r>
      <w:r>
        <w:rPr>
          <w:rFonts w:hint="eastAsia"/>
        </w:rPr>
        <w:t>根据项目补助拨付情况，机关事业单位养老补助资金2200万元，县级补助到位2200万元。我县严格按照文件要求确保机关事业单位养老金足额按时发放。在意见实施前参加工作、实施后退休且缴费年限（含视同缴费年限）累计满15年的人员，按照合理衔接、平稳过度原则，在发给基础养老金和个人账户养老金的基础上，再依据视同缴费年限长短发给过渡性养老金，具体办法由自治区根据国家规定制度。截止目前，我县机关单位养老保险补助项目补助享受待遇人数3370人，人均享受养老金待遇5506.18元/月。全年发放养老金待遇22267万元。覆盖率达到98%，养老金发放率98%。保障退休人员生活需求。</w:t>
      </w:r>
    </w:p>
    <w:p>
      <w:pPr>
        <w:ind w:firstLine="560"/>
      </w:pPr>
      <w:r>
        <w:rPr>
          <w:rFonts w:hint="eastAsia"/>
        </w:rPr>
        <w:t>3.资金投入和使用情况</w:t>
      </w:r>
    </w:p>
    <w:p>
      <w:pPr>
        <w:spacing w:line="360" w:lineRule="auto"/>
        <w:ind w:firstLine="560"/>
      </w:pPr>
      <w:r>
        <w:rPr>
          <w:rFonts w:hint="eastAsia"/>
        </w:rPr>
        <w:t>资金投入情况：该项目年初预算数2200万元，全年预算数2200万元，实际总投入2200万元，该项目资金已全部落实到位，资金来源为财政拨款。</w:t>
      </w:r>
    </w:p>
    <w:p>
      <w:pPr>
        <w:spacing w:line="360" w:lineRule="auto"/>
        <w:ind w:firstLine="560"/>
      </w:pPr>
      <w:r>
        <w:rPr>
          <w:rFonts w:hint="eastAsia"/>
        </w:rPr>
        <w:t>资金使用情况：该项目年初预算数2200万元，全年预算数2200万元，全年执行数2200万元，预算执行率为100%，用</w:t>
      </w:r>
      <w:r>
        <w:rPr>
          <w:rFonts w:hint="eastAsia"/>
          <w:color w:val="000000" w:themeColor="text1"/>
        </w:rPr>
        <w:t>于：</w:t>
      </w:r>
      <w:r>
        <w:rPr>
          <w:rFonts w:hint="eastAsia"/>
        </w:rPr>
        <w:t>支付财政机关事业单位养老保险制度改革退休人员待2200.00万元。</w:t>
      </w:r>
    </w:p>
    <w:p>
      <w:pPr>
        <w:pStyle w:val="4"/>
        <w:ind w:firstLine="640"/>
        <w:rPr>
          <w:b w:val="0"/>
          <w:bCs/>
        </w:rPr>
      </w:pPr>
      <w:r>
        <w:rPr>
          <w:rFonts w:hint="eastAsia"/>
          <w:b w:val="0"/>
          <w:bCs/>
        </w:rPr>
        <w:t>（二）项目绩效目标</w:t>
      </w:r>
    </w:p>
    <w:p>
      <w:pPr>
        <w:ind w:firstLine="560"/>
        <w:jc w:val="left"/>
        <w:rPr>
          <w:b/>
          <w:bCs/>
        </w:rPr>
      </w:pPr>
      <w:r>
        <w:rPr>
          <w:rFonts w:hint="eastAsia"/>
          <w:b/>
          <w:bCs/>
        </w:rPr>
        <w:t>1.总体目标</w:t>
      </w:r>
    </w:p>
    <w:p>
      <w:pPr>
        <w:ind w:firstLine="560"/>
        <w:jc w:val="left"/>
      </w:pPr>
      <w:r>
        <w:rPr>
          <w:rFonts w:hint="eastAsia"/>
        </w:rPr>
        <w:t>2021年县级财政机关单位养老保险补助项目2200.00万元，按照《关于印发〈新疆维吾尔自治区企业职工基本养老保险基金预算管理暂行办法〉的通知》（新政办发【2008】221号）精神，保障机关事业单位待遇得到保障，我县积极落实机关事业养老保险基金筹集、支付使用和稽核，并贯彻执行机关事业养老保险金待遇发放文件精神，确保养老金足额按时发放，确保我县退休人员享受良好生活条件</w:t>
      </w:r>
    </w:p>
    <w:p>
      <w:pPr>
        <w:ind w:firstLine="560"/>
        <w:jc w:val="left"/>
      </w:pPr>
      <w:r>
        <w:rPr>
          <w:rFonts w:hint="eastAsia"/>
        </w:rPr>
        <w:t>2.阶段性目标</w:t>
      </w:r>
    </w:p>
    <w:p>
      <w:pPr>
        <w:ind w:firstLine="560"/>
      </w:pPr>
      <w:r>
        <w:rPr>
          <w:rFonts w:hint="eastAsia"/>
          <w:color w:val="000000" w:themeColor="text1"/>
        </w:rPr>
        <w:t>根据</w:t>
      </w:r>
      <w:r>
        <w:rPr>
          <w:color w:val="000000" w:themeColor="text1"/>
        </w:rPr>
        <w:t>《自治区财政支出绩效评价管理暂行办法》</w:t>
      </w:r>
      <w:r>
        <w:rPr>
          <w:rFonts w:hint="eastAsia"/>
          <w:color w:val="000000" w:themeColor="text1"/>
        </w:rPr>
        <w:t>（新财预〔2018〕189号）的规定，结合我单位的规章制度以及项目实施和财务相关资料，对项目绩效指标进行了进一步的细化，</w:t>
      </w:r>
      <w:r>
        <w:rPr>
          <w:rFonts w:hint="eastAsia"/>
        </w:rPr>
        <w:t>具体目标实施：为了保证机关事业单位退休人员工资按时足额发放，每季度初提前申请所需资金，财政按月将县级配套拨入社保基金账户，一季度执行700万元，二季度执行700万元，三季度全部执行完毕。</w:t>
      </w:r>
    </w:p>
    <w:p>
      <w:pPr>
        <w:ind w:firstLine="640"/>
        <w:rPr>
          <w:rFonts w:ascii="宋体" w:hAnsi="宋体" w:eastAsia="宋体"/>
          <w:bCs/>
          <w:sz w:val="32"/>
          <w:szCs w:val="32"/>
        </w:rPr>
      </w:pPr>
      <w:r>
        <w:rPr>
          <w:rFonts w:hint="eastAsia" w:ascii="宋体" w:hAnsi="宋体" w:eastAsia="宋体"/>
          <w:bCs/>
          <w:sz w:val="32"/>
          <w:szCs w:val="32"/>
        </w:rPr>
        <w:t>二、绩效评价工作开展情况</w:t>
      </w:r>
      <w:bookmarkStart w:id="0" w:name="_Toc5462343"/>
      <w:bookmarkStart w:id="1" w:name="_Toc22169_WPSOffice_Level2"/>
      <w:bookmarkStart w:id="2" w:name="_Toc5258"/>
      <w:bookmarkStart w:id="3" w:name="_Toc12868"/>
      <w:bookmarkStart w:id="4" w:name="_Toc480473081"/>
      <w:bookmarkStart w:id="5" w:name="_Toc21664"/>
      <w:bookmarkStart w:id="6" w:name="_Toc26632"/>
      <w:bookmarkStart w:id="7" w:name="_Toc22922"/>
    </w:p>
    <w:p>
      <w:pPr>
        <w:ind w:firstLine="640"/>
        <w:rPr>
          <w:color w:val="000000" w:themeColor="text1"/>
        </w:rPr>
      </w:pPr>
      <w:r>
        <w:rPr>
          <w:rFonts w:hint="eastAsia" w:ascii="宋体" w:hAnsi="宋体" w:eastAsia="宋体"/>
          <w:bCs/>
          <w:sz w:val="32"/>
          <w:szCs w:val="32"/>
        </w:rPr>
        <w:t>（一）绩效评价的目的</w:t>
      </w:r>
      <w:bookmarkEnd w:id="0"/>
      <w:bookmarkEnd w:id="1"/>
      <w:bookmarkEnd w:id="2"/>
      <w:bookmarkEnd w:id="3"/>
      <w:bookmarkEnd w:id="4"/>
      <w:bookmarkEnd w:id="5"/>
      <w:bookmarkEnd w:id="6"/>
      <w:bookmarkEnd w:id="7"/>
      <w:r>
        <w:rPr>
          <w:rFonts w:hint="eastAsia" w:ascii="宋体" w:hAnsi="宋体" w:eastAsia="宋体"/>
          <w:bCs/>
          <w:sz w:val="32"/>
          <w:szCs w:val="32"/>
        </w:rPr>
        <w:t>、对象和范围</w:t>
      </w:r>
    </w:p>
    <w:p>
      <w:pPr>
        <w:pStyle w:val="3"/>
        <w:spacing w:before="340" w:after="330" w:line="360" w:lineRule="auto"/>
        <w:ind w:firstLine="0" w:firstLineChars="0"/>
        <w:rPr>
          <w:rFonts w:eastAsia="仿宋_GB2312"/>
          <w:b w:val="0"/>
          <w:kern w:val="2"/>
          <w:sz w:val="30"/>
          <w:szCs w:val="24"/>
        </w:rPr>
      </w:pPr>
      <w:r>
        <w:rPr>
          <w:rFonts w:hint="eastAsia" w:eastAsia="仿宋_GB2312"/>
          <w:b w:val="0"/>
          <w:kern w:val="2"/>
          <w:sz w:val="30"/>
          <w:szCs w:val="24"/>
        </w:rPr>
        <w:t>1.绩效评价的目的</w:t>
      </w:r>
    </w:p>
    <w:p>
      <w:pPr>
        <w:spacing w:line="360" w:lineRule="auto"/>
        <w:ind w:firstLine="640"/>
        <w:jc w:val="left"/>
        <w:rPr>
          <w:bCs/>
          <w:sz w:val="32"/>
          <w:szCs w:val="32"/>
        </w:rPr>
      </w:pPr>
      <w:r>
        <w:rPr>
          <w:rFonts w:hint="eastAsia"/>
          <w:bCs/>
          <w:sz w:val="32"/>
          <w:szCs w:val="32"/>
        </w:rPr>
        <w:t>通过绩效评价，客观地评判项目的管理绩效，了解和掌握特克斯县2021年财政对机关事业单位养老保险本级补助资金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Style w:val="5"/>
        <w:ind w:firstLine="560"/>
      </w:pPr>
      <w:r>
        <w:rPr>
          <w:rFonts w:hint="eastAsia"/>
        </w:rPr>
        <w:t>2.绩效评价对象</w:t>
      </w:r>
    </w:p>
    <w:p>
      <w:pPr>
        <w:ind w:firstLine="560"/>
      </w:pPr>
      <w:r>
        <w:rPr>
          <w:rFonts w:hint="eastAsia"/>
        </w:rPr>
        <w:t>特克斯县2021年财政对机关事业单位养老保险本级补助资金</w:t>
      </w:r>
    </w:p>
    <w:p>
      <w:pPr>
        <w:pStyle w:val="5"/>
        <w:ind w:firstLine="560"/>
      </w:pPr>
      <w:r>
        <w:rPr>
          <w:rFonts w:hint="eastAsia"/>
        </w:rPr>
        <w:t>3.绩效评价范围</w:t>
      </w:r>
    </w:p>
    <w:p>
      <w:pPr>
        <w:ind w:firstLine="560"/>
      </w:pPr>
      <w:r>
        <w:rPr>
          <w:rFonts w:hint="eastAsia"/>
        </w:rPr>
        <w:t>本次评价从项目决策（包括绩效目标、决策过程）、项目管理（包括项目资金、项目实施）、项目产出（包括项目产出数量、产出质量、产出时效和产出成本）项目效益四个维度进行特克斯县2021年财政对机关事业单位养老保险本级补助资金评价，评价核心为专项资金的支出完成情况和效果。</w:t>
      </w:r>
    </w:p>
    <w:p>
      <w:pPr>
        <w:pStyle w:val="4"/>
        <w:spacing w:line="360" w:lineRule="auto"/>
        <w:ind w:firstLine="0" w:firstLineChars="0"/>
        <w:rPr>
          <w:rFonts w:ascii="仿宋_GB2312" w:eastAsia="仿宋_GB2312"/>
          <w:b w:val="0"/>
        </w:rPr>
      </w:pPr>
      <w:bookmarkStart w:id="8" w:name="_Toc68703832"/>
      <w:r>
        <w:rPr>
          <w:rFonts w:hint="eastAsia" w:ascii="仿宋_GB2312" w:eastAsia="仿宋_GB2312"/>
          <w:b w:val="0"/>
        </w:rPr>
        <w:t>（二）绩效评价原则、评价指标体系、评价方法、评价标准等。</w:t>
      </w:r>
      <w:bookmarkEnd w:id="8"/>
    </w:p>
    <w:p>
      <w:pPr>
        <w:spacing w:line="360" w:lineRule="auto"/>
        <w:ind w:firstLine="0" w:firstLineChars="0"/>
        <w:rPr>
          <w:rFonts w:ascii="Times New Roman" w:hAnsi="Times New Roman"/>
          <w:sz w:val="30"/>
        </w:rPr>
      </w:pPr>
      <w:r>
        <w:rPr>
          <w:rFonts w:hint="eastAsia" w:ascii="Times New Roman" w:hAnsi="Times New Roman"/>
          <w:sz w:val="30"/>
        </w:rPr>
        <w:t>1.绩效评价原则</w:t>
      </w:r>
    </w:p>
    <w:p>
      <w:pPr>
        <w:ind w:firstLine="560"/>
      </w:pPr>
      <w:bookmarkStart w:id="9" w:name="_Toc428278230"/>
      <w:bookmarkStart w:id="10" w:name="_Toc1913"/>
      <w:bookmarkStart w:id="11" w:name="_Toc26131"/>
      <w:bookmarkStart w:id="12" w:name="_Toc419984722"/>
      <w:r>
        <w:rPr>
          <w:rFonts w:hint="eastAsia"/>
        </w:rPr>
        <w:t>（1）科学公正。绩效评价应当运用科学合理的方法，按照规范的程序，对项目绩效进行客观、公正的反映。</w:t>
      </w:r>
    </w:p>
    <w:p>
      <w:pPr>
        <w:spacing w:line="600" w:lineRule="exact"/>
        <w:ind w:firstLine="640"/>
        <w:rPr>
          <w:bCs/>
          <w:sz w:val="32"/>
          <w:szCs w:val="32"/>
        </w:rPr>
      </w:pPr>
      <w:r>
        <w:rPr>
          <w:rFonts w:hint="eastAsia"/>
          <w:bCs/>
          <w:sz w:val="32"/>
          <w:szCs w:val="32"/>
        </w:rPr>
        <w:t>（二）统筹兼顾。本次项目支出绩效评价由本单位自主实施，即“谁支出、谁自评”。</w:t>
      </w:r>
    </w:p>
    <w:p>
      <w:pPr>
        <w:spacing w:line="600" w:lineRule="exact"/>
        <w:ind w:firstLine="640"/>
        <w:rPr>
          <w:bCs/>
          <w:sz w:val="32"/>
          <w:szCs w:val="32"/>
        </w:rPr>
      </w:pPr>
      <w:r>
        <w:rPr>
          <w:rFonts w:hint="eastAsia"/>
          <w:bCs/>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bCs/>
          <w:sz w:val="32"/>
          <w:szCs w:val="32"/>
        </w:rPr>
      </w:pPr>
      <w:r>
        <w:rPr>
          <w:rFonts w:hint="eastAsia"/>
          <w:bCs/>
          <w:sz w:val="32"/>
          <w:szCs w:val="32"/>
        </w:rPr>
        <w:t>（四）公开透明。本次项目支出绩效评价结果已依法依规公开在特克斯县人民政府网站上，并自觉接受社会监督。</w:t>
      </w:r>
    </w:p>
    <w:p>
      <w:pPr>
        <w:spacing w:line="360" w:lineRule="auto"/>
        <w:ind w:firstLine="560"/>
      </w:pPr>
      <w:r>
        <w:rPr>
          <w:rFonts w:hint="eastAsia"/>
        </w:rPr>
        <w:t>2、评价指标体系（附表说明）</w:t>
      </w:r>
    </w:p>
    <w:p>
      <w:pPr>
        <w:ind w:firstLine="560"/>
      </w:pPr>
      <w:r>
        <w:rPr>
          <w:rFonts w:hint="eastAsia"/>
        </w:rPr>
        <w:t>特克斯县2021年财政对机关事业单位养老保险本级补助资金</w:t>
      </w:r>
    </w:p>
    <w:p>
      <w:pPr>
        <w:pStyle w:val="4"/>
        <w:spacing w:line="240" w:lineRule="auto"/>
        <w:ind w:firstLine="600"/>
        <w:jc w:val="center"/>
        <w:rPr>
          <w:rFonts w:ascii="Times New Roman" w:hAnsi="Times New Roman" w:eastAsia="仿宋_GB2312"/>
          <w:b w:val="0"/>
          <w:sz w:val="30"/>
        </w:rPr>
      </w:pPr>
      <w:r>
        <w:rPr>
          <w:rFonts w:hint="eastAsia" w:ascii="Times New Roman" w:hAnsi="Times New Roman" w:eastAsia="仿宋_GB2312"/>
          <w:b w:val="0"/>
          <w:sz w:val="30"/>
        </w:rPr>
        <w:t>项目支出绩效评价指标体系</w:t>
      </w:r>
    </w:p>
    <w:tbl>
      <w:tblPr>
        <w:tblStyle w:val="10"/>
        <w:tblW w:w="1016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11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ind w:firstLine="442"/>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ind w:firstLine="442"/>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ind w:firstLine="442"/>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ind w:firstLine="442"/>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ind w:firstLine="442"/>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1175" w:type="dxa"/>
            <w:shd w:val="clear" w:color="auto" w:fill="FFFFFF"/>
          </w:tcPr>
          <w:p>
            <w:pPr>
              <w:widowControl/>
              <w:spacing w:line="600" w:lineRule="auto"/>
              <w:ind w:firstLine="442"/>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shd w:val="clear" w:color="auto" w:fill="FFFFFF"/>
          </w:tcPr>
          <w:p>
            <w:pPr>
              <w:spacing w:line="600" w:lineRule="auto"/>
              <w:ind w:firstLine="560"/>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000000" w:fill="FFFFFF"/>
          </w:tcPr>
          <w:p>
            <w:pPr>
              <w:spacing w:line="600" w:lineRule="auto"/>
              <w:ind w:firstLine="560"/>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auto"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ind w:firstLine="560"/>
              <w:jc w:val="center"/>
            </w:pPr>
            <w:r>
              <w:rPr>
                <w:rFonts w:hint="eastAsia"/>
                <w:lang w:val="en-US" w:eastAsia="zh-CN"/>
              </w:rPr>
              <w:t>4</w:t>
            </w:r>
          </w:p>
        </w:tc>
        <w:tc>
          <w:tcPr>
            <w:tcW w:w="1175" w:type="dxa"/>
            <w:tcBorders>
              <w:bottom w:val="single" w:color="auto" w:sz="4" w:space="0"/>
            </w:tcBorders>
            <w:shd w:val="clear" w:color="000000" w:fill="FFFFFF"/>
          </w:tcPr>
          <w:p>
            <w:pPr>
              <w:spacing w:line="600" w:lineRule="auto"/>
              <w:ind w:firstLine="560"/>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c>
          <w:tcPr>
            <w:tcW w:w="1175" w:type="dxa"/>
            <w:tcBorders>
              <w:bottom w:val="single" w:color="auto" w:sz="4" w:space="0"/>
            </w:tcBorders>
            <w:shd w:val="clear" w:color="000000" w:fill="FFFFFF"/>
          </w:tcPr>
          <w:p>
            <w:pPr>
              <w:spacing w:line="600" w:lineRule="auto"/>
              <w:ind w:firstLine="560"/>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ind w:firstLine="560"/>
              <w:jc w:val="center"/>
              <w:rPr>
                <w:rFonts w:hint="default" w:eastAsia="仿宋_GB2312"/>
                <w:lang w:val="en-US" w:eastAsia="zh-CN"/>
              </w:rPr>
            </w:pPr>
            <w:r>
              <w:rPr>
                <w:rFonts w:hint="eastAsia"/>
                <w:lang w:val="en-US" w:eastAsia="zh-CN"/>
              </w:rPr>
              <w:t>10</w:t>
            </w:r>
          </w:p>
        </w:tc>
        <w:tc>
          <w:tcPr>
            <w:tcW w:w="1175" w:type="dxa"/>
            <w:shd w:val="clear" w:color="000000" w:fill="FFFFFF"/>
          </w:tcPr>
          <w:p>
            <w:pPr>
              <w:spacing w:line="600" w:lineRule="auto"/>
              <w:ind w:firstLine="560"/>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478" w:type="dxa"/>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ind w:firstLine="560"/>
              <w:jc w:val="center"/>
            </w:pPr>
            <w:r>
              <w:rPr>
                <w:rFonts w:hint="eastAsia"/>
                <w:lang w:val="en-US" w:eastAsia="zh-CN"/>
              </w:rPr>
              <w:t>10</w:t>
            </w:r>
          </w:p>
        </w:tc>
        <w:tc>
          <w:tcPr>
            <w:tcW w:w="1175" w:type="dxa"/>
            <w:shd w:val="clear" w:color="000000" w:fill="FFFFFF"/>
          </w:tcPr>
          <w:p>
            <w:pPr>
              <w:spacing w:line="600" w:lineRule="auto"/>
              <w:ind w:firstLine="560"/>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ind w:firstLine="440"/>
              <w:jc w:val="center"/>
              <w:rPr>
                <w:rFonts w:ascii="宋体" w:hAnsi="宋体" w:cs="宋体"/>
                <w:color w:val="000000"/>
                <w:kern w:val="0"/>
                <w:sz w:val="22"/>
              </w:rPr>
            </w:pPr>
          </w:p>
        </w:tc>
        <w:tc>
          <w:tcPr>
            <w:tcW w:w="1478" w:type="dxa"/>
            <w:shd w:val="clear" w:color="auto" w:fill="FFFFFF"/>
            <w:vAlign w:val="center"/>
          </w:tcPr>
          <w:p>
            <w:pPr>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ind w:firstLine="560"/>
              <w:jc w:val="center"/>
              <w:rPr>
                <w:rFonts w:hint="default" w:eastAsia="仿宋_GB2312"/>
                <w:lang w:val="en-US" w:eastAsia="zh-CN"/>
              </w:rPr>
            </w:pPr>
            <w:r>
              <w:rPr>
                <w:rFonts w:hint="eastAsia"/>
                <w:lang w:val="en-US" w:eastAsia="zh-CN"/>
              </w:rPr>
              <w:t>10</w:t>
            </w:r>
          </w:p>
        </w:tc>
        <w:tc>
          <w:tcPr>
            <w:tcW w:w="1175" w:type="dxa"/>
            <w:shd w:val="clear" w:color="000000" w:fill="FFFFFF"/>
          </w:tcPr>
          <w:p>
            <w:pPr>
              <w:spacing w:line="600" w:lineRule="auto"/>
              <w:ind w:firstLine="560"/>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478" w:type="dxa"/>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ind w:firstLine="560"/>
              <w:jc w:val="center"/>
              <w:rPr>
                <w:rFonts w:hint="default" w:eastAsia="仿宋_GB2312"/>
                <w:lang w:val="en-US" w:eastAsia="zh-CN"/>
              </w:rPr>
            </w:pPr>
            <w:r>
              <w:rPr>
                <w:rFonts w:hint="eastAsia"/>
                <w:lang w:val="en-US" w:eastAsia="zh-CN"/>
              </w:rPr>
              <w:t>10</w:t>
            </w:r>
          </w:p>
        </w:tc>
        <w:tc>
          <w:tcPr>
            <w:tcW w:w="1175" w:type="dxa"/>
            <w:shd w:val="clear" w:color="auto" w:fill="FFFFFF"/>
          </w:tcPr>
          <w:p>
            <w:pPr>
              <w:spacing w:line="600" w:lineRule="auto"/>
              <w:ind w:firstLine="560"/>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ind w:firstLine="560"/>
              <w:jc w:val="center"/>
              <w:rPr>
                <w:rFonts w:hint="eastAsia" w:eastAsia="仿宋_GB2312"/>
                <w:lang w:val="en-US" w:eastAsia="zh-CN"/>
              </w:rPr>
            </w:pPr>
            <w:r>
              <w:rPr>
                <w:rFonts w:hint="eastAsia"/>
                <w:lang w:val="en-US" w:eastAsia="zh-CN"/>
              </w:rPr>
              <w:t>8</w:t>
            </w:r>
          </w:p>
        </w:tc>
        <w:tc>
          <w:tcPr>
            <w:tcW w:w="1175" w:type="dxa"/>
            <w:shd w:val="clear" w:color="auto" w:fill="FFFFFF"/>
          </w:tcPr>
          <w:p>
            <w:pPr>
              <w:spacing w:line="600" w:lineRule="auto"/>
              <w:ind w:firstLine="560"/>
              <w:jc w:val="center"/>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ind w:firstLine="440"/>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ind w:firstLine="560"/>
              <w:jc w:val="center"/>
              <w:rPr>
                <w:rFonts w:hint="default" w:eastAsia="仿宋_GB2312"/>
                <w:lang w:val="en-US" w:eastAsia="zh-CN"/>
              </w:rPr>
            </w:pPr>
            <w:r>
              <w:rPr>
                <w:rFonts w:hint="eastAsia"/>
                <w:lang w:val="en-US" w:eastAsia="zh-CN"/>
              </w:rPr>
              <w:t>8</w:t>
            </w:r>
          </w:p>
        </w:tc>
        <w:tc>
          <w:tcPr>
            <w:tcW w:w="1175" w:type="dxa"/>
            <w:shd w:val="clear" w:color="000000" w:fill="FFFFFF"/>
          </w:tcPr>
          <w:p>
            <w:pPr>
              <w:spacing w:line="600" w:lineRule="auto"/>
              <w:ind w:firstLine="560"/>
              <w:jc w:val="center"/>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ind w:firstLine="440"/>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100</w:t>
            </w:r>
          </w:p>
        </w:tc>
        <w:tc>
          <w:tcPr>
            <w:tcW w:w="1175" w:type="dxa"/>
            <w:shd w:val="clear" w:color="auto" w:fill="FFFFFF"/>
            <w:vAlign w:val="center"/>
          </w:tcPr>
          <w:p>
            <w:pPr>
              <w:widowControl/>
              <w:spacing w:line="0" w:lineRule="atLeast"/>
              <w:ind w:firstLine="440"/>
              <w:jc w:val="center"/>
              <w:rPr>
                <w:rFonts w:ascii="宋体" w:hAnsi="宋体" w:cs="宋体"/>
                <w:color w:val="000000"/>
                <w:kern w:val="0"/>
                <w:sz w:val="22"/>
              </w:rPr>
            </w:pPr>
            <w:r>
              <w:rPr>
                <w:rFonts w:hint="eastAsia" w:ascii="宋体" w:hAnsi="宋体" w:cs="宋体"/>
                <w:color w:val="000000"/>
                <w:kern w:val="0"/>
                <w:sz w:val="22"/>
              </w:rPr>
              <w:t>100</w:t>
            </w:r>
          </w:p>
        </w:tc>
      </w:tr>
    </w:tbl>
    <w:p>
      <w:pPr>
        <w:ind w:firstLine="560"/>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p>
    <w:p>
      <w:pPr>
        <w:pStyle w:val="2"/>
        <w:ind w:firstLine="560"/>
      </w:pPr>
    </w:p>
    <w:bookmarkEnd w:id="9"/>
    <w:bookmarkEnd w:id="10"/>
    <w:bookmarkEnd w:id="11"/>
    <w:bookmarkEnd w:id="12"/>
    <w:p>
      <w:pPr>
        <w:pStyle w:val="5"/>
        <w:ind w:firstLine="560"/>
      </w:pPr>
      <w:r>
        <w:rPr>
          <w:rFonts w:hint="eastAsia"/>
        </w:rPr>
        <w:t>3.评价方法</w:t>
      </w:r>
    </w:p>
    <w:p>
      <w:pPr>
        <w:ind w:firstLine="640"/>
      </w:pPr>
      <w:r>
        <w:rPr>
          <w:rFonts w:hint="eastAsia"/>
          <w:bCs/>
          <w:sz w:val="32"/>
          <w:szCs w:val="32"/>
        </w:rPr>
        <w:t>本次项目支出绩效自评采用因素分析法，原因是：全年预计机关事业单位养老在职缴费7461人，实际征缴7332人，主要是在职转退休42人，辞职和辞退36人，造成人员减少保险费收入下降；全年预计机关事业单位养老退休3313人，实际退休3370人，在职人员达到法定年龄的人员逐年增多。</w:t>
      </w:r>
    </w:p>
    <w:p>
      <w:pPr>
        <w:pStyle w:val="5"/>
        <w:ind w:firstLine="560"/>
      </w:pPr>
      <w:r>
        <w:rPr>
          <w:rFonts w:hint="eastAsia"/>
        </w:rPr>
        <w:t>4.评价标准</w:t>
      </w:r>
    </w:p>
    <w:p>
      <w:pPr>
        <w:pStyle w:val="4"/>
        <w:ind w:firstLine="640"/>
        <w:rPr>
          <w:bCs/>
          <w:szCs w:val="32"/>
        </w:rPr>
      </w:pPr>
      <w:r>
        <w:rPr>
          <w:rFonts w:hint="eastAsia" w:ascii="仿宋_GB2312" w:hAnsi="仿宋_GB2312" w:eastAsia="仿宋_GB2312"/>
          <w:b w:val="0"/>
          <w:bCs/>
          <w:szCs w:val="32"/>
        </w:rPr>
        <w:t>本次项目支出绩效自评采用计划标准，原因是：依据社保基金预算相关规定和要求，与上年将机关养老参保缴费人数、征收保险费收入、退休人数、死亡人数和待遇发放所需资金做好全年的预算，次年所需资金依据预算按进度拨付使用。</w:t>
      </w:r>
    </w:p>
    <w:p>
      <w:pPr>
        <w:pStyle w:val="4"/>
        <w:ind w:firstLine="643"/>
      </w:pPr>
      <w:r>
        <w:rPr>
          <w:rFonts w:hint="eastAsia"/>
        </w:rPr>
        <w:t>（三）绩效评价工作过程</w:t>
      </w:r>
    </w:p>
    <w:p>
      <w:pPr>
        <w:pStyle w:val="5"/>
        <w:ind w:firstLine="560"/>
      </w:pPr>
      <w:r>
        <w:rPr>
          <w:rFonts w:hint="eastAsia"/>
        </w:rPr>
        <w:t>1.前期准备</w:t>
      </w:r>
    </w:p>
    <w:p>
      <w:pPr>
        <w:spacing w:line="360" w:lineRule="auto"/>
        <w:ind w:firstLine="560"/>
      </w:pPr>
      <w:r>
        <w:rPr>
          <w:rFonts w:hint="eastAsia"/>
        </w:rPr>
        <w:t>1、前期准备：</w:t>
      </w:r>
    </w:p>
    <w:p>
      <w:pPr>
        <w:spacing w:line="360" w:lineRule="auto"/>
        <w:ind w:firstLine="560"/>
      </w:pPr>
      <w:r>
        <w:rPr>
          <w:rFonts w:hint="eastAsia"/>
        </w:rPr>
        <w:t>2</w:t>
      </w:r>
      <w:r>
        <w:t>022</w:t>
      </w:r>
      <w:r>
        <w:rPr>
          <w:rFonts w:hint="eastAsia"/>
        </w:rPr>
        <w:t>年3月1日，</w:t>
      </w:r>
      <w:r>
        <w:rPr>
          <w:rFonts w:hint="eastAsia"/>
          <w:lang w:val="zh-CN"/>
        </w:rPr>
        <w:t>开始前期准备工作，评价组通过前期调研</w:t>
      </w:r>
      <w:r>
        <w:rPr>
          <w:rFonts w:hint="eastAsia"/>
        </w:rPr>
        <w:t>确定绩效评价对象和范围，</w:t>
      </w:r>
      <w:r>
        <w:rPr>
          <w:rFonts w:hint="eastAsia"/>
          <w:lang w:val="zh-CN"/>
        </w:rPr>
        <w:t>确定了评价的目的、方法以及评价的原则，根据项目的内容和特征制定了评价指标体系及评价标准以及评价实施方案，修正并确定所需资料清单，最终确定</w:t>
      </w:r>
      <w:r>
        <w:rPr>
          <w:rFonts w:hint="eastAsia"/>
        </w:rPr>
        <w:t>绩效评价工作方案；</w:t>
      </w:r>
    </w:p>
    <w:p>
      <w:pPr>
        <w:spacing w:line="360" w:lineRule="auto"/>
        <w:ind w:firstLine="560"/>
      </w:pPr>
      <w:r>
        <w:t>2</w:t>
      </w:r>
      <w:r>
        <w:rPr>
          <w:rFonts w:hint="eastAsia"/>
        </w:rPr>
        <w:t>、组织实施：</w:t>
      </w:r>
    </w:p>
    <w:p>
      <w:pPr>
        <w:spacing w:line="360" w:lineRule="auto"/>
        <w:ind w:firstLine="560"/>
      </w:pPr>
      <w:r>
        <w:rPr>
          <w:rFonts w:hint="eastAsia"/>
        </w:rPr>
        <w:t>2</w:t>
      </w:r>
      <w:r>
        <w:t>022</w:t>
      </w:r>
      <w:r>
        <w:rPr>
          <w:rFonts w:hint="eastAsia"/>
        </w:rPr>
        <w:t>年3月10日-3月19日，评价工作进入实施阶段，评价组收集绩效评价相关数据资料，进行现场调研、座谈；并与项目实施负责人沟通，了解资金的内容、操作流程、管理机制、资金使用方向等情况，</w:t>
      </w:r>
      <w:r>
        <w:t>分析</w:t>
      </w:r>
      <w:r>
        <w:rPr>
          <w:rFonts w:hint="eastAsia"/>
        </w:rPr>
        <w:t>形成初步结论。</w:t>
      </w:r>
    </w:p>
    <w:p>
      <w:pPr>
        <w:spacing w:line="360" w:lineRule="auto"/>
        <w:ind w:firstLine="560"/>
      </w:pPr>
      <w:r>
        <w:rPr>
          <w:rFonts w:hint="eastAsia"/>
        </w:rPr>
        <w:t>3、分析评价：</w:t>
      </w:r>
    </w:p>
    <w:p>
      <w:pPr>
        <w:spacing w:line="360" w:lineRule="auto"/>
        <w:ind w:firstLine="560"/>
      </w:pPr>
      <w:r>
        <w:rPr>
          <w:rFonts w:hint="eastAsia"/>
        </w:rPr>
        <w:t>202</w:t>
      </w:r>
      <w:r>
        <w:t>2</w:t>
      </w:r>
      <w:r>
        <w:rPr>
          <w:rFonts w:hint="eastAsia"/>
        </w:rPr>
        <w:t>年3月20日-3月31日，评价组按照绩效评价的原则和规范，对取得的资料进行审查核实，对采集的数据进行分析，按照绩效评价指标评分表逐项进行打分、分析，汇总各方评价结果，综合分析并形成评价结论。</w:t>
      </w:r>
    </w:p>
    <w:p>
      <w:pPr>
        <w:pStyle w:val="3"/>
        <w:numPr>
          <w:ilvl w:val="0"/>
          <w:numId w:val="2"/>
        </w:numPr>
        <w:ind w:firstLine="643" w:firstLineChars="0"/>
      </w:pPr>
      <w:r>
        <w:rPr>
          <w:rFonts w:hint="eastAsia"/>
        </w:rPr>
        <w:t>综合评价情况及评价结论</w:t>
      </w:r>
    </w:p>
    <w:p>
      <w:pPr>
        <w:pStyle w:val="4"/>
        <w:spacing w:before="260" w:after="260" w:line="360" w:lineRule="auto"/>
        <w:ind w:firstLine="0" w:firstLineChars="0"/>
        <w:rPr>
          <w:rFonts w:ascii="仿宋_GB2312" w:eastAsia="仿宋_GB2312" w:hAnsiTheme="majorHAnsi" w:cstheme="majorBidi"/>
          <w:b w:val="0"/>
          <w:szCs w:val="32"/>
        </w:rPr>
      </w:pPr>
      <w:r>
        <w:rPr>
          <w:rFonts w:hint="eastAsia" w:ascii="仿宋_GB2312" w:eastAsia="仿宋_GB2312" w:hAnsiTheme="majorHAnsi" w:cstheme="majorBidi"/>
          <w:b w:val="0"/>
          <w:szCs w:val="32"/>
        </w:rPr>
        <w:t>（一）综合评价情况</w:t>
      </w:r>
    </w:p>
    <w:p>
      <w:pPr>
        <w:spacing w:line="360" w:lineRule="auto"/>
        <w:ind w:firstLine="560"/>
        <w:rPr>
          <w:color w:val="auto"/>
        </w:rPr>
      </w:pPr>
      <w:r>
        <w:rPr>
          <w:rFonts w:hint="eastAsia"/>
          <w:color w:val="auto"/>
        </w:rPr>
        <w:t>本项目严格按照</w:t>
      </w:r>
      <w:r>
        <w:rPr>
          <w:rFonts w:hint="eastAsia"/>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rPr>
        <w:t>因素分析法</w:t>
      </w:r>
      <w:r>
        <w:rPr>
          <w:rFonts w:hint="eastAsia"/>
          <w:color w:val="auto"/>
        </w:rPr>
        <w:t>，坚持</w:t>
      </w:r>
      <w:r>
        <w:rPr>
          <w:rFonts w:hint="eastAsia"/>
          <w:bCs/>
          <w:color w:val="auto"/>
          <w:sz w:val="32"/>
          <w:szCs w:val="32"/>
        </w:rPr>
        <w:t>计划标准，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560"/>
        <w:jc w:val="center"/>
      </w:pPr>
      <w:r>
        <w:rPr>
          <w:rFonts w:hint="eastAsia"/>
        </w:rPr>
        <w:t>2021年机关单位养老保险补助项目评价得分情况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ind w:firstLine="440"/>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ind w:firstLine="440"/>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ind w:firstLine="440"/>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40"/>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40"/>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40"/>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40"/>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ind w:firstLine="440"/>
              <w:jc w:val="center"/>
              <w:rPr>
                <w:rFonts w:hint="default" w:eastAsia="仿宋_GB2312"/>
                <w:color w:val="000000"/>
                <w:sz w:val="22"/>
                <w:lang w:val="en-US" w:eastAsia="zh-CN"/>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40"/>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ind w:firstLine="440"/>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ind w:firstLine="440"/>
              <w:jc w:val="center"/>
              <w:rPr>
                <w:b/>
                <w:bCs/>
                <w:color w:val="000000"/>
                <w:sz w:val="22"/>
              </w:rPr>
            </w:pPr>
            <w:r>
              <w:rPr>
                <w:rFonts w:hint="eastAsia"/>
                <w:b/>
                <w:bCs/>
                <w:color w:val="000000"/>
                <w:sz w:val="22"/>
              </w:rPr>
              <w:t>100</w:t>
            </w:r>
          </w:p>
        </w:tc>
      </w:tr>
    </w:tbl>
    <w:p>
      <w:pPr>
        <w:pStyle w:val="2"/>
        <w:ind w:firstLine="560"/>
      </w:pPr>
    </w:p>
    <w:p>
      <w:pPr>
        <w:pStyle w:val="4"/>
        <w:ind w:left="560" w:leftChars="200" w:firstLine="0" w:firstLineChars="0"/>
      </w:pPr>
      <w:r>
        <w:rPr>
          <w:rFonts w:hint="eastAsia"/>
        </w:rPr>
        <w:t>（二）评价结论</w:t>
      </w:r>
    </w:p>
    <w:p>
      <w:pPr>
        <w:pStyle w:val="3"/>
        <w:ind w:firstLine="0" w:firstLineChars="0"/>
        <w:rPr>
          <w:rFonts w:ascii="仿宋_GB2312" w:hAnsi="仿宋_GB2312" w:eastAsia="仿宋_GB2312" w:cs="仿宋_GB2312"/>
          <w:b w:val="0"/>
          <w:kern w:val="2"/>
          <w:sz w:val="28"/>
          <w:szCs w:val="24"/>
        </w:rPr>
      </w:pPr>
      <w:r>
        <w:rPr>
          <w:rFonts w:hint="eastAsia" w:ascii="仿宋_GB2312" w:hAnsi="仿宋_GB2312" w:eastAsia="仿宋_GB2312" w:cs="仿宋_GB2312"/>
          <w:b w:val="0"/>
          <w:kern w:val="2"/>
          <w:sz w:val="28"/>
          <w:szCs w:val="24"/>
        </w:rPr>
        <w:t>本项目的项目决策、项目过程、项目产出、项目效益均达到了预期要求，最终得分为100分，项目达成年度指标。</w:t>
      </w:r>
    </w:p>
    <w:p>
      <w:pPr>
        <w:pStyle w:val="3"/>
        <w:ind w:firstLine="643"/>
      </w:pPr>
      <w:r>
        <w:rPr>
          <w:rFonts w:hint="eastAsia"/>
        </w:rPr>
        <w:t>四、绩效评价指标分析</w:t>
      </w:r>
    </w:p>
    <w:p>
      <w:pPr>
        <w:pStyle w:val="4"/>
        <w:ind w:firstLine="643"/>
      </w:pPr>
      <w:r>
        <w:rPr>
          <w:rFonts w:hint="eastAsia"/>
        </w:rPr>
        <w:t>（一）项目决策情况</w:t>
      </w:r>
    </w:p>
    <w:p>
      <w:pPr>
        <w:ind w:firstLine="560"/>
        <w:rPr>
          <w:b/>
          <w:bCs/>
        </w:rPr>
      </w:pPr>
      <w:r>
        <w:rPr>
          <w:rFonts w:hint="eastAsia"/>
          <w:b/>
          <w:bCs/>
        </w:rPr>
        <w:t>（1）立项依据充分性</w:t>
      </w:r>
    </w:p>
    <w:p>
      <w:pPr>
        <w:spacing w:line="360" w:lineRule="auto"/>
        <w:ind w:firstLine="560"/>
      </w:pPr>
      <w:r>
        <w:rPr>
          <w:rFonts w:hint="eastAsia"/>
        </w:rPr>
        <w:t>项目立项依据《自治区人民政府关于自治区机关事业单位工作人员养老保险制度改革的实施意见》（新政发〔2015〕105号）精神，确保机关事业单位退休人员养老金按时足额发放。项目立项符合行业发展规划和政策要求；项目立项与部门职责范围相符，属于部门履职所需；项目属于公共财政支持范围，符合中央、地方事权支出责任划分原则；项目不与相关部门同类项目或部门内部相关项目重复。</w:t>
      </w:r>
    </w:p>
    <w:p>
      <w:pPr>
        <w:ind w:firstLine="560"/>
        <w:rPr>
          <w:b/>
          <w:bCs/>
        </w:rPr>
      </w:pPr>
      <w:r>
        <w:rPr>
          <w:rFonts w:hint="eastAsia"/>
          <w:b/>
          <w:bCs/>
        </w:rPr>
        <w:t>（2）立项程序规范性</w:t>
      </w:r>
    </w:p>
    <w:p>
      <w:pPr>
        <w:spacing w:line="360" w:lineRule="auto"/>
        <w:ind w:firstLine="560"/>
      </w:pPr>
      <w:r>
        <w:rPr>
          <w:rFonts w:hint="eastAsia"/>
        </w:rPr>
        <w:t>项目按照规定的程序申请设立；审批文件、材料符合相关要求；事前已经过必要的可行性研究、专家论证、风险评估、绩效评估、集体决策。</w:t>
      </w:r>
    </w:p>
    <w:p>
      <w:pPr>
        <w:spacing w:line="360" w:lineRule="auto"/>
        <w:ind w:firstLine="560"/>
      </w:pPr>
      <w:r>
        <w:rPr>
          <w:rFonts w:hint="eastAsia"/>
        </w:rPr>
        <w:t>3、绩效目标合理性</w:t>
      </w:r>
    </w:p>
    <w:p>
      <w:pPr>
        <w:spacing w:line="360" w:lineRule="auto"/>
        <w:ind w:firstLine="560"/>
      </w:pPr>
      <w:r>
        <w:rPr>
          <w:rFonts w:hint="eastAsia"/>
        </w:rPr>
        <w:t>项目有绩效目标；项目绩效目标与实际工作内容具有相关性；项目预期产出效益和效果符合正常的业绩水平；与预算确定的项目投资额或资金量相匹配。</w:t>
      </w:r>
    </w:p>
    <w:p>
      <w:pPr>
        <w:spacing w:line="360" w:lineRule="auto"/>
        <w:ind w:firstLine="560"/>
      </w:pPr>
      <w:r>
        <w:rPr>
          <w:rFonts w:hint="eastAsia"/>
        </w:rPr>
        <w:t>4、绩效指标明确性</w:t>
      </w:r>
    </w:p>
    <w:p>
      <w:pPr>
        <w:spacing w:line="360" w:lineRule="auto"/>
        <w:ind w:firstLine="560"/>
      </w:pPr>
      <w:bookmarkStart w:id="13" w:name="_Hlk68699917"/>
      <w:r>
        <w:rPr>
          <w:rFonts w:hint="eastAsia"/>
        </w:rPr>
        <w:t>2021年机关单位养老保险补助项目将项目绩效目标细化分解为具体的绩效指标，一级指标共2条，二级指标共6条，三级指标共12条，其中量化指标条数共</w:t>
      </w:r>
      <w:r>
        <w:rPr>
          <w:rFonts w:hint="eastAsia"/>
          <w:lang w:val="en-US" w:eastAsia="zh-CN"/>
        </w:rPr>
        <w:t>11</w:t>
      </w:r>
      <w:r>
        <w:rPr>
          <w:rFonts w:hint="eastAsia"/>
        </w:rPr>
        <w:t>条，所有绩效指标均通过清晰、可衡量的指标值予以体现，并且做到了与项目目标任务数或计划数相对应。</w:t>
      </w:r>
      <w:bookmarkEnd w:id="13"/>
    </w:p>
    <w:p>
      <w:pPr>
        <w:spacing w:line="360" w:lineRule="auto"/>
        <w:ind w:firstLine="560"/>
      </w:pPr>
      <w:r>
        <w:rPr>
          <w:rFonts w:hint="eastAsia"/>
        </w:rPr>
        <w:t>5、预算编制科学性</w:t>
      </w:r>
    </w:p>
    <w:p>
      <w:pPr>
        <w:spacing w:line="360" w:lineRule="auto"/>
        <w:ind w:firstLine="560"/>
      </w:pPr>
      <w:r>
        <w:rPr>
          <w:rFonts w:hint="eastAsia"/>
        </w:rPr>
        <w:t>预算编制经过科学论证；预算内容与项目内容匹配；预算额度测算依据充分，按照标准编制；预算确定的项目资金量与工作任务相匹配。</w:t>
      </w:r>
    </w:p>
    <w:p>
      <w:pPr>
        <w:spacing w:line="360" w:lineRule="auto"/>
        <w:ind w:firstLine="560"/>
      </w:pPr>
      <w:r>
        <w:rPr>
          <w:rFonts w:hint="eastAsia"/>
        </w:rPr>
        <w:t>6、资金分配合理性</w:t>
      </w:r>
    </w:p>
    <w:p>
      <w:pPr>
        <w:spacing w:line="360" w:lineRule="auto"/>
        <w:ind w:firstLine="560"/>
        <w:rPr>
          <w:color w:val="FF0000"/>
        </w:rPr>
      </w:pPr>
      <w:r>
        <w:rPr>
          <w:rFonts w:hint="eastAsia"/>
        </w:rPr>
        <w:t>预算资金分配依据充分；资金分配额度合理，与项目单位或地方实际相适应。</w:t>
      </w:r>
    </w:p>
    <w:p>
      <w:pPr>
        <w:pStyle w:val="4"/>
        <w:spacing w:line="360" w:lineRule="auto"/>
        <w:ind w:firstLine="640"/>
        <w:rPr>
          <w:rFonts w:ascii="仿宋_GB2312" w:eastAsia="仿宋_GB2312"/>
          <w:b w:val="0"/>
        </w:rPr>
      </w:pPr>
      <w:bookmarkStart w:id="14" w:name="_Toc68703839"/>
      <w:r>
        <w:rPr>
          <w:rFonts w:hint="eastAsia" w:ascii="仿宋_GB2312" w:eastAsia="仿宋_GB2312"/>
          <w:b w:val="0"/>
        </w:rPr>
        <w:t>（二）项目过程情况。</w:t>
      </w:r>
      <w:bookmarkEnd w:id="14"/>
    </w:p>
    <w:p>
      <w:pPr>
        <w:spacing w:line="360" w:lineRule="auto"/>
        <w:ind w:firstLine="560"/>
      </w:pPr>
      <w:r>
        <w:rPr>
          <w:rFonts w:hint="eastAsia"/>
        </w:rPr>
        <w:t>1、资金到位率：</w:t>
      </w:r>
    </w:p>
    <w:p>
      <w:pPr>
        <w:spacing w:line="360" w:lineRule="auto"/>
        <w:ind w:firstLine="560"/>
        <w:rPr>
          <w:color w:val="FF0000"/>
        </w:rPr>
      </w:pPr>
      <w:r>
        <w:rPr>
          <w:rFonts w:hint="eastAsia"/>
        </w:rPr>
        <w:t>预算资金2200万元，实际到位资金2200万元，资金到位率100%。</w:t>
      </w:r>
    </w:p>
    <w:p>
      <w:pPr>
        <w:spacing w:line="360" w:lineRule="auto"/>
        <w:ind w:firstLine="560"/>
      </w:pPr>
      <w:r>
        <w:rPr>
          <w:rFonts w:hint="eastAsia"/>
        </w:rPr>
        <w:t>2、预算执行率</w:t>
      </w:r>
    </w:p>
    <w:p>
      <w:pPr>
        <w:spacing w:line="360" w:lineRule="auto"/>
        <w:ind w:firstLine="560"/>
      </w:pPr>
      <w:r>
        <w:rPr>
          <w:rFonts w:hint="eastAsia"/>
        </w:rPr>
        <w:t>年初预算数2200万元，全年预算数2200万元，全年执行数2200万元，预算执行率为100%。</w:t>
      </w:r>
    </w:p>
    <w:p>
      <w:pPr>
        <w:spacing w:line="360" w:lineRule="auto"/>
        <w:ind w:firstLine="560"/>
      </w:pPr>
      <w:r>
        <w:rPr>
          <w:rFonts w:hint="eastAsia"/>
        </w:rPr>
        <w:t>3、资金使用合规性</w:t>
      </w:r>
    </w:p>
    <w:p>
      <w:pPr>
        <w:spacing w:line="360" w:lineRule="auto"/>
        <w:ind w:firstLine="560"/>
      </w:pPr>
      <w:r>
        <w:rPr>
          <w:rFonts w:hint="eastAsia"/>
        </w:rPr>
        <w:t>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ind w:firstLine="560"/>
      </w:pPr>
      <w:r>
        <w:rPr>
          <w:rFonts w:hint="eastAsia"/>
        </w:rPr>
        <w:t>4、管理制度健全性</w:t>
      </w:r>
    </w:p>
    <w:p>
      <w:pPr>
        <w:spacing w:line="360" w:lineRule="auto"/>
        <w:ind w:firstLine="560"/>
      </w:pPr>
      <w:r>
        <w:rPr>
          <w:rFonts w:hint="eastAsia"/>
        </w:rPr>
        <w:t>已制定相应的财务和业务管理制度；财务和业务管理制度合法、合规、完整。</w:t>
      </w:r>
    </w:p>
    <w:p>
      <w:pPr>
        <w:numPr>
          <w:ilvl w:val="0"/>
          <w:numId w:val="3"/>
        </w:numPr>
        <w:spacing w:line="360" w:lineRule="auto"/>
        <w:ind w:firstLineChars="0"/>
      </w:pPr>
      <w:r>
        <w:rPr>
          <w:rFonts w:hint="eastAsia"/>
        </w:rPr>
        <w:t>制度执行有效性</w:t>
      </w:r>
    </w:p>
    <w:p>
      <w:pPr>
        <w:spacing w:line="360" w:lineRule="auto"/>
        <w:ind w:firstLine="560"/>
      </w:pPr>
      <w:r>
        <w:rPr>
          <w:rFonts w:hint="eastAsia"/>
        </w:rPr>
        <w:t>遵守相关法律法规和相关管理规定；项目调整及支出调整手续完备；</w:t>
      </w:r>
    </w:p>
    <w:p>
      <w:pPr>
        <w:spacing w:line="360" w:lineRule="auto"/>
        <w:ind w:left="0" w:leftChars="0" w:firstLine="0" w:firstLineChars="0"/>
        <w:rPr>
          <w:rFonts w:hint="eastAsia"/>
        </w:rPr>
      </w:pPr>
      <w:r>
        <w:rPr>
          <w:rFonts w:hint="eastAsia"/>
        </w:rPr>
        <w:t>项目合同书、验收报告、技术鉴定等资料齐全并及时归档；项目实施的人员条件、场地设备、信息支撑等落实到位。</w:t>
      </w:r>
    </w:p>
    <w:p>
      <w:pPr>
        <w:pStyle w:val="4"/>
        <w:spacing w:line="360" w:lineRule="auto"/>
        <w:ind w:firstLine="640"/>
        <w:rPr>
          <w:rFonts w:ascii="仿宋_GB2312" w:eastAsia="仿宋_GB2312"/>
          <w:b w:val="0"/>
        </w:rPr>
      </w:pPr>
      <w:bookmarkStart w:id="15" w:name="_Toc68703840"/>
      <w:r>
        <w:rPr>
          <w:rFonts w:hint="eastAsia" w:ascii="仿宋_GB2312" w:eastAsia="仿宋_GB2312"/>
          <w:b w:val="0"/>
        </w:rPr>
        <w:t>（三）项目产出情况。</w:t>
      </w:r>
      <w:bookmarkEnd w:id="15"/>
    </w:p>
    <w:p>
      <w:pPr>
        <w:spacing w:line="360" w:lineRule="auto"/>
        <w:ind w:firstLine="560"/>
        <w:rPr>
          <w:rFonts w:hint="eastAsia"/>
        </w:rPr>
      </w:pPr>
      <w:r>
        <w:rPr>
          <w:rFonts w:hint="eastAsia"/>
        </w:rPr>
        <w:t>1、数量指标：指标1：发放机关养老待遇人数，指标值:=7461人，，实际完成值7332人，指标完成率98.5%，偏差原因：主要是在职转退休42人，辞职和辞退36人，造成人员减少保险费收入下降；</w:t>
      </w:r>
    </w:p>
    <w:p>
      <w:pPr>
        <w:spacing w:line="360" w:lineRule="auto"/>
        <w:ind w:firstLine="560"/>
        <w:rPr>
          <w:rFonts w:hint="eastAsia"/>
        </w:rPr>
      </w:pPr>
      <w:r>
        <w:rPr>
          <w:rFonts w:hint="eastAsia"/>
        </w:rPr>
        <w:t>指标2：机关养老单位退休人数，指标值：=3313人 ，实际完成值3370人，指标完成率101.7%，偏差原因：全年预计机关事业单位养老退休3313人，实际退休3370人，在职人员达到法定年龄的人员逐年增多。</w:t>
      </w:r>
    </w:p>
    <w:p>
      <w:pPr>
        <w:spacing w:line="360" w:lineRule="auto"/>
        <w:ind w:firstLine="560"/>
        <w:rPr>
          <w:rFonts w:hint="eastAsia"/>
        </w:rPr>
      </w:pPr>
      <w:r>
        <w:rPr>
          <w:rFonts w:hint="eastAsia"/>
        </w:rPr>
        <w:t>2、质量指标： 1：养老保险发放准确率指标，指标值：=100% ，实际完成值100%，指标完成率100%；指标2：符合企业养老单位养老保险参保率 ，指标值：=100% ，实际完成值100% ，指标完成率=100%。</w:t>
      </w:r>
    </w:p>
    <w:p>
      <w:pPr>
        <w:spacing w:line="360" w:lineRule="auto"/>
        <w:ind w:firstLine="560"/>
        <w:rPr>
          <w:rFonts w:hint="eastAsia"/>
        </w:rPr>
      </w:pPr>
      <w:r>
        <w:rPr>
          <w:rFonts w:hint="eastAsia"/>
        </w:rPr>
        <w:t>3、时效指标：养老金发放及时性，指标值：=100% ，实际完成值100%，指标完成率100%；</w:t>
      </w:r>
    </w:p>
    <w:p>
      <w:pPr>
        <w:spacing w:line="360" w:lineRule="auto"/>
        <w:ind w:firstLine="560"/>
        <w:rPr>
          <w:rFonts w:hint="eastAsia"/>
        </w:rPr>
      </w:pPr>
      <w:r>
        <w:rPr>
          <w:rFonts w:hint="eastAsia"/>
        </w:rPr>
        <w:t>4、成本指标：1：收缴保险费，指标值：≤13197万元 ，实际完成值13016万元，指标完成率98.6%；主要是在职转退休42人，辞职和辞退36人，造成人员减少保险费收入下降；指标</w:t>
      </w:r>
      <w:r>
        <w:rPr>
          <w:rFonts w:hint="eastAsia"/>
          <w:lang w:val="en-US" w:eastAsia="zh-CN"/>
        </w:rPr>
        <w:t>2</w:t>
      </w:r>
      <w:r>
        <w:rPr>
          <w:rFonts w:hint="eastAsia"/>
        </w:rPr>
        <w:t>：本级补助金额，指标值：≤2200万元，实际完成值2200万元，指标完成率</w:t>
      </w:r>
      <w:r>
        <w:rPr>
          <w:rFonts w:hint="eastAsia"/>
          <w:lang w:val="en-US" w:eastAsia="zh-CN"/>
        </w:rPr>
        <w:t>100</w:t>
      </w:r>
      <w:r>
        <w:rPr>
          <w:rFonts w:hint="eastAsia"/>
        </w:rPr>
        <w:t>%；指标</w:t>
      </w:r>
      <w:r>
        <w:rPr>
          <w:rFonts w:hint="eastAsia"/>
          <w:lang w:val="en-US" w:eastAsia="zh-CN"/>
        </w:rPr>
        <w:t>3：</w:t>
      </w:r>
      <w:r>
        <w:rPr>
          <w:rFonts w:hint="eastAsia"/>
        </w:rPr>
        <w:t>中央补助资金，指标值≤1565万元，实际完成值1565万元，指标完成率</w:t>
      </w:r>
      <w:r>
        <w:rPr>
          <w:rFonts w:hint="eastAsia"/>
          <w:lang w:val="en-US" w:eastAsia="zh-CN"/>
        </w:rPr>
        <w:t>100</w:t>
      </w:r>
      <w:r>
        <w:rPr>
          <w:rFonts w:hint="eastAsia"/>
        </w:rPr>
        <w:t>%；指标</w:t>
      </w:r>
      <w:r>
        <w:rPr>
          <w:rFonts w:hint="eastAsia"/>
          <w:lang w:val="en-US" w:eastAsia="zh-CN"/>
        </w:rPr>
        <w:t>:4</w:t>
      </w:r>
      <w:r>
        <w:rPr>
          <w:rFonts w:hint="eastAsia"/>
        </w:rPr>
        <w:t>：省级补助资金，指标值：≤3964万元，实际完成值3964万元，指标完成率</w:t>
      </w:r>
      <w:r>
        <w:rPr>
          <w:rFonts w:hint="eastAsia"/>
          <w:lang w:val="en-US" w:eastAsia="zh-CN"/>
        </w:rPr>
        <w:t>100</w:t>
      </w:r>
      <w:r>
        <w:rPr>
          <w:rFonts w:hint="eastAsia"/>
        </w:rPr>
        <w:t>%；</w:t>
      </w:r>
    </w:p>
    <w:p>
      <w:pPr>
        <w:pStyle w:val="4"/>
        <w:spacing w:line="360" w:lineRule="auto"/>
        <w:ind w:firstLine="640"/>
        <w:rPr>
          <w:rFonts w:ascii="仿宋_GB2312" w:eastAsia="仿宋_GB2312"/>
          <w:b w:val="0"/>
        </w:rPr>
      </w:pPr>
      <w:bookmarkStart w:id="16" w:name="_Toc68703841"/>
      <w:r>
        <w:rPr>
          <w:rFonts w:hint="eastAsia" w:ascii="仿宋_GB2312" w:eastAsia="仿宋_GB2312"/>
          <w:b w:val="0"/>
        </w:rPr>
        <w:t>（四）项目效益情况。</w:t>
      </w:r>
      <w:bookmarkEnd w:id="16"/>
    </w:p>
    <w:p>
      <w:pPr>
        <w:spacing w:line="360" w:lineRule="auto"/>
        <w:ind w:firstLine="560"/>
        <w:rPr>
          <w:rFonts w:hint="eastAsia"/>
        </w:rPr>
      </w:pPr>
      <w:r>
        <w:rPr>
          <w:rFonts w:hint="eastAsia"/>
        </w:rPr>
        <w:t>1、社会效益指标：社保缴费给社会带来收入，为社会和企业做出贡献的能力加强，指标值：效果显著，实际完成值：效果显著，指标完成率100%；</w:t>
      </w:r>
    </w:p>
    <w:p>
      <w:pPr>
        <w:spacing w:line="360" w:lineRule="auto"/>
        <w:ind w:firstLine="560"/>
        <w:rPr>
          <w:rFonts w:hint="eastAsia"/>
        </w:rPr>
      </w:pPr>
      <w:r>
        <w:rPr>
          <w:rFonts w:hint="eastAsia"/>
        </w:rPr>
        <w:t>2、满意度指标：</w:t>
      </w:r>
      <w:r>
        <w:rPr>
          <w:rFonts w:hint="eastAsia"/>
          <w:lang w:val="en-US" w:eastAsia="zh-CN"/>
        </w:rPr>
        <w:t>指标1：</w:t>
      </w:r>
      <w:r>
        <w:rPr>
          <w:rFonts w:hint="eastAsia"/>
        </w:rPr>
        <w:t>退休人员满意度，指标值：≥96%，实际完成值97</w:t>
      </w:r>
      <w:r>
        <w:rPr>
          <w:rFonts w:hint="eastAsia"/>
          <w:lang w:val="en-US" w:eastAsia="zh-CN"/>
        </w:rPr>
        <w:t>6</w:t>
      </w:r>
      <w:r>
        <w:rPr>
          <w:rFonts w:hint="eastAsia"/>
        </w:rPr>
        <w:t>%，指标完成率10</w:t>
      </w:r>
      <w:r>
        <w:rPr>
          <w:rFonts w:hint="eastAsia"/>
          <w:lang w:val="en-US" w:eastAsia="zh-CN"/>
        </w:rPr>
        <w:t>0</w:t>
      </w:r>
      <w:r>
        <w:rPr>
          <w:rFonts w:hint="eastAsia"/>
        </w:rPr>
        <w:t>%；</w:t>
      </w:r>
      <w:r>
        <w:rPr>
          <w:rFonts w:hint="eastAsia"/>
          <w:lang w:val="en-US" w:eastAsia="zh-CN"/>
        </w:rPr>
        <w:t>指标2：</w:t>
      </w:r>
      <w:r>
        <w:rPr>
          <w:rFonts w:hint="eastAsia"/>
        </w:rPr>
        <w:t>参保人员满意度</w:t>
      </w:r>
      <w:r>
        <w:rPr>
          <w:rFonts w:hint="eastAsia"/>
          <w:lang w:eastAsia="zh-CN"/>
        </w:rPr>
        <w:t>，</w:t>
      </w:r>
      <w:r>
        <w:rPr>
          <w:rFonts w:hint="eastAsia"/>
        </w:rPr>
        <w:t>指标值：≥96%,，实际完成值9</w:t>
      </w:r>
      <w:r>
        <w:rPr>
          <w:rFonts w:hint="eastAsia"/>
          <w:lang w:val="en-US" w:eastAsia="zh-CN"/>
        </w:rPr>
        <w:t>6</w:t>
      </w:r>
      <w:r>
        <w:rPr>
          <w:rFonts w:hint="eastAsia"/>
        </w:rPr>
        <w:t>%，指标完成率10</w:t>
      </w:r>
      <w:r>
        <w:rPr>
          <w:rFonts w:hint="eastAsia"/>
          <w:lang w:val="en-US" w:eastAsia="zh-CN"/>
        </w:rPr>
        <w:t>0</w:t>
      </w:r>
      <w:bookmarkStart w:id="20" w:name="_GoBack"/>
      <w:bookmarkEnd w:id="20"/>
      <w:r>
        <w:rPr>
          <w:rFonts w:hint="eastAsia"/>
        </w:rPr>
        <w:t>%；</w:t>
      </w:r>
    </w:p>
    <w:p>
      <w:pPr>
        <w:spacing w:line="360" w:lineRule="auto"/>
        <w:ind w:left="0" w:leftChars="0" w:firstLine="0" w:firstLineChars="0"/>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五、主要经验及做法、存在的问题及原因分析</w:t>
      </w:r>
    </w:p>
    <w:p>
      <w:pPr>
        <w:pStyle w:val="4"/>
        <w:numPr>
          <w:ilvl w:val="0"/>
          <w:numId w:val="4"/>
        </w:numPr>
        <w:ind w:firstLine="643"/>
      </w:pPr>
      <w:bookmarkStart w:id="17" w:name="_Toc1921"/>
      <w:bookmarkStart w:id="18" w:name="_Toc28290"/>
      <w:r>
        <w:rPr>
          <w:rFonts w:hint="eastAsia"/>
        </w:rPr>
        <w:t>主要经验及做法</w:t>
      </w:r>
    </w:p>
    <w:p>
      <w:pPr>
        <w:ind w:firstLine="560"/>
      </w:pPr>
      <w:r>
        <w:rPr>
          <w:rFonts w:hint="eastAsia"/>
        </w:rPr>
        <w:t>1.完善内控制度，严防经办风险，严格落实《社会保险法》和相关制度文件精神，加强基金风险防控，全面取消社银人工报盘、全面取消业务手工办理、全面取消现金业务，合理设置岗位，按照不相容岗位不能一人兼任的原则，明确责任分工，建立内部制衡机制，杜绝了经办风险。</w:t>
      </w:r>
    </w:p>
    <w:p>
      <w:pPr>
        <w:ind w:firstLine="560"/>
      </w:pPr>
      <w:r>
        <w:rPr>
          <w:rFonts w:hint="eastAsia"/>
        </w:rPr>
        <w:t>2.按规定开设机关事业单位养老保险基金收入户、支出户和财政专户，专款专用，严格按照收支两条线使用基金。做到每月与业务、税务、银行和财政四方对账，保障基金安全运行。</w:t>
      </w:r>
    </w:p>
    <w:p>
      <w:pPr>
        <w:ind w:firstLine="560"/>
      </w:pPr>
      <w:r>
        <w:rPr>
          <w:rFonts w:hint="eastAsia"/>
        </w:rPr>
        <w:t>3.加强数据统计工作，确保数据来源有依据、分析合理合规。根据上年决算和本年预算任务，合理权衡待遇享受人数、新增和死亡人数，测算合理月人均标准，确保退休人员养老金发放准确率。</w:t>
      </w:r>
    </w:p>
    <w:p>
      <w:pPr>
        <w:spacing w:line="600" w:lineRule="exact"/>
        <w:ind w:firstLine="560"/>
      </w:pPr>
      <w:r>
        <w:rPr>
          <w:rFonts w:hint="eastAsia"/>
        </w:rPr>
        <w:t xml:space="preserve">4.各业务经办科室实行科长负责制，工作人员对自己经办业务负责，科室负责人向局领导负责，全局对经办业务实行责任倒查追究制。经办业务实行一岗双人或多人复核制，实行相关岗位之间的相互监督。 </w:t>
      </w:r>
    </w:p>
    <w:bookmarkEnd w:id="17"/>
    <w:bookmarkEnd w:id="18"/>
    <w:p>
      <w:pPr>
        <w:pStyle w:val="4"/>
        <w:numPr>
          <w:ilvl w:val="0"/>
          <w:numId w:val="4"/>
        </w:numPr>
        <w:ind w:firstLine="643"/>
      </w:pPr>
      <w:r>
        <w:rPr>
          <w:rFonts w:hint="eastAsia"/>
        </w:rPr>
        <w:t>存在的问题及原因分析</w:t>
      </w:r>
    </w:p>
    <w:p>
      <w:pPr>
        <w:ind w:firstLine="560"/>
      </w:pPr>
      <w:r>
        <w:rPr>
          <w:rFonts w:hint="eastAsia"/>
        </w:rPr>
        <w:t>1.机关事业单位养老保险退休人员待遇资格认证工作进度较慢，影响业务经办，待遇调整等相关工作落实。</w:t>
      </w:r>
    </w:p>
    <w:p>
      <w:pPr>
        <w:ind w:firstLine="560"/>
      </w:pPr>
      <w:r>
        <w:rPr>
          <w:rFonts w:hint="eastAsia"/>
        </w:rPr>
        <w:t>2.目前业务系统、财务系统更新升级，参保单位经办人员业务素质参差不齐，对于相关业务申报、单位变更、人员新增、停保、续保、基数核定等业务数据上报不能按时按质完成。</w:t>
      </w:r>
    </w:p>
    <w:p>
      <w:pPr>
        <w:pStyle w:val="2"/>
        <w:ind w:firstLine="560"/>
      </w:pPr>
      <w:r>
        <w:rPr>
          <w:rFonts w:hint="eastAsia"/>
        </w:rPr>
        <w:t>3.统计数据质量不高，在业务经办过程中，存在清欠和欠缴经办、待遇调资和补发等高风险业务。需要业务经办人员做好业务台账，为月度、季度和年度报表填报，基金分析做好基础数据统计。由于业务经办人员政策理解不深，台账建立不规范，导致数据报送质量不高。</w:t>
      </w:r>
    </w:p>
    <w:p>
      <w:pPr>
        <w:pStyle w:val="3"/>
        <w:ind w:left="0" w:leftChars="0" w:firstLine="0" w:firstLineChars="0"/>
      </w:pPr>
      <w:r>
        <w:rPr>
          <w:rFonts w:hint="eastAsia"/>
        </w:rPr>
        <w:t>六、有关建议</w:t>
      </w:r>
    </w:p>
    <w:p>
      <w:pPr>
        <w:ind w:firstLine="560"/>
      </w:pPr>
      <w:r>
        <w:rPr>
          <w:rFonts w:hint="eastAsia"/>
        </w:rPr>
        <w:t>1.加强对参保单位业务经办人员的业务指导工作，在审核上报材料时，点对点进行指导，并结合互联网、钉钉培训等方式进行业务交流，政策宣传，提高办事效率。</w:t>
      </w:r>
    </w:p>
    <w:p>
      <w:pPr>
        <w:pStyle w:val="2"/>
        <w:ind w:firstLine="560"/>
      </w:pPr>
      <w:r>
        <w:rPr>
          <w:rFonts w:hint="eastAsia"/>
        </w:rPr>
        <w:t>2.加大新疆智慧人社APP宣传力度，指导乡镇村（社区）对基层服务平台使用率，做好退休人员待遇资格认证工作计划，确保享受待遇人员能够按时足额领取养老金。</w:t>
      </w:r>
    </w:p>
    <w:p>
      <w:pPr>
        <w:pStyle w:val="2"/>
        <w:ind w:firstLine="560"/>
        <w:rPr>
          <w:rFonts w:hint="eastAsia"/>
        </w:rPr>
      </w:pPr>
      <w:r>
        <w:rPr>
          <w:rFonts w:hint="eastAsia"/>
        </w:rPr>
        <w:t>3、加大培训力度，提高统计质量，做好政策解释。机关事业单位养老保险制度政策性强，按新制度重算养老金涉及的参保人数多，情况复杂，需经办人员学政策、懂政策。以政策为依据开展业务经办，建立规范台账。</w:t>
      </w:r>
      <w:bookmarkStart w:id="19" w:name="_Toc68703846"/>
      <w:r>
        <w:rPr>
          <w:rFonts w:hint="eastAsia"/>
        </w:rPr>
        <w:t xml:space="preserve"> </w:t>
      </w:r>
    </w:p>
    <w:p>
      <w:pPr>
        <w:pStyle w:val="3"/>
        <w:spacing w:line="360" w:lineRule="auto"/>
        <w:ind w:left="0" w:leftChars="0" w:firstLine="0" w:firstLineChars="0"/>
        <w:rPr>
          <w:rFonts w:ascii="宋体" w:hAnsi="宋体" w:eastAsia="宋体"/>
          <w:szCs w:val="32"/>
        </w:rPr>
      </w:pPr>
      <w:r>
        <w:rPr>
          <w:rFonts w:hint="eastAsia" w:ascii="宋体" w:hAnsi="宋体" w:eastAsia="宋体"/>
          <w:szCs w:val="32"/>
        </w:rPr>
        <w:t>七、其他需要说明的问题</w:t>
      </w:r>
    </w:p>
    <w:p>
      <w:pPr>
        <w:pStyle w:val="2"/>
        <w:ind w:firstLine="560"/>
      </w:pPr>
      <w:r>
        <w:rPr>
          <w:rFonts w:hint="eastAsia"/>
        </w:rPr>
        <w:t xml:space="preserve"> </w:t>
      </w:r>
      <w:r>
        <w:rPr>
          <w:rFonts w:hint="eastAsia" w:ascii="宋体" w:hAnsi="宋体" w:eastAsia="宋体"/>
          <w:sz w:val="32"/>
          <w:szCs w:val="32"/>
        </w:rPr>
        <w:t xml:space="preserve"> </w:t>
      </w:r>
      <w:bookmarkEnd w:id="19"/>
      <w:r>
        <w:rPr>
          <w:rFonts w:hint="eastAsia"/>
        </w:rPr>
        <w:t>无</w:t>
      </w:r>
    </w:p>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Calibri Light">
    <w:panose1 w:val="020F03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29AC5"/>
    <w:multiLevelType w:val="singleLevel"/>
    <w:tmpl w:val="E6729AC5"/>
    <w:lvl w:ilvl="0" w:tentative="0">
      <w:start w:val="5"/>
      <w:numFmt w:val="decimal"/>
      <w:suff w:val="nothing"/>
      <w:lvlText w:val="%1、"/>
      <w:lvlJc w:val="left"/>
      <w:pPr>
        <w:ind w:left="-163"/>
      </w:pPr>
    </w:lvl>
  </w:abstractNum>
  <w:abstractNum w:abstractNumId="1">
    <w:nsid w:val="F8E64B2D"/>
    <w:multiLevelType w:val="singleLevel"/>
    <w:tmpl w:val="F8E64B2D"/>
    <w:lvl w:ilvl="0" w:tentative="0">
      <w:start w:val="3"/>
      <w:numFmt w:val="chineseCounting"/>
      <w:suff w:val="nothing"/>
      <w:lvlText w:val="%1、"/>
      <w:lvlJc w:val="left"/>
      <w:pPr>
        <w:ind w:left="477"/>
      </w:pPr>
      <w:rPr>
        <w:rFonts w:hint="eastAsia"/>
      </w:rPr>
    </w:lvl>
  </w:abstractNum>
  <w:abstractNum w:abstractNumId="2">
    <w:nsid w:val="3A7260C0"/>
    <w:multiLevelType w:val="multilevel"/>
    <w:tmpl w:val="3A7260C0"/>
    <w:lvl w:ilvl="0" w:tentative="0">
      <w:start w:val="1"/>
      <w:numFmt w:val="chineseCountingThousand"/>
      <w:pStyle w:val="16"/>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63560"/>
    <w:rsid w:val="0006362E"/>
    <w:rsid w:val="000E4AA1"/>
    <w:rsid w:val="00141D14"/>
    <w:rsid w:val="001877A2"/>
    <w:rsid w:val="00195B5F"/>
    <w:rsid w:val="001C088B"/>
    <w:rsid w:val="001E2251"/>
    <w:rsid w:val="00272D23"/>
    <w:rsid w:val="00273908"/>
    <w:rsid w:val="00276103"/>
    <w:rsid w:val="002A12FD"/>
    <w:rsid w:val="002C3717"/>
    <w:rsid w:val="00354CFA"/>
    <w:rsid w:val="00386D43"/>
    <w:rsid w:val="003B734B"/>
    <w:rsid w:val="003F4564"/>
    <w:rsid w:val="004A23A1"/>
    <w:rsid w:val="004C32BD"/>
    <w:rsid w:val="0054133D"/>
    <w:rsid w:val="005477D0"/>
    <w:rsid w:val="005B4FEB"/>
    <w:rsid w:val="006520ED"/>
    <w:rsid w:val="0066064D"/>
    <w:rsid w:val="00794C9B"/>
    <w:rsid w:val="007E7B2D"/>
    <w:rsid w:val="008525F2"/>
    <w:rsid w:val="008567A3"/>
    <w:rsid w:val="00860A53"/>
    <w:rsid w:val="00885A15"/>
    <w:rsid w:val="00896869"/>
    <w:rsid w:val="00905259"/>
    <w:rsid w:val="00917428"/>
    <w:rsid w:val="00960587"/>
    <w:rsid w:val="009676F5"/>
    <w:rsid w:val="0098479D"/>
    <w:rsid w:val="009A5EE6"/>
    <w:rsid w:val="00A43D0F"/>
    <w:rsid w:val="00A83364"/>
    <w:rsid w:val="00B42E92"/>
    <w:rsid w:val="00B56579"/>
    <w:rsid w:val="00BB2DFC"/>
    <w:rsid w:val="00BB375B"/>
    <w:rsid w:val="00BD2446"/>
    <w:rsid w:val="00C24083"/>
    <w:rsid w:val="00C50A8E"/>
    <w:rsid w:val="00C81922"/>
    <w:rsid w:val="00CB5CEA"/>
    <w:rsid w:val="00CF0D1A"/>
    <w:rsid w:val="00D117F3"/>
    <w:rsid w:val="00DA0BA5"/>
    <w:rsid w:val="00E01AC9"/>
    <w:rsid w:val="00E35197"/>
    <w:rsid w:val="00EC4605"/>
    <w:rsid w:val="00F24D00"/>
    <w:rsid w:val="00F32DA5"/>
    <w:rsid w:val="00F41229"/>
    <w:rsid w:val="00F77FAE"/>
    <w:rsid w:val="00FA7744"/>
    <w:rsid w:val="00FB2881"/>
    <w:rsid w:val="00FB5B81"/>
    <w:rsid w:val="00FE2E85"/>
    <w:rsid w:val="01210E75"/>
    <w:rsid w:val="013571CC"/>
    <w:rsid w:val="01651534"/>
    <w:rsid w:val="02192A12"/>
    <w:rsid w:val="025E5398"/>
    <w:rsid w:val="03192943"/>
    <w:rsid w:val="0345075E"/>
    <w:rsid w:val="03604A98"/>
    <w:rsid w:val="03A22059"/>
    <w:rsid w:val="03A94CBD"/>
    <w:rsid w:val="03E56F24"/>
    <w:rsid w:val="04252B91"/>
    <w:rsid w:val="04771C8A"/>
    <w:rsid w:val="04E03556"/>
    <w:rsid w:val="04FF572D"/>
    <w:rsid w:val="05102BD6"/>
    <w:rsid w:val="05B111BE"/>
    <w:rsid w:val="05D61D70"/>
    <w:rsid w:val="06314CDE"/>
    <w:rsid w:val="07001D05"/>
    <w:rsid w:val="07437DE1"/>
    <w:rsid w:val="076A2FB8"/>
    <w:rsid w:val="07AD5903"/>
    <w:rsid w:val="07D3115B"/>
    <w:rsid w:val="08011D50"/>
    <w:rsid w:val="08A3344A"/>
    <w:rsid w:val="08BB6E3C"/>
    <w:rsid w:val="099D6902"/>
    <w:rsid w:val="0A401CF1"/>
    <w:rsid w:val="0A7F7BEB"/>
    <w:rsid w:val="0AB91467"/>
    <w:rsid w:val="0B544A39"/>
    <w:rsid w:val="0BB5692C"/>
    <w:rsid w:val="0BFF2C04"/>
    <w:rsid w:val="0CDB3C8B"/>
    <w:rsid w:val="0CF16C09"/>
    <w:rsid w:val="0D254B14"/>
    <w:rsid w:val="0D401D7F"/>
    <w:rsid w:val="0D537DC9"/>
    <w:rsid w:val="0D9337B1"/>
    <w:rsid w:val="0DA41D97"/>
    <w:rsid w:val="0DD94036"/>
    <w:rsid w:val="0E760F4E"/>
    <w:rsid w:val="0E7945F2"/>
    <w:rsid w:val="0F460F0A"/>
    <w:rsid w:val="10CD78A3"/>
    <w:rsid w:val="10D24617"/>
    <w:rsid w:val="10E01BF4"/>
    <w:rsid w:val="118956CF"/>
    <w:rsid w:val="11CF317E"/>
    <w:rsid w:val="122E0D4B"/>
    <w:rsid w:val="12CE26FC"/>
    <w:rsid w:val="12DC01F1"/>
    <w:rsid w:val="12F1313F"/>
    <w:rsid w:val="133736E8"/>
    <w:rsid w:val="134B4485"/>
    <w:rsid w:val="136B7EA6"/>
    <w:rsid w:val="13CB62D5"/>
    <w:rsid w:val="141532BE"/>
    <w:rsid w:val="14355152"/>
    <w:rsid w:val="147A0732"/>
    <w:rsid w:val="14E160AC"/>
    <w:rsid w:val="14FF33BF"/>
    <w:rsid w:val="161E716E"/>
    <w:rsid w:val="162564F5"/>
    <w:rsid w:val="163E540C"/>
    <w:rsid w:val="16A63575"/>
    <w:rsid w:val="17AF7810"/>
    <w:rsid w:val="17B56D39"/>
    <w:rsid w:val="18CF312E"/>
    <w:rsid w:val="18FE68B9"/>
    <w:rsid w:val="19BA7001"/>
    <w:rsid w:val="19F04C8F"/>
    <w:rsid w:val="1A041D47"/>
    <w:rsid w:val="1A4E2313"/>
    <w:rsid w:val="1A7E6CD1"/>
    <w:rsid w:val="1A9721A9"/>
    <w:rsid w:val="1ABE4935"/>
    <w:rsid w:val="1AF31CAE"/>
    <w:rsid w:val="1AFA4355"/>
    <w:rsid w:val="1B132A70"/>
    <w:rsid w:val="1C106641"/>
    <w:rsid w:val="1C963740"/>
    <w:rsid w:val="1CDF1C8D"/>
    <w:rsid w:val="1DBD0502"/>
    <w:rsid w:val="1E29281A"/>
    <w:rsid w:val="1E2E38FD"/>
    <w:rsid w:val="1E4625FD"/>
    <w:rsid w:val="1FA92513"/>
    <w:rsid w:val="204670EA"/>
    <w:rsid w:val="20A32962"/>
    <w:rsid w:val="21472FCE"/>
    <w:rsid w:val="220F112D"/>
    <w:rsid w:val="22116C90"/>
    <w:rsid w:val="225419B6"/>
    <w:rsid w:val="22AE2B77"/>
    <w:rsid w:val="22D35B02"/>
    <w:rsid w:val="22F76E54"/>
    <w:rsid w:val="230B3170"/>
    <w:rsid w:val="23152076"/>
    <w:rsid w:val="23AF4058"/>
    <w:rsid w:val="23FB70E7"/>
    <w:rsid w:val="245E1E24"/>
    <w:rsid w:val="249B0915"/>
    <w:rsid w:val="24D822AF"/>
    <w:rsid w:val="251B23C3"/>
    <w:rsid w:val="2522065A"/>
    <w:rsid w:val="269E1C01"/>
    <w:rsid w:val="270E36DB"/>
    <w:rsid w:val="28123F81"/>
    <w:rsid w:val="28346F1F"/>
    <w:rsid w:val="292502B4"/>
    <w:rsid w:val="29367532"/>
    <w:rsid w:val="297E1849"/>
    <w:rsid w:val="29872594"/>
    <w:rsid w:val="29F912F9"/>
    <w:rsid w:val="2A053F0F"/>
    <w:rsid w:val="2A0E5FE4"/>
    <w:rsid w:val="2A5C3075"/>
    <w:rsid w:val="2B0354D3"/>
    <w:rsid w:val="2B04610D"/>
    <w:rsid w:val="2B1F5779"/>
    <w:rsid w:val="2C103347"/>
    <w:rsid w:val="2C354EEF"/>
    <w:rsid w:val="2CA11846"/>
    <w:rsid w:val="2CE144A3"/>
    <w:rsid w:val="2D2020D3"/>
    <w:rsid w:val="2D21415B"/>
    <w:rsid w:val="2E483E7E"/>
    <w:rsid w:val="2ED141DB"/>
    <w:rsid w:val="2EFD0BB2"/>
    <w:rsid w:val="2F3B238E"/>
    <w:rsid w:val="2F433682"/>
    <w:rsid w:val="2FBE23F9"/>
    <w:rsid w:val="2FCE2953"/>
    <w:rsid w:val="306375A0"/>
    <w:rsid w:val="31BD74A8"/>
    <w:rsid w:val="32BE6210"/>
    <w:rsid w:val="33245D67"/>
    <w:rsid w:val="332F7DDD"/>
    <w:rsid w:val="33944516"/>
    <w:rsid w:val="33977674"/>
    <w:rsid w:val="34703D7A"/>
    <w:rsid w:val="3495583D"/>
    <w:rsid w:val="34CF6A20"/>
    <w:rsid w:val="351271B8"/>
    <w:rsid w:val="35235D04"/>
    <w:rsid w:val="35CD5908"/>
    <w:rsid w:val="36185B49"/>
    <w:rsid w:val="364E24D8"/>
    <w:rsid w:val="36F639B3"/>
    <w:rsid w:val="377A3C61"/>
    <w:rsid w:val="379860C5"/>
    <w:rsid w:val="37D868A3"/>
    <w:rsid w:val="380C7559"/>
    <w:rsid w:val="385E5351"/>
    <w:rsid w:val="38CC7587"/>
    <w:rsid w:val="39EF36FF"/>
    <w:rsid w:val="3A2F32B2"/>
    <w:rsid w:val="3AB85DA5"/>
    <w:rsid w:val="3B81424B"/>
    <w:rsid w:val="3BF52975"/>
    <w:rsid w:val="3CD245B6"/>
    <w:rsid w:val="3D164687"/>
    <w:rsid w:val="3DD100DA"/>
    <w:rsid w:val="3F202EEF"/>
    <w:rsid w:val="402E0899"/>
    <w:rsid w:val="413E2617"/>
    <w:rsid w:val="416D45C7"/>
    <w:rsid w:val="41AE34DD"/>
    <w:rsid w:val="41DC3A2D"/>
    <w:rsid w:val="42015B51"/>
    <w:rsid w:val="42A807FE"/>
    <w:rsid w:val="42E728B5"/>
    <w:rsid w:val="42EC6E2A"/>
    <w:rsid w:val="4314493A"/>
    <w:rsid w:val="439276D1"/>
    <w:rsid w:val="44A140E5"/>
    <w:rsid w:val="44FB6109"/>
    <w:rsid w:val="44FF2EBC"/>
    <w:rsid w:val="45C15881"/>
    <w:rsid w:val="46B8436F"/>
    <w:rsid w:val="46C91D88"/>
    <w:rsid w:val="46F6536F"/>
    <w:rsid w:val="474B3A63"/>
    <w:rsid w:val="474D608C"/>
    <w:rsid w:val="484708EE"/>
    <w:rsid w:val="48CF2183"/>
    <w:rsid w:val="496F16F8"/>
    <w:rsid w:val="49762DC4"/>
    <w:rsid w:val="49E67B1E"/>
    <w:rsid w:val="4A94466D"/>
    <w:rsid w:val="4A996944"/>
    <w:rsid w:val="4C1D2C48"/>
    <w:rsid w:val="4C7A3AD6"/>
    <w:rsid w:val="4C9A373A"/>
    <w:rsid w:val="4E4A6D47"/>
    <w:rsid w:val="4F3E381F"/>
    <w:rsid w:val="4F62157E"/>
    <w:rsid w:val="4F733A2D"/>
    <w:rsid w:val="4F8035D7"/>
    <w:rsid w:val="4F990299"/>
    <w:rsid w:val="4FB67747"/>
    <w:rsid w:val="4FBF0F9C"/>
    <w:rsid w:val="4FD22EFB"/>
    <w:rsid w:val="4FD56C07"/>
    <w:rsid w:val="510470C5"/>
    <w:rsid w:val="511FF2A1"/>
    <w:rsid w:val="51B83537"/>
    <w:rsid w:val="529258AD"/>
    <w:rsid w:val="52D26015"/>
    <w:rsid w:val="52DF6AF8"/>
    <w:rsid w:val="533A30AC"/>
    <w:rsid w:val="53F612A4"/>
    <w:rsid w:val="55A5494A"/>
    <w:rsid w:val="55F15371"/>
    <w:rsid w:val="563870A3"/>
    <w:rsid w:val="56803BC3"/>
    <w:rsid w:val="569F363F"/>
    <w:rsid w:val="56FD7960"/>
    <w:rsid w:val="57972C21"/>
    <w:rsid w:val="579A544D"/>
    <w:rsid w:val="57E24104"/>
    <w:rsid w:val="58A75580"/>
    <w:rsid w:val="58BC28B4"/>
    <w:rsid w:val="59440C05"/>
    <w:rsid w:val="59471FDA"/>
    <w:rsid w:val="596C0719"/>
    <w:rsid w:val="59C17926"/>
    <w:rsid w:val="5BAF5519"/>
    <w:rsid w:val="5BFE74D7"/>
    <w:rsid w:val="5C6878B6"/>
    <w:rsid w:val="5D394E5E"/>
    <w:rsid w:val="5F055AC8"/>
    <w:rsid w:val="5F156BFB"/>
    <w:rsid w:val="5F8C1B79"/>
    <w:rsid w:val="5FA628FE"/>
    <w:rsid w:val="5FC72275"/>
    <w:rsid w:val="5FF92B6E"/>
    <w:rsid w:val="607D0D3D"/>
    <w:rsid w:val="60DF65B8"/>
    <w:rsid w:val="61367AA1"/>
    <w:rsid w:val="618129F7"/>
    <w:rsid w:val="61B66BCA"/>
    <w:rsid w:val="61F10034"/>
    <w:rsid w:val="6227313B"/>
    <w:rsid w:val="62EE2619"/>
    <w:rsid w:val="62FC020C"/>
    <w:rsid w:val="635006DD"/>
    <w:rsid w:val="646B0583"/>
    <w:rsid w:val="647608F6"/>
    <w:rsid w:val="65080B29"/>
    <w:rsid w:val="653A5570"/>
    <w:rsid w:val="6558280C"/>
    <w:rsid w:val="65DD1D77"/>
    <w:rsid w:val="660A356E"/>
    <w:rsid w:val="679922C1"/>
    <w:rsid w:val="682025C1"/>
    <w:rsid w:val="68291A1A"/>
    <w:rsid w:val="68834CA3"/>
    <w:rsid w:val="68C44CB6"/>
    <w:rsid w:val="691B1594"/>
    <w:rsid w:val="6A521AC7"/>
    <w:rsid w:val="6A834252"/>
    <w:rsid w:val="6AFF00C8"/>
    <w:rsid w:val="6B746190"/>
    <w:rsid w:val="6BA87B35"/>
    <w:rsid w:val="6BD662AA"/>
    <w:rsid w:val="6C9E3208"/>
    <w:rsid w:val="6D501E48"/>
    <w:rsid w:val="6E6443CB"/>
    <w:rsid w:val="6E824430"/>
    <w:rsid w:val="6F0D6C22"/>
    <w:rsid w:val="6F1C0747"/>
    <w:rsid w:val="6FD57E76"/>
    <w:rsid w:val="6FDB23DD"/>
    <w:rsid w:val="701232A8"/>
    <w:rsid w:val="714F090E"/>
    <w:rsid w:val="717D53A3"/>
    <w:rsid w:val="724F3B18"/>
    <w:rsid w:val="72C03EA0"/>
    <w:rsid w:val="73C3370B"/>
    <w:rsid w:val="74261159"/>
    <w:rsid w:val="74370315"/>
    <w:rsid w:val="74B936C7"/>
    <w:rsid w:val="75060711"/>
    <w:rsid w:val="75085BEC"/>
    <w:rsid w:val="76104FCF"/>
    <w:rsid w:val="76D2301A"/>
    <w:rsid w:val="770E5307"/>
    <w:rsid w:val="773313CF"/>
    <w:rsid w:val="774329A8"/>
    <w:rsid w:val="77861774"/>
    <w:rsid w:val="782A3A3E"/>
    <w:rsid w:val="78446B4C"/>
    <w:rsid w:val="79300B45"/>
    <w:rsid w:val="79942FC9"/>
    <w:rsid w:val="799D1606"/>
    <w:rsid w:val="79A17504"/>
    <w:rsid w:val="79D66C40"/>
    <w:rsid w:val="79FF3433"/>
    <w:rsid w:val="7A164AB7"/>
    <w:rsid w:val="7A4320F0"/>
    <w:rsid w:val="7A655C15"/>
    <w:rsid w:val="7A835FB1"/>
    <w:rsid w:val="7ADC6BD6"/>
    <w:rsid w:val="7B686778"/>
    <w:rsid w:val="7B6B6941"/>
    <w:rsid w:val="7BA150B9"/>
    <w:rsid w:val="7BAF26A4"/>
    <w:rsid w:val="7BBA1E0C"/>
    <w:rsid w:val="7C66210E"/>
    <w:rsid w:val="7C9E1BA8"/>
    <w:rsid w:val="7CFD31BF"/>
    <w:rsid w:val="7DB60B36"/>
    <w:rsid w:val="7E3138C7"/>
    <w:rsid w:val="7E5F2654"/>
    <w:rsid w:val="7E617414"/>
    <w:rsid w:val="7FD679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b/>
      <w:bCs/>
      <w:kern w:val="0"/>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annotation text"/>
    <w:basedOn w:val="1"/>
    <w:qFormat/>
    <w:uiPriority w:val="0"/>
    <w:pPr>
      <w:jc w:val="left"/>
    </w:pPr>
  </w:style>
  <w:style w:type="paragraph" w:styleId="7">
    <w:name w:val="Balloon Text"/>
    <w:basedOn w:val="1"/>
    <w:link w:val="20"/>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paragraph" w:customStyle="1" w:styleId="15">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6">
    <w:name w:val="标题2"/>
    <w:basedOn w:val="4"/>
    <w:qFormat/>
    <w:uiPriority w:val="0"/>
    <w:pPr>
      <w:numPr>
        <w:ilvl w:val="0"/>
        <w:numId w:val="1"/>
      </w:numPr>
      <w:spacing w:before="120" w:after="120" w:line="500" w:lineRule="exact"/>
    </w:pPr>
    <w:rPr>
      <w:rFonts w:ascii="仿宋_GB2312" w:eastAsia="仿宋_GB2312"/>
    </w:rPr>
  </w:style>
  <w:style w:type="paragraph" w:customStyle="1" w:styleId="17">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8">
    <w:name w:val="闻政正文"/>
    <w:basedOn w:val="1"/>
    <w:qFormat/>
    <w:uiPriority w:val="99"/>
    <w:pPr>
      <w:spacing w:line="500" w:lineRule="exact"/>
      <w:ind w:firstLine="883"/>
    </w:pPr>
    <w:rPr>
      <w:rFonts w:ascii="Times New Roman" w:hAnsi="Times New Roman"/>
      <w:kern w:val="0"/>
      <w:szCs w:val="28"/>
    </w:rPr>
  </w:style>
  <w:style w:type="paragraph" w:customStyle="1" w:styleId="19">
    <w:name w:val="闻政-正文段落文字"/>
    <w:basedOn w:val="1"/>
    <w:qFormat/>
    <w:uiPriority w:val="3"/>
    <w:pPr>
      <w:spacing w:line="500" w:lineRule="exact"/>
      <w:ind w:firstLine="200"/>
    </w:pPr>
    <w:rPr>
      <w:rFonts w:ascii="Times New Roman" w:hAnsi="Times New Roman"/>
      <w:kern w:val="0"/>
      <w:szCs w:val="28"/>
    </w:rPr>
  </w:style>
  <w:style w:type="character" w:customStyle="1" w:styleId="20">
    <w:name w:val="批注框文本 Char"/>
    <w:basedOn w:val="12"/>
    <w:link w:val="7"/>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16</Pages>
  <Words>6187</Words>
  <Characters>6545</Characters>
  <Lines>48</Lines>
  <Paragraphs>13</Paragraphs>
  <TotalTime>4</TotalTime>
  <ScaleCrop>false</ScaleCrop>
  <LinksUpToDate>false</LinksUpToDate>
  <CharactersWithSpaces>6562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123</cp:lastModifiedBy>
  <dcterms:modified xsi:type="dcterms:W3CDTF">2022-04-21T13:06:12Z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DC9F676B7AB14B62A15D502AACFDBB08</vt:lpwstr>
  </property>
</Properties>
</file>