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jc w:val="center"/>
        <w:rPr>
          <w:rFonts w:hint="eastAsia" w:ascii="宋体" w:hAnsi="宋体" w:eastAsia="宋体" w:cs="Arial"/>
          <w:b/>
          <w:bCs/>
          <w:sz w:val="52"/>
          <w:szCs w:val="52"/>
        </w:rPr>
      </w:pPr>
      <w:r>
        <w:rPr>
          <w:rFonts w:hint="eastAsia" w:ascii="宋体" w:hAnsi="宋体" w:eastAsia="宋体" w:cs="Arial"/>
          <w:b/>
          <w:bCs/>
          <w:sz w:val="52"/>
          <w:szCs w:val="52"/>
        </w:rPr>
        <w:t>项目支出绩效评价报告</w:t>
      </w:r>
    </w:p>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
          <w:kern w:val="0"/>
          <w:sz w:val="50"/>
          <w:szCs w:val="50"/>
          <w:lang w:bidi="en-US"/>
        </w:rPr>
      </w:pPr>
      <w:r>
        <w:rPr>
          <w:rFonts w:hint="eastAsia" w:ascii="仿宋_GB2312" w:hAnsi="仿宋_GB2312" w:eastAsia="仿宋_GB2312" w:cs="仿宋_GB2312"/>
          <w:color w:val="000000"/>
          <w:kern w:val="0"/>
          <w:sz w:val="36"/>
          <w:szCs w:val="36"/>
        </w:rPr>
        <w:t>（</w:t>
      </w:r>
      <w:r>
        <w:rPr>
          <w:rFonts w:hint="default" w:ascii="Times New Roman" w:hAnsi="Times New Roman" w:eastAsia="仿宋_GB2312" w:cs="Times New Roman"/>
          <w:color w:val="000000"/>
          <w:kern w:val="0"/>
          <w:sz w:val="36"/>
          <w:szCs w:val="36"/>
        </w:rPr>
        <w:t>2021</w:t>
      </w:r>
      <w:r>
        <w:rPr>
          <w:rFonts w:hint="eastAsia" w:ascii="仿宋_GB2312" w:hAnsi="仿宋_GB2312" w:eastAsia="仿宋_GB2312" w:cs="仿宋_GB2312"/>
          <w:color w:val="000000"/>
          <w:kern w:val="0"/>
          <w:sz w:val="36"/>
          <w:szCs w:val="36"/>
        </w:rPr>
        <w:t>年度）</w:t>
      </w: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项目名称：残疾人事业发展补助资金</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color w:val="000000"/>
          <w:kern w:val="0"/>
          <w:sz w:val="32"/>
          <w:szCs w:val="32"/>
        </w:rPr>
        <w:t>实施单位（公章）：</w:t>
      </w:r>
      <w:r>
        <w:rPr>
          <w:rFonts w:hint="eastAsia" w:ascii="仿宋_GB2312" w:hAnsi="仿宋_GB2312" w:eastAsia="仿宋_GB2312" w:cs="仿宋_GB2312"/>
          <w:b w:val="0"/>
          <w:bCs w:val="0"/>
          <w:kern w:val="0"/>
          <w:sz w:val="32"/>
          <w:szCs w:val="32"/>
        </w:rPr>
        <w:t xml:space="preserve"> </w:t>
      </w:r>
      <w:r>
        <w:rPr>
          <w:rFonts w:hint="eastAsia" w:ascii="仿宋_GB2312" w:hAnsi="仿宋_GB2312" w:eastAsia="仿宋_GB2312" w:cs="仿宋_GB2312"/>
          <w:b w:val="0"/>
          <w:bCs w:val="0"/>
          <w:kern w:val="0"/>
          <w:sz w:val="32"/>
          <w:szCs w:val="32"/>
          <w:lang w:eastAsia="zh-CN"/>
        </w:rPr>
        <w:t>特克斯县民政局</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color w:val="000000"/>
          <w:kern w:val="0"/>
          <w:sz w:val="32"/>
          <w:szCs w:val="32"/>
        </w:rPr>
        <w:t>主管部门（公章）：</w:t>
      </w:r>
      <w:r>
        <w:rPr>
          <w:rFonts w:hint="eastAsia" w:ascii="仿宋_GB2312" w:hAnsi="仿宋_GB2312" w:eastAsia="仿宋_GB2312" w:cs="仿宋_GB2312"/>
          <w:b w:val="0"/>
          <w:bCs w:val="0"/>
          <w:kern w:val="0"/>
          <w:sz w:val="32"/>
          <w:szCs w:val="32"/>
        </w:rPr>
        <w:t xml:space="preserve"> </w:t>
      </w:r>
      <w:r>
        <w:rPr>
          <w:rFonts w:hint="eastAsia" w:ascii="仿宋_GB2312" w:hAnsi="仿宋_GB2312" w:eastAsia="仿宋_GB2312" w:cs="仿宋_GB2312"/>
          <w:b w:val="0"/>
          <w:bCs w:val="0"/>
          <w:kern w:val="0"/>
          <w:sz w:val="32"/>
          <w:szCs w:val="32"/>
          <w:lang w:eastAsia="zh-CN"/>
        </w:rPr>
        <w:t>特克斯县人民政府</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color w:val="000000"/>
          <w:kern w:val="0"/>
          <w:sz w:val="32"/>
          <w:szCs w:val="32"/>
        </w:rPr>
        <w:t>项目负责人（签章）：</w:t>
      </w:r>
      <w:r>
        <w:rPr>
          <w:rFonts w:hint="eastAsia" w:ascii="仿宋_GB2312" w:hAnsi="仿宋_GB2312" w:eastAsia="仿宋_GB2312" w:cs="仿宋_GB2312"/>
          <w:b w:val="0"/>
          <w:bCs w:val="0"/>
          <w:color w:val="000000"/>
          <w:kern w:val="0"/>
          <w:sz w:val="32"/>
          <w:szCs w:val="32"/>
          <w:lang w:eastAsia="zh-CN"/>
        </w:rPr>
        <w:t>单克俊</w:t>
      </w:r>
      <w:r>
        <w:rPr>
          <w:rFonts w:hint="eastAsia" w:ascii="仿宋_GB2312" w:hAnsi="仿宋_GB2312" w:eastAsia="仿宋_GB2312" w:cs="仿宋_GB2312"/>
          <w:b w:val="0"/>
          <w:bCs w:val="0"/>
          <w:kern w:val="0"/>
          <w:sz w:val="32"/>
          <w:szCs w:val="32"/>
        </w:rPr>
        <w:t xml:space="preserve"> </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填报时间：2022年</w:t>
      </w:r>
      <w:r>
        <w:rPr>
          <w:rFonts w:hint="eastAsia" w:ascii="仿宋_GB2312" w:hAnsi="仿宋_GB2312" w:cs="仿宋_GB2312"/>
          <w:b w:val="0"/>
          <w:bCs w:val="0"/>
          <w:color w:val="000000"/>
          <w:kern w:val="0"/>
          <w:sz w:val="32"/>
          <w:szCs w:val="32"/>
          <w:lang w:val="en-US" w:eastAsia="zh-CN"/>
        </w:rPr>
        <w:t>4</w:t>
      </w:r>
      <w:r>
        <w:rPr>
          <w:rFonts w:hint="eastAsia" w:ascii="仿宋_GB2312" w:hAnsi="仿宋_GB2312" w:eastAsia="仿宋_GB2312" w:cs="仿宋_GB2312"/>
          <w:b w:val="0"/>
          <w:bCs w:val="0"/>
          <w:color w:val="000000"/>
          <w:kern w:val="0"/>
          <w:sz w:val="32"/>
          <w:szCs w:val="32"/>
        </w:rPr>
        <w:t>月</w:t>
      </w:r>
      <w:r>
        <w:rPr>
          <w:rFonts w:hint="eastAsia" w:ascii="仿宋_GB2312" w:hAnsi="仿宋_GB2312" w:cs="仿宋_GB2312"/>
          <w:b w:val="0"/>
          <w:bCs w:val="0"/>
          <w:color w:val="000000"/>
          <w:kern w:val="0"/>
          <w:sz w:val="32"/>
          <w:szCs w:val="32"/>
          <w:lang w:val="en-US" w:eastAsia="zh-CN"/>
        </w:rPr>
        <w:t>12</w:t>
      </w:r>
      <w:r>
        <w:rPr>
          <w:rFonts w:hint="eastAsia" w:ascii="仿宋_GB2312" w:hAnsi="仿宋_GB2312" w:eastAsia="仿宋_GB2312" w:cs="仿宋_GB2312"/>
          <w:b w:val="0"/>
          <w:bCs w:val="0"/>
          <w:color w:val="000000"/>
          <w:kern w:val="0"/>
          <w:sz w:val="32"/>
          <w:szCs w:val="32"/>
        </w:rPr>
        <w:t>日</w:t>
      </w:r>
    </w:p>
    <w:p>
      <w:pPr>
        <w:pageBreakBefore w:val="0"/>
        <w:widowControl/>
        <w:kinsoku/>
        <w:wordWrap/>
        <w:overflowPunct/>
        <w:topLinePunct w:val="0"/>
        <w:autoSpaceDE/>
        <w:autoSpaceDN/>
        <w:bidi w:val="0"/>
        <w:spacing w:line="560" w:lineRule="exact"/>
        <w:jc w:val="left"/>
        <w:textAlignment w:val="auto"/>
        <w:rPr>
          <w:rFonts w:ascii="宋体" w:hAnsi="宋体" w:eastAsia="宋体" w:cs="Arial"/>
          <w:b/>
          <w:bCs/>
          <w:sz w:val="36"/>
          <w:szCs w:val="36"/>
        </w:rPr>
      </w:pPr>
      <w:r>
        <w:rPr>
          <w:rFonts w:ascii="宋体" w:hAnsi="宋体" w:eastAsia="宋体" w:cs="Arial"/>
          <w:b/>
          <w:bCs/>
          <w:sz w:val="36"/>
          <w:szCs w:val="36"/>
        </w:rPr>
        <w:br w:type="page"/>
      </w:r>
    </w:p>
    <w:p>
      <w:pPr>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宋体" w:hAnsi="宋体" w:eastAsia="宋体" w:cs="Arial"/>
          <w:b/>
          <w:bCs/>
          <w:sz w:val="36"/>
          <w:szCs w:val="36"/>
        </w:rPr>
        <w:t>项目支出绩效评价报告</w:t>
      </w:r>
    </w:p>
    <w:p>
      <w:pPr>
        <w:pageBreakBefore w:val="0"/>
        <w:kinsoku/>
        <w:wordWrap/>
        <w:overflowPunct/>
        <w:topLinePunct w:val="0"/>
        <w:autoSpaceDE/>
        <w:autoSpaceDN/>
        <w:bidi w:val="0"/>
        <w:spacing w:line="560" w:lineRule="exact"/>
        <w:jc w:val="center"/>
        <w:textAlignment w:val="auto"/>
        <w:rPr>
          <w:rFonts w:ascii="仿宋_GB2312"/>
          <w:szCs w:val="30"/>
        </w:rPr>
      </w:pP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rPr>
      </w:pPr>
      <w:bookmarkStart w:id="0" w:name="_Toc68703827"/>
      <w:r>
        <w:rPr>
          <w:rFonts w:hint="eastAsia" w:ascii="黑体" w:hAnsi="黑体" w:eastAsia="黑体" w:cs="黑体"/>
          <w:b w:val="0"/>
          <w:bCs w:val="0"/>
          <w:sz w:val="32"/>
          <w:szCs w:val="32"/>
        </w:rPr>
        <w:t>一、基本情况</w:t>
      </w:r>
      <w:bookmarkEnd w:id="0"/>
    </w:p>
    <w:p>
      <w:pPr>
        <w:pStyle w:val="6"/>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hAnsi="Times New Roman" w:cs="Times New Roman"/>
        </w:rPr>
      </w:pPr>
      <w:r>
        <w:rPr>
          <w:rFonts w:hint="eastAsia" w:ascii="仿宋_GB2312" w:hAnsi="Times New Roman" w:cs="Times New Roman"/>
        </w:rPr>
        <w:t>1、项目背景</w:t>
      </w:r>
    </w:p>
    <w:p>
      <w:pPr>
        <w:pStyle w:val="9"/>
        <w:ind w:firstLine="640" w:firstLineChars="200"/>
        <w:rPr>
          <w:rFonts w:ascii="宋体" w:hAnsi="宋体" w:cs="宋体"/>
          <w:color w:val="auto"/>
          <w:sz w:val="32"/>
          <w:szCs w:val="32"/>
          <w:highlight w:val="none"/>
        </w:rPr>
      </w:pPr>
      <w:r>
        <w:rPr>
          <w:rFonts w:hint="eastAsia" w:ascii="宋体" w:hAnsi="宋体" w:cs="宋体"/>
          <w:color w:val="auto"/>
          <w:sz w:val="32"/>
          <w:szCs w:val="32"/>
          <w:highlight w:val="none"/>
        </w:rPr>
        <w:t>根据《自治区人民政府关于建立困难残疾人生活补贴和重度残疾人护理补贴制度的实施意见》（新政发【</w:t>
      </w:r>
      <w:r>
        <w:rPr>
          <w:rFonts w:ascii="宋体" w:hAnsi="宋体" w:cs="宋体"/>
          <w:color w:val="auto"/>
          <w:sz w:val="32"/>
          <w:szCs w:val="32"/>
          <w:highlight w:val="none"/>
        </w:rPr>
        <w:t>2016】44号）和特财预【2020】10号文件精神，</w:t>
      </w:r>
      <w:r>
        <w:rPr>
          <w:rFonts w:hint="eastAsia" w:ascii="宋体" w:hAnsi="宋体" w:cs="宋体"/>
          <w:color w:val="auto"/>
          <w:sz w:val="32"/>
          <w:szCs w:val="32"/>
          <w:highlight w:val="none"/>
        </w:rPr>
        <w:t>切实减轻城乡</w:t>
      </w:r>
      <w:r>
        <w:rPr>
          <w:rFonts w:hint="eastAsia" w:ascii="宋体" w:hAnsi="宋体" w:cs="宋体"/>
          <w:color w:val="auto"/>
          <w:sz w:val="32"/>
          <w:szCs w:val="32"/>
          <w:highlight w:val="none"/>
          <w:lang w:eastAsia="zh-CN"/>
        </w:rPr>
        <w:t>残疾</w:t>
      </w:r>
      <w:r>
        <w:rPr>
          <w:rFonts w:hint="eastAsia" w:ascii="宋体" w:hAnsi="宋体" w:cs="宋体"/>
          <w:color w:val="auto"/>
          <w:sz w:val="32"/>
          <w:szCs w:val="32"/>
          <w:highlight w:val="none"/>
        </w:rPr>
        <w:t>群众生活困难，确保把党的惠民政策落到实处。财政一卡通发放方式</w:t>
      </w:r>
      <w:r>
        <w:rPr>
          <w:rFonts w:hint="eastAsia" w:ascii="宋体" w:hAnsi="宋体" w:cs="宋体"/>
          <w:color w:val="auto"/>
          <w:sz w:val="32"/>
          <w:szCs w:val="32"/>
          <w:highlight w:val="none"/>
          <w:lang w:eastAsia="zh-CN"/>
        </w:rPr>
        <w:t>残疾人护理补贴</w:t>
      </w:r>
      <w:r>
        <w:rPr>
          <w:rFonts w:hint="eastAsia" w:ascii="宋体" w:hAnsi="宋体" w:cs="宋体"/>
          <w:color w:val="auto"/>
          <w:sz w:val="32"/>
          <w:szCs w:val="32"/>
          <w:highlight w:val="none"/>
        </w:rPr>
        <w:t>、</w:t>
      </w:r>
      <w:r>
        <w:rPr>
          <w:rFonts w:hint="eastAsia" w:ascii="宋体" w:hAnsi="宋体" w:cs="宋体"/>
          <w:color w:val="auto"/>
          <w:sz w:val="32"/>
          <w:szCs w:val="32"/>
          <w:highlight w:val="none"/>
          <w:lang w:eastAsia="zh-CN"/>
        </w:rPr>
        <w:t>生活补贴</w:t>
      </w:r>
      <w:r>
        <w:rPr>
          <w:rFonts w:ascii="宋体" w:hAnsi="宋体" w:cs="宋体"/>
          <w:color w:val="auto"/>
          <w:sz w:val="32"/>
          <w:szCs w:val="32"/>
          <w:highlight w:val="none"/>
        </w:rPr>
        <w:t>不断提高残疾人生活水平。</w:t>
      </w:r>
      <w:r>
        <w:rPr>
          <w:rFonts w:hint="eastAsia" w:ascii="宋体" w:hAnsi="宋体" w:cs="宋体"/>
          <w:color w:val="auto"/>
          <w:sz w:val="32"/>
          <w:szCs w:val="32"/>
          <w:highlight w:val="none"/>
        </w:rPr>
        <w:t xml:space="preserve"> </w:t>
      </w:r>
    </w:p>
    <w:p>
      <w:pPr>
        <w:spacing w:line="360" w:lineRule="auto"/>
        <w:ind w:firstLine="600" w:firstLineChars="200"/>
        <w:rPr>
          <w:rFonts w:hint="eastAsia" w:ascii="仿宋_GB2312" w:hAnsi="Times New Roman" w:cs="Times New Roman"/>
        </w:rPr>
      </w:pPr>
      <w:r>
        <w:rPr>
          <w:rFonts w:hint="eastAsia" w:ascii="仿宋_GB2312" w:hAnsi="Times New Roman" w:cs="Times New Roman"/>
          <w:lang w:val="en-US" w:eastAsia="zh-CN"/>
        </w:rPr>
        <w:t>2、</w:t>
      </w:r>
      <w:r>
        <w:rPr>
          <w:rFonts w:hint="eastAsia" w:ascii="仿宋_GB2312" w:hAnsi="Times New Roman" w:cs="Times New Roman"/>
        </w:rPr>
        <w:t>主要内容及实施情况</w:t>
      </w:r>
    </w:p>
    <w:p>
      <w:pPr>
        <w:pageBreakBefore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主要内容：</w:t>
      </w:r>
    </w:p>
    <w:p>
      <w:pPr>
        <w:pageBreakBefore w:val="0"/>
        <w:kinsoku/>
        <w:wordWrap/>
        <w:overflowPunct/>
        <w:topLinePunct w:val="0"/>
        <w:autoSpaceDE/>
        <w:autoSpaceDN/>
        <w:bidi w:val="0"/>
        <w:spacing w:line="560" w:lineRule="exact"/>
        <w:ind w:firstLine="640" w:firstLineChars="200"/>
        <w:textAlignment w:val="auto"/>
        <w:rPr>
          <w:rFonts w:ascii="宋体" w:hAnsi="宋体" w:cs="宋体"/>
          <w:sz w:val="32"/>
          <w:szCs w:val="32"/>
        </w:rPr>
      </w:pPr>
      <w:r>
        <w:rPr>
          <w:rFonts w:ascii="宋体" w:hAnsi="宋体" w:cs="宋体"/>
          <w:sz w:val="32"/>
          <w:szCs w:val="32"/>
        </w:rPr>
        <w:t>根据年初制定的目标要求，有计划、有步骤在进行工作，在新冠肺炎疫情发生后，能够及时高标准保障困难群众生活，发放困难残疾人生活补贴和重度残疾人护理补贴共计</w:t>
      </w:r>
      <w:r>
        <w:rPr>
          <w:rFonts w:hint="eastAsia" w:ascii="宋体" w:hAnsi="宋体" w:cs="宋体"/>
          <w:sz w:val="32"/>
          <w:szCs w:val="32"/>
          <w:lang w:val="en-US" w:eastAsia="zh-CN"/>
        </w:rPr>
        <w:t>400</w:t>
      </w:r>
      <w:r>
        <w:rPr>
          <w:rFonts w:ascii="宋体" w:hAnsi="宋体" w:cs="宋体"/>
          <w:sz w:val="32"/>
          <w:szCs w:val="32"/>
        </w:rPr>
        <w:t>万元。</w:t>
      </w:r>
    </w:p>
    <w:p>
      <w:pPr>
        <w:pageBreakBefore w:val="0"/>
        <w:kinsoku/>
        <w:wordWrap/>
        <w:overflowPunct/>
        <w:topLinePunct w:val="0"/>
        <w:autoSpaceDE/>
        <w:autoSpaceDN/>
        <w:bidi w:val="0"/>
        <w:spacing w:line="560" w:lineRule="exact"/>
        <w:ind w:firstLine="640" w:firstLineChars="200"/>
        <w:textAlignment w:val="auto"/>
        <w:rPr>
          <w:rFonts w:ascii="宋体" w:hAnsi="宋体" w:eastAsia="仿宋_GB2312" w:cs="宋体"/>
          <w:kern w:val="2"/>
          <w:sz w:val="32"/>
          <w:szCs w:val="32"/>
          <w:lang w:val="en-US" w:eastAsia="zh-CN" w:bidi="ar-SA"/>
        </w:rPr>
      </w:pPr>
      <w:r>
        <w:rPr>
          <w:rFonts w:hint="eastAsia" w:ascii="仿宋_GB2312" w:hAnsi="仿宋_GB2312" w:eastAsia="仿宋_GB2312" w:cs="仿宋_GB2312"/>
          <w:sz w:val="32"/>
          <w:szCs w:val="32"/>
        </w:rPr>
        <w:t>实施情况：</w:t>
      </w:r>
      <w:r>
        <w:rPr>
          <w:rFonts w:hint="eastAsia" w:ascii="仿宋_GB2312" w:hAnsi="仿宋_GB2312" w:eastAsia="仿宋_GB2312" w:cs="仿宋_GB2312"/>
          <w:kern w:val="2"/>
          <w:sz w:val="32"/>
          <w:szCs w:val="32"/>
          <w:lang w:val="en-US" w:eastAsia="zh-CN" w:bidi="ar-SA"/>
        </w:rPr>
        <w:t>根据年初制定的目标要求，有计划、有步骤在进行工作，今年上半年在新冠肺炎疫情发生后，</w:t>
      </w:r>
      <w:r>
        <w:rPr>
          <w:rFonts w:hint="eastAsia" w:ascii="仿宋_GB2312" w:hAnsi="仿宋_GB2312" w:cs="仿宋_GB2312"/>
          <w:kern w:val="2"/>
          <w:sz w:val="32"/>
          <w:szCs w:val="32"/>
          <w:lang w:val="en-US" w:eastAsia="zh-CN" w:bidi="ar-SA"/>
        </w:rPr>
        <w:t>及时保障困难群体</w:t>
      </w:r>
      <w:r>
        <w:rPr>
          <w:rFonts w:hint="eastAsia" w:ascii="仿宋_GB2312" w:hAnsi="仿宋_GB2312" w:eastAsia="仿宋_GB2312" w:cs="仿宋_GB2312"/>
          <w:kern w:val="2"/>
          <w:sz w:val="32"/>
          <w:szCs w:val="32"/>
          <w:lang w:val="en-US" w:eastAsia="zh-CN" w:bidi="ar-SA"/>
        </w:rPr>
        <w:t>，于2021年11月30日前发放全年城乡低保金。</w:t>
      </w:r>
    </w:p>
    <w:p>
      <w:pPr>
        <w:spacing w:line="360" w:lineRule="auto"/>
        <w:ind w:firstLine="600" w:firstLineChars="200"/>
        <w:rPr>
          <w:rFonts w:hint="eastAsia" w:ascii="仿宋_GB2312" w:hAnsi="Times New Roman" w:cs="Times New Roman"/>
          <w:lang w:val="en-US" w:eastAsia="zh-CN"/>
        </w:rPr>
      </w:pPr>
      <w:r>
        <w:rPr>
          <w:rFonts w:hint="eastAsia" w:ascii="仿宋_GB2312" w:hAnsi="Times New Roman" w:cs="Times New Roman"/>
          <w:lang w:val="en-US" w:eastAsia="zh-CN"/>
        </w:rPr>
        <w:t>3、资金投入和使用情况</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资金投入情况：该项目年初预算数</w:t>
      </w:r>
      <w:r>
        <w:rPr>
          <w:rFonts w:hint="eastAsia" w:ascii="仿宋_GB2312" w:hAnsi="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万元，全年预算数</w:t>
      </w:r>
      <w:r>
        <w:rPr>
          <w:rFonts w:hint="eastAsia" w:ascii="仿宋_GB2312" w:hAnsi="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实际总投入</w:t>
      </w:r>
      <w:r>
        <w:rPr>
          <w:rFonts w:hint="eastAsia" w:ascii="仿宋_GB2312" w:hAnsi="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万元，该项目资金已全部落实到位，资金来源为</w:t>
      </w:r>
      <w:r>
        <w:rPr>
          <w:rFonts w:hint="eastAsia" w:ascii="仿宋_GB2312" w:hAnsi="仿宋_GB2312" w:eastAsia="仿宋_GB2312" w:cs="仿宋_GB2312"/>
          <w:color w:val="auto"/>
          <w:sz w:val="32"/>
          <w:szCs w:val="32"/>
          <w:highlight w:val="none"/>
          <w:lang w:eastAsia="zh-CN"/>
        </w:rPr>
        <w:t>上级专项资金</w:t>
      </w:r>
      <w:r>
        <w:rPr>
          <w:rFonts w:hint="eastAsia" w:ascii="仿宋_GB2312" w:hAnsi="仿宋_GB2312" w:eastAsia="仿宋_GB2312" w:cs="仿宋_GB2312"/>
          <w:color w:val="auto"/>
          <w:sz w:val="32"/>
          <w:szCs w:val="32"/>
          <w:highlight w:val="none"/>
        </w:rPr>
        <w:t xml:space="preserve"> 。</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资金使用情况：该项目年初预算数</w:t>
      </w:r>
      <w:r>
        <w:rPr>
          <w:rFonts w:hint="eastAsia" w:ascii="仿宋_GB2312" w:hAnsi="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万元，全年预算数</w:t>
      </w:r>
      <w:r>
        <w:rPr>
          <w:rFonts w:hint="eastAsia" w:ascii="仿宋_GB2312" w:hAnsi="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全年执行数</w:t>
      </w:r>
      <w:r>
        <w:rPr>
          <w:rFonts w:hint="eastAsia" w:ascii="仿宋_GB2312" w:hAnsi="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用于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000000"/>
          <w:kern w:val="0"/>
          <w:sz w:val="32"/>
          <w:szCs w:val="32"/>
        </w:rPr>
        <w:t>残疾人事业发展补助资金</w:t>
      </w:r>
      <w:r>
        <w:rPr>
          <w:rFonts w:hint="eastAsia" w:ascii="仿宋_GB2312" w:hAnsi="仿宋_GB2312" w:cs="仿宋_GB2312"/>
          <w:b w:val="0"/>
          <w:bCs w:val="0"/>
          <w:color w:val="000000"/>
          <w:kern w:val="0"/>
          <w:sz w:val="32"/>
          <w:szCs w:val="32"/>
          <w:lang w:eastAsia="zh-CN"/>
        </w:rPr>
        <w:t>（两项补贴）</w:t>
      </w:r>
    </w:p>
    <w:p>
      <w:pPr>
        <w:pStyle w:val="6"/>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pStyle w:val="7"/>
        <w:tabs>
          <w:tab w:val="left" w:pos="6372"/>
        </w:tabs>
        <w:adjustRightInd w:val="0"/>
        <w:snapToGrid w:val="0"/>
        <w:spacing w:line="579" w:lineRule="exact"/>
        <w:ind w:firstLine="600" w:firstLineChars="200"/>
        <w:rPr>
          <w:rFonts w:hint="eastAsia"/>
          <w:color w:val="auto"/>
          <w:highlight w:val="none"/>
        </w:rPr>
      </w:pPr>
      <w:r>
        <w:rPr>
          <w:rFonts w:hint="eastAsia"/>
          <w:color w:val="auto"/>
          <w:highlight w:val="none"/>
        </w:rPr>
        <w:t>1、总体目标：</w:t>
      </w:r>
      <w:r>
        <w:rPr>
          <w:rFonts w:hint="eastAsia" w:hAnsi="宋体" w:cs="宋体"/>
          <w:sz w:val="32"/>
          <w:szCs w:val="32"/>
          <w:highlight w:val="none"/>
        </w:rPr>
        <w:t>实施国家关于民政工作的基本方针、政策、法律和法规，提出特克斯县民政事业的发展规划。根据《自治区人民政府关于建立困难残疾人生活补贴和重度残疾人护理补贴制度的实施意见》（新政发【2016】44号）文件精神，伊州民字【2016】139号文件要求，需要县级配套两项补贴金。本年专项资金为全县残疾人发放生活补贴和重度残疾人护理补贴合计</w:t>
      </w:r>
      <w:r>
        <w:rPr>
          <w:rFonts w:hint="eastAsia" w:hAnsi="宋体" w:cs="宋体"/>
          <w:sz w:val="32"/>
          <w:szCs w:val="32"/>
          <w:highlight w:val="none"/>
          <w:lang w:val="en-US" w:eastAsia="zh-CN"/>
        </w:rPr>
        <w:t>400</w:t>
      </w:r>
      <w:r>
        <w:rPr>
          <w:rFonts w:hAnsi="宋体" w:cs="宋体"/>
          <w:sz w:val="32"/>
          <w:szCs w:val="32"/>
          <w:highlight w:val="none"/>
        </w:rPr>
        <w:t>万元，</w:t>
      </w:r>
      <w:r>
        <w:rPr>
          <w:rFonts w:hint="eastAsia" w:hAnsi="宋体" w:cs="宋体"/>
          <w:sz w:val="32"/>
          <w:szCs w:val="32"/>
          <w:highlight w:val="none"/>
        </w:rPr>
        <w:t xml:space="preserve"> </w:t>
      </w:r>
    </w:p>
    <w:p>
      <w:pPr>
        <w:pStyle w:val="7"/>
        <w:tabs>
          <w:tab w:val="left" w:pos="6372"/>
        </w:tabs>
        <w:adjustRightInd w:val="0"/>
        <w:snapToGrid w:val="0"/>
        <w:spacing w:line="579" w:lineRule="exact"/>
        <w:ind w:firstLine="600" w:firstLineChars="200"/>
        <w:rPr>
          <w:rFonts w:hint="eastAsia" w:hAnsi="宋体" w:cs="宋体"/>
          <w:sz w:val="32"/>
          <w:szCs w:val="32"/>
          <w:highlight w:val="none"/>
        </w:rPr>
      </w:pPr>
      <w:r>
        <w:rPr>
          <w:color w:val="auto"/>
          <w:highlight w:val="none"/>
        </w:rPr>
        <w:t>2</w:t>
      </w:r>
      <w:r>
        <w:rPr>
          <w:rFonts w:hint="eastAsia"/>
          <w:color w:val="auto"/>
          <w:highlight w:val="none"/>
        </w:rPr>
        <w:t>、阶段性目标：</w:t>
      </w:r>
      <w:r>
        <w:rPr>
          <w:rFonts w:hint="eastAsia" w:hAnsi="宋体" w:cs="宋体"/>
          <w:sz w:val="32"/>
          <w:szCs w:val="32"/>
          <w:highlight w:val="none"/>
          <w:lang w:eastAsia="zh-CN"/>
        </w:rPr>
        <w:t>一是</w:t>
      </w:r>
      <w:r>
        <w:rPr>
          <w:rFonts w:hint="eastAsia" w:hAnsi="宋体" w:cs="宋体"/>
          <w:sz w:val="32"/>
          <w:szCs w:val="32"/>
          <w:highlight w:val="none"/>
        </w:rPr>
        <w:t>按上级政策标准要求，结合本县实际生活水平，及时核定、发放残疾人两项补贴资金，保障残疾人的基本生活，</w:t>
      </w:r>
      <w:r>
        <w:rPr>
          <w:rFonts w:hint="eastAsia" w:hAnsi="宋体" w:cs="宋体"/>
          <w:sz w:val="32"/>
          <w:szCs w:val="32"/>
          <w:highlight w:val="none"/>
          <w:lang w:eastAsia="zh-CN"/>
        </w:rPr>
        <w:t>二是及时做好残疾群体的应纳尽纳及及时清退工作，对不符合享受残疾人两项补贴的对象进行清退，将新增的残疾群体、无生活能力群体保证定期走访入户下乡排查，系统录入与关心关爱。对残疾儿童联系相关部门送学送教，对残疾老人联系社工组织进行护理与关心关爱，</w:t>
      </w:r>
      <w:r>
        <w:rPr>
          <w:rFonts w:hint="eastAsia" w:hAnsi="宋体" w:cs="宋体"/>
          <w:sz w:val="32"/>
          <w:szCs w:val="32"/>
          <w:highlight w:val="none"/>
        </w:rPr>
        <w:t xml:space="preserve">让她们共享祖国改革成果，体现党和人民政府的关怀，促进社会的和谐。 </w:t>
      </w:r>
    </w:p>
    <w:p>
      <w:pPr>
        <w:pStyle w:val="7"/>
        <w:pageBreakBefore w:val="0"/>
        <w:tabs>
          <w:tab w:val="left" w:pos="6372"/>
        </w:tabs>
        <w:kinsoku/>
        <w:wordWrap/>
        <w:overflowPunct/>
        <w:topLinePunct w:val="0"/>
        <w:autoSpaceDE/>
        <w:autoSpaceDN/>
        <w:bidi w:val="0"/>
        <w:adjustRightInd w:val="0"/>
        <w:snapToGrid w:val="0"/>
        <w:spacing w:line="560" w:lineRule="exact"/>
        <w:ind w:firstLine="600" w:firstLineChars="200"/>
        <w:textAlignment w:val="auto"/>
        <w:rPr>
          <w:highlight w:val="none"/>
        </w:rPr>
      </w:pP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rPr>
      </w:pPr>
      <w:bookmarkStart w:id="3" w:name="_Toc68703830"/>
      <w:r>
        <w:rPr>
          <w:rFonts w:hint="eastAsia" w:ascii="黑体" w:hAnsi="黑体" w:eastAsia="黑体" w:cs="黑体"/>
          <w:b w:val="0"/>
          <w:bCs w:val="0"/>
          <w:sz w:val="32"/>
          <w:szCs w:val="32"/>
        </w:rPr>
        <w:t>二、绩效评价工作开展情况</w:t>
      </w:r>
      <w:bookmarkEnd w:id="3"/>
    </w:p>
    <w:p>
      <w:pPr>
        <w:pStyle w:val="6"/>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pStyle w:val="6"/>
        <w:pageBreakBefore w:val="0"/>
        <w:kinsoku/>
        <w:wordWrap/>
        <w:overflowPunct/>
        <w:topLinePunct w:val="0"/>
        <w:autoSpaceDE/>
        <w:autoSpaceDN/>
        <w:bidi w:val="0"/>
        <w:spacing w:before="0" w:after="0" w:line="560" w:lineRule="exact"/>
        <w:ind w:firstLine="640" w:firstLineChars="200"/>
        <w:textAlignment w:val="auto"/>
        <w:rPr>
          <w:rFonts w:hint="eastAsia" w:ascii="宋体" w:hAnsi="宋体" w:eastAsia="仿宋_GB2312" w:cs="宋体"/>
          <w:b w:val="0"/>
          <w:bCs w:val="0"/>
          <w:kern w:val="2"/>
          <w:sz w:val="32"/>
          <w:szCs w:val="32"/>
          <w:highlight w:val="none"/>
          <w:lang w:val="en-US" w:eastAsia="zh-CN" w:bidi="ar-SA"/>
        </w:rPr>
      </w:pPr>
      <w:r>
        <w:rPr>
          <w:rFonts w:hint="eastAsia" w:ascii="宋体" w:hAnsi="宋体" w:eastAsia="仿宋_GB2312" w:cs="宋体"/>
          <w:b w:val="0"/>
          <w:bCs w:val="0"/>
          <w:kern w:val="2"/>
          <w:sz w:val="32"/>
          <w:szCs w:val="32"/>
          <w:highlight w:val="none"/>
          <w:lang w:val="en-US" w:eastAsia="zh-CN" w:bidi="ar-SA"/>
        </w:rPr>
        <w:t>1、绩效评价目的：通过绩效评价，客观地评判项目的管理绩效，了解和掌握残疾人事业发展补助资金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Style w:val="6"/>
        <w:spacing w:line="360" w:lineRule="auto"/>
        <w:rPr>
          <w:rFonts w:hint="eastAsia" w:ascii="仿宋_GB2312" w:eastAsia="仿宋_GB2312"/>
          <w:b w:val="0"/>
          <w:bCs w:val="0"/>
        </w:rPr>
      </w:pPr>
      <w:r>
        <w:rPr>
          <w:rFonts w:hint="eastAsia" w:ascii="仿宋_GB2312" w:eastAsia="仿宋_GB2312"/>
          <w:b w:val="0"/>
          <w:bCs w:val="0"/>
        </w:rPr>
        <w:t>2、绩效评价对象：</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残疾人事业发展补助资金</w:t>
      </w:r>
    </w:p>
    <w:p>
      <w:pPr>
        <w:pStyle w:val="6"/>
        <w:spacing w:line="360" w:lineRule="auto"/>
        <w:rPr>
          <w:rFonts w:hint="eastAsia" w:ascii="仿宋_GB2312" w:eastAsia="仿宋_GB2312"/>
          <w:b w:val="0"/>
          <w:bCs w:val="0"/>
        </w:rPr>
      </w:pPr>
      <w:r>
        <w:rPr>
          <w:rFonts w:hint="eastAsia" w:ascii="仿宋_GB2312" w:eastAsia="仿宋_GB2312"/>
          <w:b w:val="0"/>
          <w:bCs w:val="0"/>
        </w:rPr>
        <w:t>3、绩效评价范围：</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评价，评价核心为专项资金的支出完成情况和效果。</w:t>
      </w:r>
      <w:bookmarkStart w:id="5" w:name="_Toc68703832"/>
    </w:p>
    <w:p>
      <w:pPr>
        <w:pageBreakBefore w:val="0"/>
        <w:kinsoku/>
        <w:wordWrap/>
        <w:overflowPunct/>
        <w:topLinePunct w:val="0"/>
        <w:autoSpaceDE/>
        <w:autoSpaceDN/>
        <w:bidi w:val="0"/>
        <w:spacing w:line="560" w:lineRule="exact"/>
        <w:jc w:val="left"/>
        <w:textAlignment w:val="auto"/>
        <w:rPr>
          <w:rFonts w:hint="eastAsia" w:ascii="仿宋_GB2312" w:eastAsia="仿宋_GB2312" w:hAnsiTheme="majorHAnsi" w:cstheme="majorBidi"/>
          <w:b w:val="0"/>
          <w:bCs w:val="0"/>
          <w:kern w:val="2"/>
          <w:sz w:val="32"/>
          <w:szCs w:val="32"/>
          <w:lang w:val="en-US" w:eastAsia="zh-CN" w:bidi="ar-SA"/>
        </w:rPr>
      </w:pPr>
      <w:r>
        <w:rPr>
          <w:rFonts w:hint="eastAsia" w:ascii="仿宋_GB2312" w:eastAsia="仿宋_GB2312" w:hAnsiTheme="majorHAnsi" w:cstheme="majorBidi"/>
          <w:b w:val="0"/>
          <w:bCs w:val="0"/>
          <w:kern w:val="2"/>
          <w:sz w:val="32"/>
          <w:szCs w:val="32"/>
          <w:lang w:val="en-US" w:eastAsia="zh-CN" w:bidi="ar-SA"/>
        </w:rPr>
        <w:t>（二）绩效评价原则、评价指标体系、评价方法、评价标准等。</w:t>
      </w:r>
      <w:bookmarkEnd w:id="5"/>
    </w:p>
    <w:p>
      <w:p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1、绩效评价原则</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（一）科学公正。本次项目支出绩效评价运用科学合理的方法，按照规范的程序，对项目绩效进行客观、公正的反映。</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（二）统筹兼顾。本次项目支出绩效评价由本单位自主实施，即“谁支出、谁自评”。</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spacing w:line="560" w:lineRule="exact"/>
        <w:ind w:firstLine="640" w:firstLineChars="200"/>
        <w:jc w:val="left"/>
        <w:textAlignment w:val="auto"/>
      </w:pPr>
      <w:r>
        <w:rPr>
          <w:rFonts w:hint="eastAsia" w:ascii="仿宋_GB2312" w:hAnsi="仿宋_GB2312" w:eastAsia="仿宋_GB2312" w:cs="仿宋_GB2312"/>
          <w:sz w:val="32"/>
          <w:szCs w:val="32"/>
          <w:highlight w:val="none"/>
        </w:rPr>
        <w:t>（四）公开透明。本次项目支出绩效评价结果已依法依规</w:t>
      </w:r>
      <w:r>
        <w:rPr>
          <w:rFonts w:hint="eastAsia" w:ascii="仿宋_GB2312" w:hAnsi="仿宋_GB2312" w:cs="仿宋_GB2312"/>
          <w:sz w:val="32"/>
          <w:szCs w:val="32"/>
          <w:highlight w:val="none"/>
          <w:lang w:eastAsia="zh-CN"/>
        </w:rPr>
        <w:t>通过特克斯县人民政府网站进行公示</w:t>
      </w:r>
      <w:r>
        <w:rPr>
          <w:rFonts w:hint="eastAsia" w:ascii="仿宋_GB2312" w:hAnsi="仿宋_GB2312" w:eastAsia="仿宋_GB2312" w:cs="仿宋_GB2312"/>
          <w:sz w:val="32"/>
          <w:szCs w:val="32"/>
          <w:highlight w:val="none"/>
        </w:rPr>
        <w:t>公开，并</w:t>
      </w:r>
      <w:r>
        <w:rPr>
          <w:rFonts w:hint="eastAsia" w:ascii="仿宋_GB2312" w:hAnsi="仿宋_GB2312" w:eastAsia="仿宋_GB2312" w:cs="仿宋_GB2312"/>
          <w:sz w:val="32"/>
          <w:szCs w:val="32"/>
        </w:rPr>
        <w:t>自觉接受社会监督。</w:t>
      </w:r>
    </w:p>
    <w:p>
      <w:pPr>
        <w:spacing w:line="360" w:lineRule="auto"/>
        <w:rPr>
          <w:rFonts w:hint="eastAsia" w:ascii="Times New Roman" w:hAnsi="Times New Roman" w:cs="Times New Roman"/>
          <w:lang w:val="en-US" w:eastAsia="zh-CN"/>
        </w:rPr>
      </w:pPr>
      <w:r>
        <w:rPr>
          <w:rFonts w:hint="eastAsia" w:ascii="Times New Roman" w:hAnsi="Times New Roman" w:cs="Times New Roman"/>
          <w:lang w:val="en-US" w:eastAsia="zh-CN"/>
        </w:rPr>
        <w:t>2、评价指标体系（附表说明）</w:t>
      </w:r>
    </w:p>
    <w:p>
      <w:pPr>
        <w:pStyle w:val="9"/>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特克斯县2021年残疾人两项补贴资金</w:t>
      </w:r>
      <w:r>
        <w:rPr>
          <w:rFonts w:hint="eastAsia" w:ascii="Times New Roman" w:hAnsi="Times New Roman" w:eastAsia="仿宋_GB2312" w:cs="Times New Roman"/>
          <w:b w:val="0"/>
          <w:bCs w:val="0"/>
          <w:sz w:val="30"/>
          <w:szCs w:val="24"/>
        </w:rPr>
        <w:t>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立项依据</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立项程序</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2</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绩效目标</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2</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绩效指标</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资金投入</w:t>
            </w:r>
          </w:p>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预算编制</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资金分配</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5</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资金使用</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组织实施</w:t>
            </w:r>
          </w:p>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管理制度</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制度执行</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990" w:type="dxa"/>
            <w:tcBorders>
              <w:lef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pageBreakBefore w:val="0"/>
        <w:kinsoku/>
        <w:wordWrap/>
        <w:overflowPunct/>
        <w:topLinePunct w:val="0"/>
        <w:autoSpaceDE/>
        <w:autoSpaceDN/>
        <w:bidi w:val="0"/>
        <w:spacing w:line="560" w:lineRule="exact"/>
        <w:textAlignment w:val="auto"/>
        <w:sectPr>
          <w:pgSz w:w="11906" w:h="16838"/>
          <w:pgMar w:top="1928" w:right="1531" w:bottom="1701" w:left="1531" w:header="737" w:footer="851" w:gutter="0"/>
          <w:cols w:space="720" w:num="1"/>
          <w:docGrid w:type="lines" w:linePitch="408" w:charSpace="0"/>
        </w:sect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3、评价方法</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本次评价主要采用了</w:t>
      </w:r>
      <w:r>
        <w:rPr>
          <w:rFonts w:hint="eastAsia" w:ascii="仿宋_GB2312" w:hAnsi="仿宋_GB2312" w:eastAsia="仿宋_GB2312" w:cs="仿宋_GB2312"/>
          <w:sz w:val="32"/>
          <w:szCs w:val="32"/>
          <w:highlight w:val="none"/>
        </w:rPr>
        <w:t>成本效益分析法。原因为一是更直观的比对资金使用后的受益人员的满意率。通过付出成本与回报反映该项目成果，及该项目长处与短板。通过成本效益分析法，分析出各项指标的成本大小做到透过成本对资金出处精确把握，合理控制成本，做到优化成本结构，资金用途准确掌控，发挥好上级拨付使用资金的的最大效益，将效益社会化、最大化、有效化，将该项目能够以大数据分析后进行客观、公正的反映。</w:t>
      </w:r>
    </w:p>
    <w:p>
      <w:pPr>
        <w:pageBreakBefore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4、评价标准</w:t>
      </w:r>
    </w:p>
    <w:p>
      <w:pPr>
        <w:pStyle w:val="6"/>
        <w:pageBreakBefore w:val="0"/>
        <w:kinsoku/>
        <w:wordWrap/>
        <w:overflowPunct/>
        <w:topLinePunct w:val="0"/>
        <w:autoSpaceDE/>
        <w:autoSpaceDN/>
        <w:bidi w:val="0"/>
        <w:spacing w:before="0" w:after="0" w:line="56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bookmarkStart w:id="6" w:name="_Toc68703833"/>
      <w:r>
        <w:rPr>
          <w:rFonts w:hint="eastAsia" w:ascii="仿宋_GB2312" w:hAnsi="仿宋_GB2312" w:eastAsia="仿宋_GB2312" w:cs="仿宋_GB2312"/>
          <w:b w:val="0"/>
          <w:bCs w:val="0"/>
          <w:kern w:val="2"/>
          <w:sz w:val="32"/>
          <w:szCs w:val="32"/>
          <w:highlight w:val="none"/>
          <w:lang w:val="en-US" w:eastAsia="zh-CN" w:bidi="ar-SA"/>
        </w:rPr>
        <w:t>本次评价主要采用了行业标准。原因是：有一定准绳，也更加客观。以行业标准为评价标准避免行业内的无序，淘汰不符合国家标准的，以残疾人联合会确定的残疾等级为基础，对确实为生活能力的肢体、精神残疾困难群众进行保障，另外，这也是保障社会福利事业的发展和残疾人事业发展的基石。在巩固脱贫攻坚与乡村振兴有效衔接的事业中，发挥民政兜底保障的作用，守好残疾群众的最后一公里。除了民政部、民政厅、等上级下发标准外，我县制定了《特克斯县残疾人两项补贴审核确认(审批)权限下放改革工作方案》、《特克斯县《残疾人两项补贴》的补充说明》等各项标准。</w:t>
      </w:r>
    </w:p>
    <w:p>
      <w:pPr>
        <w:pStyle w:val="6"/>
        <w:spacing w:line="360" w:lineRule="auto"/>
        <w:rPr>
          <w:rFonts w:hint="eastAsia" w:ascii="仿宋_GB2312" w:eastAsia="仿宋_GB2312"/>
          <w:b w:val="0"/>
          <w:bCs w:val="0"/>
        </w:rPr>
      </w:pPr>
      <w:r>
        <w:rPr>
          <w:rFonts w:hint="eastAsia" w:ascii="仿宋_GB2312" w:eastAsia="仿宋_GB2312"/>
          <w:b w:val="0"/>
          <w:bCs w:val="0"/>
        </w:rPr>
        <w:t>（三）绩效评价工作过程。</w:t>
      </w:r>
      <w:bookmarkEnd w:id="6"/>
    </w:p>
    <w:p>
      <w:pPr>
        <w:pStyle w:val="6"/>
        <w:spacing w:line="360" w:lineRule="auto"/>
        <w:rPr>
          <w:rFonts w:hint="eastAsia" w:ascii="仿宋_GB2312" w:eastAsia="仿宋_GB2312"/>
          <w:b w:val="0"/>
          <w:bCs w:val="0"/>
        </w:rPr>
      </w:pPr>
      <w:r>
        <w:rPr>
          <w:rFonts w:hint="eastAsia" w:ascii="仿宋_GB2312" w:eastAsia="仿宋_GB2312"/>
          <w:b w:val="0"/>
          <w:bCs w:val="0"/>
        </w:rPr>
        <w:t>1、前期准备：</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202</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日，</w:t>
      </w:r>
      <w:r>
        <w:rPr>
          <w:rFonts w:hint="eastAsia" w:ascii="仿宋_GB2312" w:hAnsi="仿宋_GB2312" w:eastAsia="仿宋_GB2312" w:cs="仿宋_GB2312"/>
          <w:sz w:val="32"/>
          <w:szCs w:val="32"/>
          <w:highlight w:val="none"/>
          <w:lang w:val="zh-CN"/>
        </w:rPr>
        <w:t>开始前期准备</w:t>
      </w:r>
      <w:r>
        <w:rPr>
          <w:rFonts w:hint="eastAsia" w:ascii="仿宋_GB2312" w:hAnsi="仿宋_GB2312" w:eastAsia="仿宋_GB2312" w:cs="仿宋_GB2312"/>
          <w:sz w:val="32"/>
          <w:szCs w:val="32"/>
          <w:lang w:val="zh-CN"/>
        </w:rPr>
        <w:t>工作，评价组通过前期调研</w:t>
      </w:r>
      <w:r>
        <w:rPr>
          <w:rFonts w:hint="eastAsia" w:ascii="仿宋_GB2312" w:hAnsi="仿宋_GB2312" w:eastAsia="仿宋_GB2312" w:cs="仿宋_GB2312"/>
          <w:sz w:val="32"/>
          <w:szCs w:val="32"/>
        </w:rPr>
        <w:t>确定绩效评价对象和范围，</w:t>
      </w:r>
      <w:r>
        <w:rPr>
          <w:rFonts w:hint="eastAsia" w:ascii="仿宋_GB2312" w:hAnsi="仿宋_GB2312" w:eastAsia="仿宋_GB2312" w:cs="仿宋_GB2312"/>
          <w:sz w:val="32"/>
          <w:szCs w:val="32"/>
          <w:lang w:val="zh-CN"/>
        </w:rPr>
        <w:t>确定了评价的目的、方法以及评价的原则，根据项目的内容和特征制定了评价指标体系及评价标准以及评价实施方案，修正并确定所需资料清单，最终确定</w:t>
      </w:r>
      <w:r>
        <w:rPr>
          <w:rFonts w:hint="eastAsia" w:ascii="仿宋_GB2312" w:hAnsi="仿宋_GB2312" w:eastAsia="仿宋_GB2312" w:cs="仿宋_GB2312"/>
          <w:sz w:val="32"/>
          <w:szCs w:val="32"/>
        </w:rPr>
        <w:t>绩效评价工作方案；</w:t>
      </w:r>
    </w:p>
    <w:p>
      <w:pPr>
        <w:pStyle w:val="6"/>
        <w:spacing w:line="360" w:lineRule="auto"/>
        <w:rPr>
          <w:rFonts w:hint="eastAsia" w:ascii="仿宋_GB2312" w:eastAsia="仿宋_GB2312"/>
          <w:b w:val="0"/>
          <w:bCs w:val="0"/>
        </w:rPr>
      </w:pPr>
      <w:r>
        <w:rPr>
          <w:rFonts w:hint="eastAsia" w:ascii="仿宋_GB2312" w:eastAsia="仿宋_GB2312"/>
          <w:b w:val="0"/>
          <w:bCs w:val="0"/>
        </w:rPr>
        <w:t>2、组织实施：</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202</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w:t>
      </w:r>
      <w:r>
        <w:rPr>
          <w:rFonts w:hint="eastAsia" w:ascii="仿宋_GB2312" w:hAnsi="仿宋_GB2312" w:cs="仿宋_GB2312"/>
          <w:sz w:val="32"/>
          <w:szCs w:val="32"/>
          <w:highlight w:val="none"/>
          <w:lang w:val="en-US" w:eastAsia="zh-CN"/>
        </w:rPr>
        <w:t>0</w:t>
      </w:r>
      <w:r>
        <w:rPr>
          <w:rFonts w:hint="eastAsia" w:ascii="仿宋_GB2312" w:hAnsi="仿宋_GB2312" w:eastAsia="仿宋_GB2312" w:cs="仿宋_GB2312"/>
          <w:sz w:val="32"/>
          <w:szCs w:val="32"/>
          <w:highlight w:val="none"/>
        </w:rPr>
        <w:t xml:space="preserve">日- </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月</w:t>
      </w:r>
      <w:r>
        <w:rPr>
          <w:rFonts w:hint="eastAsia" w:ascii="仿宋_GB2312" w:hAnsi="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日，评价工作进</w:t>
      </w:r>
      <w:r>
        <w:rPr>
          <w:rFonts w:hint="eastAsia" w:ascii="仿宋_GB2312" w:hAnsi="仿宋_GB2312" w:eastAsia="仿宋_GB2312" w:cs="仿宋_GB2312"/>
          <w:sz w:val="32"/>
          <w:szCs w:val="32"/>
        </w:rPr>
        <w:t xml:space="preserve">入实施阶段，评价组收集绩效评价相关数据资料，进行现场调研、座谈；并与项目实施负责人沟通，了解资金的内容、操作流程、管理机制、资金使用方向等情况，分析形成初步结论。 </w:t>
      </w:r>
    </w:p>
    <w:p>
      <w:pPr>
        <w:pStyle w:val="6"/>
        <w:spacing w:line="360" w:lineRule="auto"/>
        <w:rPr>
          <w:rFonts w:hint="eastAsia" w:ascii="仿宋_GB2312" w:eastAsia="仿宋_GB2312"/>
          <w:b w:val="0"/>
          <w:bCs w:val="0"/>
        </w:rPr>
      </w:pPr>
      <w:r>
        <w:rPr>
          <w:rFonts w:hint="eastAsia" w:ascii="仿宋_GB2312" w:eastAsia="仿宋_GB2312"/>
          <w:b w:val="0"/>
          <w:bCs w:val="0"/>
        </w:rPr>
        <w:t>3、分析评价：</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年</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月</w:t>
      </w:r>
      <w:r>
        <w:rPr>
          <w:rFonts w:hint="eastAsia" w:ascii="仿宋_GB2312" w:hAnsi="仿宋_GB2312" w:cs="仿宋_GB2312"/>
          <w:sz w:val="32"/>
          <w:szCs w:val="32"/>
          <w:highlight w:val="none"/>
          <w:lang w:val="en-US" w:eastAsia="zh-CN"/>
        </w:rPr>
        <w:t>25</w:t>
      </w:r>
      <w:r>
        <w:rPr>
          <w:rFonts w:hint="eastAsia" w:ascii="仿宋_GB2312" w:hAnsi="仿宋_GB2312" w:eastAsia="仿宋_GB2312" w:cs="仿宋_GB2312"/>
          <w:sz w:val="32"/>
          <w:szCs w:val="32"/>
          <w:highlight w:val="none"/>
        </w:rPr>
        <w:t xml:space="preserve">日- </w:t>
      </w:r>
      <w:r>
        <w:rPr>
          <w:rFonts w:hint="eastAsia" w:ascii="仿宋_GB2312" w:hAnsi="仿宋_GB2312" w:eastAsia="仿宋_GB2312" w:cs="仿宋_GB2312"/>
          <w:sz w:val="32"/>
          <w:szCs w:val="32"/>
          <w:highlight w:val="none"/>
          <w:lang w:val="en-US" w:eastAsia="zh-CN"/>
        </w:rPr>
        <w:t>2022年</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31</w:t>
      </w:r>
      <w:r>
        <w:rPr>
          <w:rFonts w:hint="eastAsia" w:ascii="仿宋_GB2312" w:hAnsi="仿宋_GB2312" w:eastAsia="仿宋_GB2312" w:cs="仿宋_GB2312"/>
          <w:sz w:val="32"/>
          <w:szCs w:val="32"/>
          <w:highlight w:val="none"/>
        </w:rPr>
        <w:t>日，</w:t>
      </w:r>
      <w:r>
        <w:rPr>
          <w:rFonts w:hint="eastAsia" w:ascii="仿宋_GB2312" w:hAnsi="仿宋_GB2312" w:eastAsia="仿宋_GB2312" w:cs="仿宋_GB2312"/>
          <w:sz w:val="32"/>
          <w:szCs w:val="32"/>
        </w:rPr>
        <w:t>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hint="eastAsia" w:ascii="宋体" w:hAnsi="宋体" w:eastAsia="宋体" w:cs="Times New Roman"/>
          <w:sz w:val="32"/>
          <w:szCs w:val="32"/>
        </w:rPr>
      </w:pPr>
      <w:bookmarkStart w:id="7" w:name="_Toc68703834"/>
      <w:r>
        <w:rPr>
          <w:rFonts w:hint="eastAsia" w:ascii="宋体" w:hAnsi="宋体" w:eastAsia="宋体" w:cs="Times New Roman"/>
          <w:sz w:val="32"/>
          <w:szCs w:val="32"/>
        </w:rPr>
        <w:t>三、综合评价情况及评价结论</w:t>
      </w:r>
      <w:bookmarkEnd w:id="7"/>
    </w:p>
    <w:p>
      <w:pPr>
        <w:pStyle w:val="6"/>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pageBreakBefore w:val="0"/>
        <w:kinsoku/>
        <w:wordWrap/>
        <w:overflowPunct/>
        <w:topLinePunct w:val="0"/>
        <w:autoSpaceDE/>
        <w:autoSpaceDN/>
        <w:bidi w:val="0"/>
        <w:spacing w:line="560" w:lineRule="exact"/>
        <w:ind w:firstLine="640" w:firstLineChars="200"/>
        <w:jc w:val="left"/>
        <w:textAlignment w:val="auto"/>
        <w:rPr>
          <w:rFonts w:hint="eastAsia" w:ascii="宋体" w:hAnsi="宋体" w:cs="宋体"/>
          <w:sz w:val="32"/>
          <w:szCs w:val="32"/>
        </w:rPr>
      </w:pPr>
      <w:r>
        <w:rPr>
          <w:rFonts w:hint="eastAsia" w:ascii="宋体" w:hAnsi="宋体" w:cs="宋体"/>
          <w:sz w:val="32"/>
          <w:szCs w:val="32"/>
        </w:rPr>
        <w:t>本项目严格按照科学公正、统筹兼顾、激励约束、公开透明的绩效评价原则</w:t>
      </w:r>
      <w:r>
        <w:rPr>
          <w:rFonts w:hint="eastAsia" w:ascii="宋体" w:hAnsi="宋体" w:cs="宋体"/>
          <w:sz w:val="32"/>
          <w:szCs w:val="32"/>
          <w:highlight w:val="none"/>
        </w:rPr>
        <w:t>，采用成本效益分析法，坚持行业标准对本项目</w:t>
      </w:r>
      <w:r>
        <w:rPr>
          <w:rFonts w:hint="eastAsia" w:ascii="宋体" w:hAnsi="宋体" w:cs="宋体"/>
          <w:sz w:val="32"/>
          <w:szCs w:val="32"/>
        </w:rPr>
        <w:t>的立项、项绩效目标、资金投入、资金管理、组织实施、产出数量、产出质量、产出时效、产出成本、项目效益进行了综合评价。</w:t>
      </w:r>
    </w:p>
    <w:p>
      <w:pPr>
        <w:pageBreakBefore w:val="0"/>
        <w:kinsoku/>
        <w:wordWrap/>
        <w:overflowPunct/>
        <w:topLinePunct w:val="0"/>
        <w:autoSpaceDE/>
        <w:autoSpaceDN/>
        <w:bidi w:val="0"/>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残疾人事业发展补助资金项目评价得分情况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spacing w:line="560" w:lineRule="exact"/>
              <w:jc w:val="center"/>
              <w:textAlignment w:val="auto"/>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ascii="宋体" w:hAnsi="宋体" w:cs="宋体"/>
                <w:bCs/>
                <w:sz w:val="28"/>
                <w:szCs w:val="28"/>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ascii="宋体" w:hAnsi="宋体" w:cs="宋体"/>
                <w:bCs/>
                <w:sz w:val="28"/>
                <w:szCs w:val="28"/>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ascii="宋体" w:hAnsi="宋体" w:cs="宋体"/>
                <w:bCs/>
                <w:sz w:val="28"/>
                <w:szCs w:val="28"/>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hint="default" w:ascii="宋体" w:hAnsi="宋体" w:eastAsia="仿宋_GB2312" w:cs="宋体"/>
                <w:bCs/>
                <w:kern w:val="2"/>
                <w:sz w:val="28"/>
                <w:szCs w:val="28"/>
                <w:lang w:val="en-US" w:eastAsia="zh-CN" w:bidi="ar-SA"/>
              </w:rPr>
            </w:pPr>
            <w:r>
              <w:rPr>
                <w:rFonts w:hint="eastAsia" w:ascii="宋体" w:hAnsi="宋体" w:cs="宋体"/>
                <w:bCs/>
                <w:kern w:val="2"/>
                <w:sz w:val="28"/>
                <w:szCs w:val="28"/>
                <w:lang w:val="en-US" w:eastAsia="zh-CN" w:bidi="ar-SA"/>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hint="default" w:ascii="宋体" w:hAnsi="宋体" w:eastAsia="仿宋_GB2312" w:cs="宋体"/>
                <w:bCs/>
                <w:kern w:val="2"/>
                <w:sz w:val="28"/>
                <w:szCs w:val="28"/>
                <w:lang w:val="en-US" w:eastAsia="zh-CN" w:bidi="ar-SA"/>
              </w:rPr>
            </w:pPr>
            <w:r>
              <w:rPr>
                <w:rFonts w:hint="eastAsia" w:ascii="宋体" w:hAnsi="宋体" w:cs="宋体"/>
                <w:bCs/>
                <w:kern w:val="2"/>
                <w:sz w:val="28"/>
                <w:szCs w:val="28"/>
                <w:lang w:val="en-US" w:eastAsia="zh-CN" w:bidi="ar-SA"/>
              </w:rPr>
              <w:t>100</w:t>
            </w:r>
          </w:p>
        </w:tc>
      </w:tr>
    </w:tbl>
    <w:p>
      <w:pPr>
        <w:pStyle w:val="6"/>
        <w:pageBreakBefore w:val="0"/>
        <w:kinsoku/>
        <w:wordWrap/>
        <w:overflowPunct/>
        <w:topLinePunct w:val="0"/>
        <w:autoSpaceDE/>
        <w:autoSpaceDN/>
        <w:bidi w:val="0"/>
        <w:spacing w:before="0" w:after="0" w:line="560" w:lineRule="exact"/>
        <w:textAlignment w:val="auto"/>
        <w:rPr>
          <w:rFonts w:hint="eastAsia" w:ascii="楷体_GB2312" w:hAnsi="楷体_GB2312" w:eastAsia="楷体_GB2312" w:cs="楷体_GB2312"/>
          <w:b w:val="0"/>
          <w:bCs w:val="0"/>
        </w:rPr>
      </w:pPr>
      <w:bookmarkStart w:id="9" w:name="_Toc68703836"/>
      <w:r>
        <w:rPr>
          <w:rFonts w:hint="eastAsia" w:ascii="楷体_GB2312" w:hAnsi="楷体_GB2312" w:eastAsia="楷体_GB2312" w:cs="楷体_GB2312"/>
          <w:b w:val="0"/>
          <w:bCs w:val="0"/>
        </w:rPr>
        <w:t>（二）评价结论</w:t>
      </w:r>
      <w:bookmarkEnd w:id="9"/>
    </w:p>
    <w:p>
      <w:pPr>
        <w:pageBreakBefore w:val="0"/>
        <w:kinsoku/>
        <w:wordWrap/>
        <w:overflowPunct/>
        <w:topLinePunct w:val="0"/>
        <w:autoSpaceDE/>
        <w:autoSpaceDN/>
        <w:bidi w:val="0"/>
        <w:spacing w:line="560" w:lineRule="exact"/>
        <w:ind w:firstLine="640" w:firstLineChars="200"/>
        <w:jc w:val="left"/>
        <w:textAlignment w:val="auto"/>
        <w:rPr>
          <w:rFonts w:hint="eastAsia" w:ascii="宋体" w:hAnsi="宋体" w:cs="宋体"/>
          <w:sz w:val="32"/>
          <w:szCs w:val="32"/>
          <w:lang w:eastAsia="zh-CN"/>
        </w:rPr>
      </w:pPr>
      <w:r>
        <w:rPr>
          <w:rFonts w:hint="eastAsia" w:ascii="宋体" w:hAnsi="宋体" w:cs="宋体"/>
          <w:sz w:val="32"/>
          <w:szCs w:val="32"/>
        </w:rPr>
        <w:t>本项目的项目决策、项目过程、项目产出、项目效益均达到了预期要求，最终得分为100分</w:t>
      </w:r>
      <w:r>
        <w:rPr>
          <w:rFonts w:hint="eastAsia" w:ascii="宋体" w:hAnsi="宋体" w:cs="宋体"/>
          <w:sz w:val="32"/>
          <w:szCs w:val="32"/>
          <w:lang w:eastAsia="zh-CN"/>
        </w:rPr>
        <w:t>。</w:t>
      </w: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rPr>
      </w:pPr>
      <w:bookmarkStart w:id="10" w:name="_Toc68703837"/>
      <w:r>
        <w:rPr>
          <w:rFonts w:hint="eastAsia" w:ascii="黑体" w:hAnsi="黑体" w:eastAsia="黑体" w:cs="黑体"/>
          <w:b w:val="0"/>
          <w:bCs w:val="0"/>
          <w:sz w:val="32"/>
          <w:szCs w:val="32"/>
        </w:rPr>
        <w:t>四、绩效评价指标分析</w:t>
      </w:r>
      <w:bookmarkEnd w:id="10"/>
    </w:p>
    <w:p>
      <w:pPr>
        <w:pStyle w:val="6"/>
        <w:pageBreakBefore w:val="0"/>
        <w:kinsoku/>
        <w:wordWrap/>
        <w:overflowPunct/>
        <w:topLinePunct w:val="0"/>
        <w:autoSpaceDE/>
        <w:autoSpaceDN/>
        <w:bidi w:val="0"/>
        <w:spacing w:before="0" w:after="0" w:line="560" w:lineRule="exact"/>
        <w:textAlignment w:val="auto"/>
        <w:rPr>
          <w:rFonts w:hint="eastAsia" w:ascii="楷体_GB2312" w:hAnsi="楷体_GB2312" w:eastAsia="楷体_GB2312" w:cs="楷体_GB2312"/>
          <w:b w:val="0"/>
          <w:bCs w:val="0"/>
        </w:rPr>
      </w:pPr>
      <w:bookmarkStart w:id="11" w:name="_Toc68703838"/>
      <w:r>
        <w:rPr>
          <w:rFonts w:hint="eastAsia" w:ascii="楷体_GB2312" w:hAnsi="楷体_GB2312" w:eastAsia="楷体_GB2312" w:cs="楷体_GB2312"/>
          <w:b w:val="0"/>
          <w:bCs w:val="0"/>
        </w:rPr>
        <w:t>（一）项目决策情况。</w:t>
      </w:r>
      <w:bookmarkEnd w:id="11"/>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1、立项依据充分性</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根据《自治区人民政府关于建立困难残疾人生活补贴和重度残疾人护理补贴制度的实施意见》（新政发【2016】44号）和特财预【2020】10号文件精神，切实减轻城乡残疾群众生活困难，确保把党的惠民政策落到实处。财政一卡通发放方式残疾人护理补贴、生活补贴不断提高残疾人生活水平。项目立项符合行业发展规划和政策要求；项目立项与部门职责范围相符，属于部门履职所需；项目属于公共财政支持范围，符合中央、地方事权支出责任划分原则；项目</w:t>
      </w:r>
      <w:r>
        <w:rPr>
          <w:rFonts w:hint="eastAsia" w:ascii="仿宋_GB2312" w:hAnsi="仿宋_GB2312" w:cs="仿宋_GB2312"/>
          <w:sz w:val="32"/>
          <w:szCs w:val="32"/>
          <w:lang w:eastAsia="zh-CN"/>
        </w:rPr>
        <w:t>不</w:t>
      </w:r>
      <w:r>
        <w:rPr>
          <w:rFonts w:hint="eastAsia" w:ascii="仿宋_GB2312" w:hAnsi="仿宋_GB2312" w:eastAsia="仿宋_GB2312" w:cs="仿宋_GB2312"/>
          <w:sz w:val="32"/>
          <w:szCs w:val="32"/>
        </w:rPr>
        <w:t>与相关部门同类项目或部门内部相关项目</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重复。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2、立项程序规范性</w:t>
      </w:r>
    </w:p>
    <w:p>
      <w:pPr>
        <w:pageBreakBefore w:val="0"/>
        <w:kinsoku/>
        <w:wordWrap/>
        <w:overflowPunct/>
        <w:topLinePunct w:val="0"/>
        <w:autoSpaceDE/>
        <w:autoSpaceDN/>
        <w:bidi w:val="0"/>
        <w:spacing w:line="560" w:lineRule="exact"/>
        <w:ind w:firstLine="640" w:firstLineChars="200"/>
        <w:jc w:val="left"/>
        <w:textAlignment w:val="auto"/>
        <w:rPr>
          <w:rFonts w:hint="eastAsia" w:ascii="宋体" w:hAnsi="宋体" w:cs="宋体"/>
          <w:sz w:val="32"/>
          <w:szCs w:val="32"/>
          <w:highlight w:val="none"/>
        </w:rPr>
      </w:pPr>
      <w:r>
        <w:rPr>
          <w:rFonts w:hint="eastAsia" w:ascii="宋体" w:hAnsi="宋体" w:cs="宋体"/>
          <w:sz w:val="32"/>
          <w:szCs w:val="32"/>
          <w:highlight w:val="none"/>
        </w:rPr>
        <w:t>项目按照规定的程序申请设立；审批文件、材料符合相关要求；事前已经过必要的可行性研究、专家论证、风险评估、绩效评估、集体决策。</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3、绩效目标合理性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rPr>
        <w:t>残疾人事业发展补助资金</w:t>
      </w:r>
      <w:r>
        <w:rPr>
          <w:rFonts w:hint="eastAsia" w:ascii="仿宋_GB2312" w:hAnsi="仿宋_GB2312" w:cs="仿宋_GB2312"/>
          <w:b w:val="0"/>
          <w:bCs w:val="0"/>
          <w:color w:val="000000"/>
          <w:kern w:val="0"/>
          <w:sz w:val="32"/>
          <w:szCs w:val="32"/>
          <w:lang w:eastAsia="zh-CN"/>
        </w:rPr>
        <w:t>项目</w:t>
      </w:r>
      <w:r>
        <w:rPr>
          <w:rFonts w:hint="eastAsia" w:ascii="仿宋_GB2312" w:hAnsi="仿宋_GB2312" w:eastAsia="仿宋_GB2312" w:cs="仿宋_GB2312"/>
          <w:sz w:val="32"/>
          <w:szCs w:val="32"/>
        </w:rPr>
        <w:t>设立了项目绩效目标，与</w:t>
      </w:r>
      <w:r>
        <w:rPr>
          <w:rFonts w:hint="eastAsia" w:ascii="仿宋_GB2312" w:hAnsi="仿宋_GB2312" w:eastAsia="仿宋_GB2312" w:cs="仿宋_GB2312"/>
          <w:sz w:val="32"/>
          <w:szCs w:val="32"/>
          <w:lang w:eastAsia="zh-CN"/>
        </w:rPr>
        <w:t>发放困难群众补助</w:t>
      </w:r>
      <w:r>
        <w:rPr>
          <w:rFonts w:hint="eastAsia" w:ascii="仿宋_GB2312" w:hAnsi="仿宋_GB2312" w:eastAsia="仿宋_GB2312" w:cs="仿宋_GB2312"/>
          <w:sz w:val="32"/>
          <w:szCs w:val="32"/>
        </w:rPr>
        <w:t>具有相关性，项目的预期产出效益和效果也均能符合正常的业绩水平，并且与预算确定的项目投资额或资金量相匹配。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4、绩效指标明确性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bookmarkStart w:id="12" w:name="_Hlk68699917"/>
      <w:r>
        <w:rPr>
          <w:rFonts w:hint="eastAsia" w:ascii="仿宋_GB2312" w:hAnsi="仿宋_GB2312" w:eastAsia="仿宋_GB2312" w:cs="仿宋_GB2312"/>
          <w:b w:val="0"/>
          <w:bCs w:val="0"/>
          <w:color w:val="000000"/>
          <w:kern w:val="0"/>
          <w:sz w:val="32"/>
          <w:szCs w:val="32"/>
        </w:rPr>
        <w:t>残疾人事业发展补助资金</w:t>
      </w:r>
      <w:r>
        <w:rPr>
          <w:rFonts w:hint="eastAsia" w:ascii="仿宋_GB2312" w:hAnsi="仿宋_GB2312" w:cs="仿宋_GB2312"/>
          <w:b w:val="0"/>
          <w:bCs w:val="0"/>
          <w:color w:val="000000"/>
          <w:kern w:val="0"/>
          <w:sz w:val="32"/>
          <w:szCs w:val="32"/>
          <w:lang w:eastAsia="zh-CN"/>
        </w:rPr>
        <w:t>项目</w:t>
      </w:r>
      <w:r>
        <w:rPr>
          <w:rFonts w:hint="eastAsia" w:ascii="仿宋_GB2312" w:hAnsi="仿宋_GB2312" w:eastAsia="仿宋_GB2312" w:cs="仿宋_GB2312"/>
          <w:sz w:val="32"/>
          <w:szCs w:val="32"/>
        </w:rPr>
        <w:t>将项目绩效目标细化分解为具体的绩效指标，一级指标共</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条，二级指标共</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条，三级指标共</w:t>
      </w:r>
      <w:r>
        <w:rPr>
          <w:rFonts w:hint="eastAsia" w:ascii="仿宋_GB2312" w:hAnsi="仿宋_GB2312" w:cs="仿宋_GB2312"/>
          <w:sz w:val="32"/>
          <w:szCs w:val="32"/>
          <w:lang w:val="en-US" w:eastAsia="zh-CN"/>
        </w:rPr>
        <w:t>11</w:t>
      </w:r>
      <w:r>
        <w:rPr>
          <w:rFonts w:hint="eastAsia" w:ascii="仿宋_GB2312" w:hAnsi="仿宋_GB2312" w:eastAsia="仿宋_GB2312" w:cs="仿宋_GB2312"/>
          <w:sz w:val="32"/>
          <w:szCs w:val="32"/>
        </w:rPr>
        <w:t>条，其中量化指标条数共</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rPr>
        <w:t>条，所有绩效指标均通过清晰、可衡量的指标值予以体现，并且做到了与项目目标任务数或计划数相对应。</w:t>
      </w:r>
      <w:bookmarkEnd w:id="12"/>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5、预算编制科学性</w:t>
      </w:r>
    </w:p>
    <w:p>
      <w:pPr>
        <w:pageBreakBefore w:val="0"/>
        <w:kinsoku/>
        <w:wordWrap/>
        <w:overflowPunct/>
        <w:topLinePunct w:val="0"/>
        <w:autoSpaceDE/>
        <w:autoSpaceDN/>
        <w:bidi w:val="0"/>
        <w:spacing w:line="560" w:lineRule="exact"/>
        <w:ind w:firstLine="640" w:firstLineChars="200"/>
        <w:textAlignment w:val="auto"/>
        <w:rPr>
          <w:color w:val="FF0000"/>
          <w:sz w:val="32"/>
          <w:szCs w:val="32"/>
          <w:highlight w:val="none"/>
        </w:rPr>
      </w:pPr>
      <w:r>
        <w:rPr>
          <w:rFonts w:hint="eastAsia"/>
          <w:sz w:val="32"/>
          <w:szCs w:val="32"/>
          <w:highlight w:val="none"/>
        </w:rPr>
        <w:t>预算编制经过科学论证；预算内容与项目内容匹配；预算额度测算依据充分，按照标准编制；预算确定的项目投资额或资金量与工作任务相匹配。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6、资金分配合理性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highlight w:val="none"/>
        </w:rPr>
      </w:pPr>
      <w:r>
        <w:rPr>
          <w:rFonts w:hint="eastAsia"/>
          <w:sz w:val="32"/>
          <w:szCs w:val="32"/>
          <w:highlight w:val="none"/>
        </w:rPr>
        <w:t>预算资金分配依据充分；资金分配额度合理，与项目单位或地方实际相适应。</w:t>
      </w:r>
    </w:p>
    <w:p>
      <w:pPr>
        <w:pStyle w:val="6"/>
        <w:pageBreakBefore w:val="0"/>
        <w:kinsoku/>
        <w:wordWrap/>
        <w:overflowPunct/>
        <w:topLinePunct w:val="0"/>
        <w:autoSpaceDE/>
        <w:autoSpaceDN/>
        <w:bidi w:val="0"/>
        <w:spacing w:before="0" w:after="0" w:line="560" w:lineRule="exact"/>
        <w:textAlignment w:val="auto"/>
        <w:rPr>
          <w:rFonts w:hint="eastAsia" w:ascii="楷体_GB2312" w:hAnsi="楷体_GB2312" w:eastAsia="楷体_GB2312" w:cs="楷体_GB2312"/>
          <w:b w:val="0"/>
          <w:bCs w:val="0"/>
        </w:rPr>
      </w:pPr>
      <w:bookmarkStart w:id="13" w:name="_Toc68703839"/>
      <w:r>
        <w:rPr>
          <w:rFonts w:hint="eastAsia" w:ascii="楷体_GB2312" w:hAnsi="楷体_GB2312" w:eastAsia="楷体_GB2312" w:cs="楷体_GB2312"/>
          <w:b w:val="0"/>
          <w:bCs w:val="0"/>
        </w:rPr>
        <w:t>（二）项目过程情况。</w:t>
      </w:r>
      <w:bookmarkEnd w:id="13"/>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1、资金到位率：</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预算资金</w:t>
      </w:r>
      <w:r>
        <w:rPr>
          <w:rFonts w:hint="eastAsia" w:ascii="仿宋_GB2312" w:hAnsi="仿宋_GB2312" w:cs="仿宋_GB2312"/>
          <w:sz w:val="32"/>
          <w:szCs w:val="32"/>
          <w:lang w:val="en-US" w:eastAsia="zh-CN"/>
        </w:rPr>
        <w:t>400</w:t>
      </w:r>
      <w:r>
        <w:rPr>
          <w:rFonts w:hint="eastAsia" w:ascii="仿宋_GB2312" w:hAnsi="仿宋_GB2312" w:eastAsia="仿宋_GB2312" w:cs="仿宋_GB2312"/>
          <w:sz w:val="32"/>
          <w:szCs w:val="32"/>
        </w:rPr>
        <w:t>万元，实际到位资金</w:t>
      </w:r>
      <w:r>
        <w:rPr>
          <w:rFonts w:hint="eastAsia" w:ascii="仿宋_GB2312" w:hAnsi="仿宋_GB2312" w:cs="仿宋_GB2312"/>
          <w:sz w:val="32"/>
          <w:szCs w:val="32"/>
          <w:lang w:val="en-US" w:eastAsia="zh-CN"/>
        </w:rPr>
        <w:t>400</w:t>
      </w:r>
      <w:r>
        <w:rPr>
          <w:rFonts w:hint="eastAsia" w:ascii="仿宋_GB2312" w:hAnsi="仿宋_GB2312" w:eastAsia="仿宋_GB2312" w:cs="仿宋_GB2312"/>
          <w:sz w:val="32"/>
          <w:szCs w:val="32"/>
        </w:rPr>
        <w:t>万元，资金到位率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2、预算执行率</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年初预算数</w:t>
      </w:r>
      <w:r>
        <w:rPr>
          <w:rFonts w:hint="eastAsia" w:ascii="仿宋_GB2312" w:hAnsi="仿宋_GB2312" w:cs="仿宋_GB2312"/>
          <w:sz w:val="32"/>
          <w:szCs w:val="32"/>
          <w:lang w:val="en-US" w:eastAsia="zh-CN"/>
        </w:rPr>
        <w:t>400</w:t>
      </w:r>
      <w:r>
        <w:rPr>
          <w:rFonts w:hint="eastAsia" w:ascii="仿宋_GB2312" w:hAnsi="仿宋_GB2312" w:eastAsia="仿宋_GB2312" w:cs="仿宋_GB2312"/>
          <w:sz w:val="32"/>
          <w:szCs w:val="32"/>
        </w:rPr>
        <w:t>万元，全年预算数</w:t>
      </w:r>
      <w:r>
        <w:rPr>
          <w:rFonts w:hint="eastAsia" w:ascii="仿宋_GB2312" w:hAnsi="仿宋_GB2312" w:cs="仿宋_GB2312"/>
          <w:sz w:val="32"/>
          <w:szCs w:val="32"/>
          <w:lang w:val="en-US" w:eastAsia="zh-CN"/>
        </w:rPr>
        <w:t>400</w:t>
      </w:r>
      <w:r>
        <w:rPr>
          <w:rFonts w:hint="eastAsia" w:ascii="仿宋_GB2312" w:hAnsi="仿宋_GB2312" w:eastAsia="仿宋_GB2312" w:cs="仿宋_GB2312"/>
          <w:sz w:val="32"/>
          <w:szCs w:val="32"/>
        </w:rPr>
        <w:t xml:space="preserve">万元，全年执行数     </w:t>
      </w:r>
      <w:r>
        <w:rPr>
          <w:rFonts w:hint="eastAsia" w:ascii="仿宋_GB2312" w:hAnsi="仿宋_GB2312" w:cs="仿宋_GB2312"/>
          <w:sz w:val="32"/>
          <w:szCs w:val="32"/>
          <w:lang w:val="en-US" w:eastAsia="zh-CN"/>
        </w:rPr>
        <w:t>400</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3、资金使用合规性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符合国家财经法规和财务管理制度以及有关专项资金管理办法的规定；资金的拨付有完整的审批程序和手续；</w:t>
      </w:r>
      <w:r>
        <w:rPr>
          <w:rFonts w:hint="eastAsia" w:ascii="仿宋_GB2312" w:hAnsi="仿宋_GB2312" w:eastAsia="仿宋_GB2312" w:cs="仿宋_GB2312"/>
          <w:sz w:val="32"/>
          <w:szCs w:val="32"/>
          <w:highlight w:val="none"/>
          <w:lang w:eastAsia="zh-CN"/>
        </w:rPr>
        <w:t>符合</w:t>
      </w:r>
      <w:r>
        <w:rPr>
          <w:rFonts w:hint="eastAsia" w:ascii="仿宋_GB2312" w:hAnsi="仿宋_GB2312" w:eastAsia="仿宋_GB2312" w:cs="仿宋_GB2312"/>
          <w:sz w:val="32"/>
          <w:szCs w:val="32"/>
          <w:highlight w:val="none"/>
        </w:rPr>
        <w:t>项目预算批复或合同规定的用途；</w:t>
      </w:r>
      <w:r>
        <w:rPr>
          <w:rFonts w:hint="eastAsia" w:ascii="仿宋_GB2312" w:hAnsi="仿宋_GB2312" w:eastAsia="仿宋_GB2312" w:cs="仿宋_GB2312"/>
          <w:sz w:val="32"/>
          <w:szCs w:val="32"/>
          <w:highlight w:val="none"/>
          <w:lang w:eastAsia="zh-CN"/>
        </w:rPr>
        <w:t>不</w:t>
      </w:r>
      <w:r>
        <w:rPr>
          <w:rFonts w:hint="eastAsia" w:ascii="仿宋_GB2312" w:hAnsi="仿宋_GB2312" w:eastAsia="仿宋_GB2312" w:cs="仿宋_GB2312"/>
          <w:sz w:val="32"/>
          <w:szCs w:val="32"/>
          <w:highlight w:val="none"/>
        </w:rPr>
        <w:t>存在截留、挤占、挪用、虚列支出等情况。</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4、管理制度健全性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highlight w:val="none"/>
        </w:rPr>
      </w:pPr>
      <w:r>
        <w:rPr>
          <w:rFonts w:hint="eastAsia"/>
          <w:sz w:val="32"/>
          <w:szCs w:val="32"/>
          <w:highlight w:val="none"/>
        </w:rPr>
        <w:t>已制定或具有相应的财务和业务管理制度；财务和业务管理制度合法、合规、完整。</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5、制度执行有效性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highlight w:val="none"/>
        </w:rPr>
      </w:pPr>
      <w:r>
        <w:rPr>
          <w:rFonts w:hint="eastAsia"/>
          <w:sz w:val="32"/>
          <w:szCs w:val="32"/>
          <w:highlight w:val="none"/>
        </w:rPr>
        <w:t>遵守相关法律法规和相关管理规定；项目调整及支出调整手续完备；项目合同书、验收报告、技术鉴定等资料齐全并及时归档；项目实施的人员条件、场地设备、信息支撑等落实到位。</w:t>
      </w:r>
    </w:p>
    <w:p>
      <w:pPr>
        <w:pStyle w:val="6"/>
        <w:spacing w:line="360" w:lineRule="auto"/>
        <w:rPr>
          <w:rFonts w:hint="eastAsia" w:ascii="仿宋_GB2312" w:eastAsia="仿宋_GB2312"/>
          <w:b w:val="0"/>
          <w:bCs w:val="0"/>
          <w:lang w:eastAsia="zh-CN"/>
        </w:rPr>
      </w:pPr>
      <w:bookmarkStart w:id="14" w:name="_Toc68703840"/>
      <w:r>
        <w:rPr>
          <w:rFonts w:hint="eastAsia" w:ascii="仿宋_GB2312" w:eastAsia="仿宋_GB2312"/>
          <w:b w:val="0"/>
          <w:bCs w:val="0"/>
        </w:rPr>
        <w:t>（三）项目产出情况。</w:t>
      </w:r>
      <w:bookmarkEnd w:id="14"/>
    </w:p>
    <w:p>
      <w:pPr>
        <w:pageBreakBefore w:val="0"/>
        <w:kinsoku/>
        <w:wordWrap/>
        <w:overflowPunct/>
        <w:topLinePunct w:val="0"/>
        <w:autoSpaceDE/>
        <w:autoSpaceDN/>
        <w:bidi w:val="0"/>
        <w:spacing w:line="560" w:lineRule="exact"/>
        <w:ind w:firstLine="600" w:firstLineChars="200"/>
        <w:textAlignment w:val="auto"/>
        <w:rPr>
          <w:rFonts w:hint="eastAsia" w:eastAsia="仿宋_GB2312"/>
          <w:lang w:val="en-US" w:eastAsia="zh-CN"/>
        </w:rPr>
      </w:pPr>
      <w:r>
        <w:rPr>
          <w:rFonts w:hint="eastAsia" w:ascii="Times New Roman" w:hAnsi="Times New Roman" w:cs="Times New Roman"/>
          <w:color w:val="auto"/>
        </w:rPr>
        <w:t>1、数量指标：</w:t>
      </w:r>
      <w:r>
        <w:rPr>
          <w:rFonts w:hint="eastAsia" w:ascii="仿宋_GB2312" w:hAnsi="仿宋_GB2312" w:eastAsia="仿宋_GB2312" w:cs="仿宋_GB2312"/>
          <w:sz w:val="32"/>
          <w:szCs w:val="32"/>
        </w:rPr>
        <w:t>指标1：困难残疾人生活补贴人数，指标值：≥1841人，实际完成值184</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人，指标完成率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%；指标2：重度残疾人护理补贴人数 ，指标值：≥1389人，实际完成值1389人，指标完成率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 xml:space="preserve"> %，指标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：发放困难残疾人生活补贴次数</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指标值：≥10次，实际完成值</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：发放重度残疾人护理补贴次数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≥10次，实际完成值</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p>
    <w:p>
      <w:pPr>
        <w:pageBreakBefore w:val="0"/>
        <w:kinsoku/>
        <w:wordWrap/>
        <w:overflowPunct/>
        <w:topLinePunct w:val="0"/>
        <w:autoSpaceDE/>
        <w:autoSpaceDN/>
        <w:bidi w:val="0"/>
        <w:spacing w:line="560" w:lineRule="exact"/>
        <w:ind w:firstLine="600" w:firstLineChars="200"/>
        <w:textAlignment w:val="auto"/>
        <w:rPr>
          <w:rFonts w:hint="eastAsia"/>
          <w:lang w:val="en-US" w:eastAsia="zh-CN"/>
        </w:rPr>
      </w:pPr>
      <w:r>
        <w:rPr>
          <w:rFonts w:hint="eastAsia" w:ascii="Times New Roman" w:hAnsi="Times New Roman" w:cs="Times New Roman"/>
          <w:color w:val="auto"/>
        </w:rPr>
        <w:t>2、质量指标：</w:t>
      </w:r>
      <w:r>
        <w:rPr>
          <w:rFonts w:hint="eastAsia" w:ascii="仿宋_GB2312" w:hAnsi="仿宋_GB2312" w:eastAsia="仿宋_GB2312" w:cs="仿宋_GB2312"/>
          <w:sz w:val="32"/>
          <w:szCs w:val="32"/>
        </w:rPr>
        <w:t>指标1：发放困难残疾人生活补贴准确率，指标值：=100% ，实际完成值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%；指标2：发放重度残疾人护理补贴准确率，</w:t>
      </w:r>
      <w:r>
        <w:rPr>
          <w:rFonts w:hint="eastAsia" w:ascii="仿宋_GB2312" w:hAnsi="仿宋_GB2312" w:cs="仿宋_GB2312"/>
          <w:sz w:val="32"/>
          <w:szCs w:val="32"/>
          <w:lang w:eastAsia="zh-CN"/>
        </w:rPr>
        <w:t>指标值</w:t>
      </w:r>
      <w:r>
        <w:rPr>
          <w:rFonts w:hint="eastAsia" w:ascii="仿宋_GB2312" w:hAnsi="仿宋_GB2312" w:eastAsia="仿宋_GB2312" w:cs="仿宋_GB2312"/>
          <w:sz w:val="32"/>
          <w:szCs w:val="32"/>
        </w:rPr>
        <w:t>=100% ，实际完成值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lang w:val="en-US" w:eastAsia="zh-CN"/>
        </w:rPr>
        <w:t xml:space="preserve">     </w:t>
      </w:r>
    </w:p>
    <w:p>
      <w:pPr>
        <w:pageBreakBefore w:val="0"/>
        <w:kinsoku/>
        <w:wordWrap/>
        <w:overflowPunct/>
        <w:topLinePunct w:val="0"/>
        <w:autoSpaceDE/>
        <w:autoSpaceDN/>
        <w:bidi w:val="0"/>
        <w:spacing w:line="560" w:lineRule="exact"/>
        <w:ind w:firstLine="600" w:firstLineChars="200"/>
        <w:textAlignment w:val="auto"/>
        <w:rPr>
          <w:rFonts w:hint="eastAsia" w:eastAsia="仿宋_GB2312"/>
          <w:lang w:eastAsia="zh-CN"/>
        </w:rPr>
      </w:pPr>
      <w:r>
        <w:rPr>
          <w:rFonts w:hint="eastAsia" w:ascii="Times New Roman" w:hAnsi="Times New Roman" w:cs="Times New Roman"/>
          <w:color w:val="auto"/>
        </w:rPr>
        <w:t>3、时效指标：</w:t>
      </w:r>
      <w:r>
        <w:rPr>
          <w:rFonts w:hint="eastAsia" w:ascii="仿宋_GB2312" w:hAnsi="仿宋_GB2312" w:eastAsia="仿宋_GB2312" w:cs="仿宋_GB2312"/>
          <w:sz w:val="32"/>
          <w:szCs w:val="32"/>
        </w:rPr>
        <w:t>指标1：困难残疾人生活补贴发放及时率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指标值：=100% ，实际完成值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重度残疾人护理补贴发放及时率，</w:t>
      </w:r>
      <w:r>
        <w:rPr>
          <w:rFonts w:hint="eastAsia" w:ascii="仿宋_GB2312" w:hAnsi="仿宋_GB2312" w:eastAsia="仿宋_GB2312" w:cs="仿宋_GB2312"/>
          <w:sz w:val="32"/>
          <w:szCs w:val="32"/>
        </w:rPr>
        <w:t>指标值：=100% ，实际完成值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p>
    <w:p>
      <w:pPr>
        <w:pageBreakBefore w:val="0"/>
        <w:kinsoku/>
        <w:wordWrap/>
        <w:overflowPunct/>
        <w:topLinePunct w:val="0"/>
        <w:autoSpaceDE/>
        <w:autoSpaceDN/>
        <w:bidi w:val="0"/>
        <w:spacing w:line="560" w:lineRule="exact"/>
        <w:ind w:firstLine="600" w:firstLineChars="200"/>
        <w:textAlignment w:val="auto"/>
        <w:rPr>
          <w:rFonts w:hint="eastAsia"/>
          <w:lang w:eastAsia="zh-CN"/>
        </w:rPr>
      </w:pPr>
      <w:r>
        <w:rPr>
          <w:rFonts w:hint="eastAsia" w:ascii="Times New Roman" w:hAnsi="Times New Roman" w:cs="Times New Roman"/>
          <w:color w:val="auto"/>
        </w:rPr>
        <w:t>4、成本指标</w:t>
      </w:r>
      <w:r>
        <w:rPr>
          <w:rFonts w:hint="eastAsia" w:ascii="Times New Roman" w:hAnsi="Times New Roman" w:cs="Times New Roman"/>
          <w:color w:val="auto"/>
          <w:lang w:eastAsia="zh-CN"/>
        </w:rPr>
        <w:t>：</w:t>
      </w:r>
      <w:r>
        <w:rPr>
          <w:rFonts w:hint="eastAsia" w:ascii="仿宋_GB2312" w:hAnsi="仿宋_GB2312" w:eastAsia="仿宋_GB2312" w:cs="仿宋_GB2312"/>
          <w:sz w:val="32"/>
          <w:szCs w:val="32"/>
        </w:rPr>
        <w:t>指标1：每次发放残疾人生活补贴金额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指标值：≤</w:t>
      </w:r>
      <w:r>
        <w:rPr>
          <w:rFonts w:hint="eastAsia" w:ascii="仿宋_GB2312" w:hAnsi="仿宋_GB2312" w:cs="仿宋_GB2312"/>
          <w:sz w:val="32"/>
          <w:szCs w:val="32"/>
          <w:lang w:val="en-US" w:eastAsia="zh-CN"/>
        </w:rPr>
        <w:t>40万元</w:t>
      </w:r>
      <w:r>
        <w:rPr>
          <w:rFonts w:hint="eastAsia" w:ascii="仿宋_GB2312" w:hAnsi="仿宋_GB2312" w:eastAsia="仿宋_GB2312" w:cs="仿宋_GB2312"/>
          <w:sz w:val="32"/>
          <w:szCs w:val="32"/>
        </w:rPr>
        <w:t xml:space="preserve"> ，实际完成值</w:t>
      </w:r>
      <w:r>
        <w:rPr>
          <w:rFonts w:hint="eastAsia" w:ascii="仿宋_GB2312" w:hAnsi="仿宋_GB2312" w:cs="仿宋_GB2312"/>
          <w:sz w:val="32"/>
          <w:szCs w:val="32"/>
          <w:lang w:val="en-US" w:eastAsia="zh-CN"/>
        </w:rPr>
        <w:t>40万元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6"/>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pageBreakBefore w:val="0"/>
        <w:kinsoku/>
        <w:wordWrap/>
        <w:overflowPunct/>
        <w:topLinePunct w:val="0"/>
        <w:autoSpaceDE/>
        <w:autoSpaceDN/>
        <w:bidi w:val="0"/>
        <w:spacing w:line="560" w:lineRule="exact"/>
        <w:ind w:firstLine="600" w:firstLineChars="200"/>
        <w:textAlignment w:val="auto"/>
        <w:rPr>
          <w:rFonts w:hint="eastAsia" w:ascii="仿宋_GB2312" w:hAnsi="仿宋_GB2312" w:eastAsia="仿宋_GB2312" w:cs="仿宋_GB2312"/>
          <w:sz w:val="32"/>
          <w:szCs w:val="32"/>
          <w:lang w:eastAsia="zh-CN"/>
        </w:rPr>
      </w:pPr>
      <w:r>
        <w:rPr>
          <w:rFonts w:hint="eastAsia" w:ascii="Times New Roman" w:hAnsi="Times New Roman" w:cs="Times New Roman"/>
          <w:color w:val="auto"/>
          <w:lang w:val="en-US" w:eastAsia="zh-CN"/>
        </w:rPr>
        <w:t>1</w:t>
      </w:r>
      <w:r>
        <w:rPr>
          <w:rFonts w:hint="eastAsia" w:ascii="Times New Roman" w:hAnsi="Times New Roman" w:cs="Times New Roman"/>
          <w:color w:val="auto"/>
        </w:rPr>
        <w:t>、社会效益指标：</w:t>
      </w:r>
      <w:r>
        <w:rPr>
          <w:rFonts w:hint="eastAsia" w:ascii="仿宋_GB2312" w:hAnsi="仿宋_GB2312" w:eastAsia="仿宋_GB2312" w:cs="仿宋_GB2312"/>
          <w:sz w:val="32"/>
          <w:szCs w:val="32"/>
        </w:rPr>
        <w:t>指标1：保障残疾人员生活质量</w:t>
      </w:r>
      <w:r>
        <w:rPr>
          <w:rFonts w:hint="eastAsia" w:ascii="仿宋_GB2312" w:hAnsi="仿宋_GB2312" w:eastAsia="仿宋_GB2312" w:cs="仿宋_GB2312"/>
          <w:sz w:val="32"/>
          <w:szCs w:val="32"/>
          <w:lang w:eastAsia="zh-CN"/>
        </w:rPr>
        <w:t>，指标值：效果显著，指标完成值：效果显著，</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、满意度指标：指标1：残疾人满意度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 95%，</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9</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5"/>
        <w:pageBreakBefore w:val="0"/>
        <w:kinsoku/>
        <w:wordWrap/>
        <w:overflowPunct/>
        <w:topLinePunct w:val="0"/>
        <w:autoSpaceDE/>
        <w:autoSpaceDN/>
        <w:bidi w:val="0"/>
        <w:spacing w:before="0" w:after="0" w:line="560" w:lineRule="exact"/>
        <w:textAlignment w:val="auto"/>
        <w:rPr>
          <w:rFonts w:ascii="宋体" w:hAnsi="宋体" w:eastAsia="宋体"/>
          <w:sz w:val="32"/>
          <w:szCs w:val="32"/>
        </w:rPr>
      </w:pPr>
      <w:bookmarkStart w:id="16" w:name="_Toc68703842"/>
      <w:r>
        <w:rPr>
          <w:rFonts w:hint="eastAsia" w:ascii="黑体" w:hAnsi="黑体" w:eastAsia="黑体" w:cs="黑体"/>
          <w:b w:val="0"/>
          <w:bCs w:val="0"/>
          <w:sz w:val="32"/>
          <w:szCs w:val="32"/>
        </w:rPr>
        <w:t>五、主要经验及做法、存在的问题及原因分析</w:t>
      </w:r>
      <w:bookmarkEnd w:id="16"/>
    </w:p>
    <w:p>
      <w:pPr>
        <w:pStyle w:val="6"/>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9"/>
        <w:pageBreakBefore w:val="0"/>
        <w:kinsoku/>
        <w:wordWrap/>
        <w:overflowPunct/>
        <w:topLinePunct w:val="0"/>
        <w:autoSpaceDE/>
        <w:autoSpaceDN/>
        <w:bidi w:val="0"/>
        <w:spacing w:line="560" w:lineRule="exact"/>
        <w:ind w:firstLine="640" w:firstLineChars="200"/>
        <w:textAlignment w:val="auto"/>
        <w:rPr>
          <w:rFonts w:hint="eastAsia" w:ascii="宋体" w:hAnsi="宋体" w:cs="宋体"/>
          <w:sz w:val="32"/>
          <w:szCs w:val="32"/>
          <w:highlight w:val="none"/>
        </w:rPr>
      </w:pPr>
      <w:bookmarkStart w:id="18" w:name="_Toc68703844"/>
      <w:r>
        <w:rPr>
          <w:rFonts w:hint="eastAsia" w:ascii="宋体" w:hAnsi="宋体" w:cs="宋体"/>
          <w:sz w:val="32"/>
          <w:szCs w:val="32"/>
          <w:highlight w:val="none"/>
        </w:rPr>
        <w:t>该项目利国利民，其存在意义重大，民政兜底保障是打赢脱贫攻坚战的重要组成部分，是一项底线制度安排，是解决贫中之贫、困中之困、艰中之艰的最后防线,直接关系到脱贫攻坚成色和质量。建档立卡贫困人口中的一部分特殊贫困群体，</w:t>
      </w:r>
      <w:r>
        <w:rPr>
          <w:rFonts w:hint="eastAsia" w:ascii="宋体" w:hAnsi="宋体" w:cs="宋体"/>
          <w:sz w:val="32"/>
          <w:szCs w:val="32"/>
          <w:highlight w:val="none"/>
          <w:lang w:eastAsia="zh-CN"/>
        </w:rPr>
        <w:t>即残疾人群体在社会中处于弱势地位，成为了</w:t>
      </w:r>
      <w:r>
        <w:rPr>
          <w:rFonts w:hint="eastAsia" w:ascii="宋体" w:hAnsi="宋体" w:cs="宋体"/>
          <w:sz w:val="32"/>
          <w:szCs w:val="32"/>
          <w:highlight w:val="none"/>
        </w:rPr>
        <w:t>明显的无劳动能力贫困人口，在其他帮扶政策发挥不了作用时，就要靠兜底保障制度</w:t>
      </w:r>
      <w:r>
        <w:rPr>
          <w:rFonts w:hint="eastAsia" w:ascii="宋体" w:hAnsi="宋体" w:cs="宋体"/>
          <w:sz w:val="32"/>
          <w:szCs w:val="32"/>
          <w:highlight w:val="none"/>
          <w:lang w:eastAsia="zh-CN"/>
        </w:rPr>
        <w:t>、残疾人两项补贴</w:t>
      </w:r>
      <w:r>
        <w:rPr>
          <w:rFonts w:hint="eastAsia" w:ascii="宋体" w:hAnsi="宋体" w:cs="宋体"/>
          <w:sz w:val="32"/>
          <w:szCs w:val="32"/>
          <w:highlight w:val="none"/>
        </w:rPr>
        <w:t>来兜底，这样才能撕掉绝对贫困的标签，才能做到解决绝对贫困不落一人、不留“锅底”。应适当逐年加大财政预算，提高保障力度。除上级制定标准与准则外，我县制定了各项《特克斯县</w:t>
      </w:r>
      <w:r>
        <w:rPr>
          <w:rFonts w:hint="eastAsia" w:ascii="宋体" w:hAnsi="宋体" w:cs="宋体"/>
          <w:sz w:val="32"/>
          <w:szCs w:val="32"/>
          <w:highlight w:val="none"/>
          <w:lang w:eastAsia="zh-CN"/>
        </w:rPr>
        <w:t>残疾人两项补贴</w:t>
      </w:r>
      <w:r>
        <w:rPr>
          <w:rFonts w:hint="eastAsia" w:ascii="宋体" w:hAnsi="宋体" w:cs="宋体"/>
          <w:sz w:val="32"/>
          <w:szCs w:val="32"/>
          <w:highlight w:val="none"/>
        </w:rPr>
        <w:t>审核确认(审批)权限下放改革工作方案》、《特克斯县《</w:t>
      </w:r>
      <w:r>
        <w:rPr>
          <w:rFonts w:hint="eastAsia" w:ascii="宋体" w:hAnsi="宋体" w:cs="宋体"/>
          <w:sz w:val="32"/>
          <w:szCs w:val="32"/>
          <w:highlight w:val="none"/>
          <w:lang w:eastAsia="zh-CN"/>
        </w:rPr>
        <w:t>残疾人两项补贴管理</w:t>
      </w:r>
      <w:r>
        <w:rPr>
          <w:rFonts w:hint="eastAsia" w:ascii="宋体" w:hAnsi="宋体" w:cs="宋体"/>
          <w:sz w:val="32"/>
          <w:szCs w:val="32"/>
          <w:highlight w:val="none"/>
        </w:rPr>
        <w:t>办法》的补充说明》，另外业务科室加大</w:t>
      </w:r>
      <w:r>
        <w:rPr>
          <w:rFonts w:hint="eastAsia" w:ascii="宋体" w:hAnsi="宋体" w:cs="宋体"/>
          <w:sz w:val="32"/>
          <w:szCs w:val="32"/>
          <w:highlight w:val="none"/>
          <w:lang w:eastAsia="zh-CN"/>
        </w:rPr>
        <w:t>对全县</w:t>
      </w:r>
      <w:r>
        <w:rPr>
          <w:rFonts w:hint="eastAsia" w:ascii="宋体" w:hAnsi="宋体" w:cs="宋体"/>
          <w:sz w:val="32"/>
          <w:szCs w:val="32"/>
          <w:highlight w:val="none"/>
          <w:lang w:val="en-US" w:eastAsia="zh-CN"/>
        </w:rPr>
        <w:t>76个村社区的</w:t>
      </w:r>
      <w:r>
        <w:rPr>
          <w:rFonts w:hint="eastAsia" w:ascii="宋体" w:hAnsi="宋体" w:cs="宋体"/>
          <w:sz w:val="32"/>
          <w:szCs w:val="32"/>
          <w:highlight w:val="none"/>
        </w:rPr>
        <w:t>核查力度。对</w:t>
      </w:r>
      <w:r>
        <w:rPr>
          <w:rFonts w:hint="eastAsia" w:ascii="宋体" w:hAnsi="宋体" w:cs="宋体"/>
          <w:sz w:val="32"/>
          <w:szCs w:val="32"/>
          <w:highlight w:val="none"/>
          <w:lang w:eastAsia="zh-CN"/>
        </w:rPr>
        <w:t>不符合条件享受两项补贴的人群</w:t>
      </w:r>
      <w:r>
        <w:rPr>
          <w:rFonts w:hint="eastAsia" w:ascii="宋体" w:hAnsi="宋体" w:cs="宋体"/>
          <w:sz w:val="32"/>
          <w:szCs w:val="32"/>
          <w:highlight w:val="none"/>
        </w:rPr>
        <w:t>清退</w:t>
      </w:r>
      <w:r>
        <w:rPr>
          <w:rFonts w:hint="eastAsia" w:ascii="宋体" w:hAnsi="宋体" w:cs="宋体"/>
          <w:sz w:val="32"/>
          <w:szCs w:val="32"/>
          <w:highlight w:val="none"/>
          <w:lang w:eastAsia="zh-CN"/>
        </w:rPr>
        <w:t>，将新增确有</w:t>
      </w:r>
      <w:r>
        <w:rPr>
          <w:rFonts w:hint="eastAsia" w:ascii="宋体" w:hAnsi="宋体" w:cs="宋体"/>
          <w:sz w:val="32"/>
          <w:szCs w:val="32"/>
          <w:highlight w:val="none"/>
        </w:rPr>
        <w:t>因</w:t>
      </w:r>
      <w:r>
        <w:rPr>
          <w:rFonts w:hint="eastAsia" w:ascii="宋体" w:hAnsi="宋体" w:cs="宋体"/>
          <w:sz w:val="32"/>
          <w:szCs w:val="32"/>
          <w:highlight w:val="none"/>
          <w:lang w:eastAsia="zh-CN"/>
        </w:rPr>
        <w:t>残（经过鉴定）。纳入系统按时发放两项补贴</w:t>
      </w:r>
      <w:r>
        <w:rPr>
          <w:rFonts w:hint="eastAsia" w:ascii="宋体" w:hAnsi="宋体" w:cs="宋体"/>
          <w:sz w:val="32"/>
          <w:szCs w:val="32"/>
          <w:highlight w:val="none"/>
        </w:rPr>
        <w:t>。</w:t>
      </w:r>
    </w:p>
    <w:p>
      <w:pPr>
        <w:pStyle w:val="6"/>
        <w:spacing w:line="360" w:lineRule="auto"/>
        <w:rPr>
          <w:rFonts w:hint="eastAsia" w:ascii="仿宋_GB2312" w:eastAsia="仿宋_GB2312"/>
          <w:b w:val="0"/>
          <w:bCs w:val="0"/>
          <w:lang w:val="en-US" w:eastAsia="zh-CN"/>
        </w:rPr>
      </w:pPr>
      <w:bookmarkStart w:id="21" w:name="_GoBack"/>
      <w:r>
        <w:rPr>
          <w:rFonts w:hint="eastAsia" w:ascii="仿宋_GB2312" w:eastAsia="仿宋_GB2312"/>
          <w:b w:val="0"/>
          <w:bCs w:val="0"/>
          <w:lang w:val="en-US" w:eastAsia="zh-CN"/>
        </w:rPr>
        <w:t>（二）存在的问题及原因分析</w:t>
      </w:r>
    </w:p>
    <w:bookmarkEnd w:id="21"/>
    <w:p>
      <w:pPr>
        <w:pStyle w:val="9"/>
        <w:pageBreakBefore w:val="0"/>
        <w:kinsoku/>
        <w:wordWrap/>
        <w:overflowPunct/>
        <w:topLinePunct w:val="0"/>
        <w:autoSpaceDE/>
        <w:autoSpaceDN/>
        <w:bidi w:val="0"/>
        <w:spacing w:line="560" w:lineRule="exact"/>
        <w:ind w:firstLine="640" w:firstLineChars="200"/>
        <w:textAlignment w:val="auto"/>
        <w:rPr>
          <w:rFonts w:hint="eastAsia" w:ascii="宋体" w:hAnsi="宋体" w:cs="宋体"/>
          <w:sz w:val="32"/>
          <w:szCs w:val="32"/>
          <w:highlight w:val="none"/>
          <w:lang w:val="en-US" w:eastAsia="zh-CN"/>
        </w:rPr>
      </w:pPr>
      <w:r>
        <w:rPr>
          <w:rFonts w:hint="eastAsia" w:ascii="宋体" w:hAnsi="宋体" w:cs="宋体"/>
          <w:sz w:val="32"/>
          <w:szCs w:val="32"/>
          <w:highlight w:val="none"/>
          <w:lang w:val="en-US" w:eastAsia="zh-CN"/>
        </w:rPr>
        <w:t>项目存在一卡通资金下达或通过网银打款时，账户名称、账户账号、账户开户行错误现象，且仍存在二次打款失败的情况。存在两项补贴款打入家属账户内，用途无法监管的问题，根据上述情况原因分析如下：一是与乡镇民政办沟通欠缺，联系不够通畅；二是虽然已经使用了系统但仍存在错误率，如果可以，能否与公安户籍科室与银行进行畅联，信息共享。三是未统一发放渠道、发放银行，增加了工作的错误率；四是乡镇审核不到位，县级发放时存在延误性，未能及时将失败款项打出，解决残疾群众生活问题。</w:t>
      </w:r>
    </w:p>
    <w:p>
      <w:pPr>
        <w:pStyle w:val="9"/>
        <w:pageBreakBefore w:val="0"/>
        <w:kinsoku/>
        <w:wordWrap/>
        <w:overflowPunct/>
        <w:topLinePunct w:val="0"/>
        <w:autoSpaceDE/>
        <w:autoSpaceDN/>
        <w:bidi w:val="0"/>
        <w:spacing w:line="560" w:lineRule="exact"/>
        <w:textAlignment w:val="auto"/>
        <w:rPr>
          <w:rFonts w:hint="eastAsia" w:ascii="楷体_GB2312" w:hAnsi="楷体_GB2312" w:eastAsia="楷体_GB2312" w:cs="楷体_GB2312"/>
          <w:b w:val="0"/>
          <w:bCs w:val="0"/>
          <w:kern w:val="2"/>
          <w:sz w:val="32"/>
          <w:szCs w:val="32"/>
          <w:highlight w:val="none"/>
          <w:lang w:val="en-US" w:eastAsia="zh-CN" w:bidi="ar-SA"/>
        </w:rPr>
      </w:pPr>
    </w:p>
    <w:bookmarkEnd w:id="18"/>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highlight w:val="none"/>
          <w:lang w:val="en-US" w:eastAsia="zh-CN"/>
        </w:rPr>
      </w:pPr>
      <w:bookmarkStart w:id="19" w:name="_Toc68703845"/>
      <w:r>
        <w:rPr>
          <w:rFonts w:hint="eastAsia" w:ascii="黑体" w:hAnsi="黑体" w:eastAsia="黑体" w:cs="黑体"/>
          <w:b w:val="0"/>
          <w:bCs w:val="0"/>
          <w:sz w:val="32"/>
          <w:szCs w:val="32"/>
          <w:highlight w:val="none"/>
          <w:lang w:eastAsia="zh-CN"/>
        </w:rPr>
        <w:t>六、</w:t>
      </w:r>
      <w:r>
        <w:rPr>
          <w:rFonts w:hint="eastAsia" w:ascii="黑体" w:hAnsi="黑体" w:eastAsia="黑体" w:cs="黑体"/>
          <w:b w:val="0"/>
          <w:bCs w:val="0"/>
          <w:sz w:val="32"/>
          <w:szCs w:val="32"/>
          <w:highlight w:val="none"/>
        </w:rPr>
        <w:t>有关建议</w:t>
      </w:r>
      <w:bookmarkEnd w:id="19"/>
    </w:p>
    <w:p>
      <w:pPr>
        <w:pStyle w:val="5"/>
        <w:pageBreakBefore w:val="0"/>
        <w:kinsoku/>
        <w:wordWrap/>
        <w:overflowPunct/>
        <w:topLinePunct w:val="0"/>
        <w:autoSpaceDE/>
        <w:autoSpaceDN/>
        <w:bidi w:val="0"/>
        <w:spacing w:before="0" w:after="0" w:line="560" w:lineRule="exact"/>
        <w:ind w:firstLine="640" w:firstLineChars="200"/>
        <w:textAlignment w:val="auto"/>
        <w:rPr>
          <w:rFonts w:hint="eastAsia" w:ascii="宋体" w:hAnsi="宋体" w:cs="宋体"/>
          <w:b w:val="0"/>
          <w:bCs w:val="0"/>
          <w:kern w:val="2"/>
          <w:sz w:val="32"/>
          <w:szCs w:val="32"/>
          <w:highlight w:val="none"/>
          <w:lang w:val="en-US" w:eastAsia="zh-CN" w:bidi="ar-SA"/>
        </w:rPr>
      </w:pPr>
      <w:bookmarkStart w:id="20" w:name="_Toc68703846"/>
      <w:r>
        <w:rPr>
          <w:rFonts w:hint="eastAsia" w:ascii="宋体" w:hAnsi="宋体" w:eastAsia="仿宋_GB2312" w:cs="宋体"/>
          <w:b w:val="0"/>
          <w:bCs w:val="0"/>
          <w:kern w:val="2"/>
          <w:sz w:val="32"/>
          <w:szCs w:val="32"/>
          <w:highlight w:val="none"/>
          <w:lang w:val="en-US" w:eastAsia="zh-CN" w:bidi="ar-SA"/>
        </w:rPr>
        <w:t>该项目涉及面广，涉及特克斯县八个乡镇、覆盖全县76个村社区，困难群众的核查工作量大，按照要求应将符合条件的享受对象进行精准统计，该项统计涉及人力、物力、财力，对于这项工作，人员紧缺，仅靠县乡两级民政科室进行较为吃力，对于</w:t>
      </w:r>
      <w:r>
        <w:rPr>
          <w:rFonts w:hint="eastAsia" w:ascii="宋体" w:hAnsi="宋体" w:cs="宋体"/>
          <w:b w:val="0"/>
          <w:bCs w:val="0"/>
          <w:kern w:val="2"/>
          <w:sz w:val="32"/>
          <w:szCs w:val="32"/>
          <w:highlight w:val="none"/>
          <w:lang w:val="en-US" w:eastAsia="zh-CN" w:bidi="ar-SA"/>
        </w:rPr>
        <w:t>残疾人</w:t>
      </w:r>
      <w:r>
        <w:rPr>
          <w:rFonts w:hint="eastAsia" w:ascii="宋体" w:hAnsi="宋体" w:eastAsia="仿宋_GB2312" w:cs="宋体"/>
          <w:b w:val="0"/>
          <w:bCs w:val="0"/>
          <w:kern w:val="2"/>
          <w:sz w:val="32"/>
          <w:szCs w:val="32"/>
          <w:highlight w:val="none"/>
          <w:lang w:val="en-US" w:eastAsia="zh-CN" w:bidi="ar-SA"/>
        </w:rPr>
        <w:t>的救助，当以扶智相结合，加大</w:t>
      </w:r>
      <w:r>
        <w:rPr>
          <w:rFonts w:hint="eastAsia" w:ascii="宋体" w:hAnsi="宋体" w:cs="宋体"/>
          <w:b w:val="0"/>
          <w:bCs w:val="0"/>
          <w:kern w:val="2"/>
          <w:sz w:val="32"/>
          <w:szCs w:val="32"/>
          <w:highlight w:val="none"/>
          <w:lang w:val="en-US" w:eastAsia="zh-CN" w:bidi="ar-SA"/>
        </w:rPr>
        <w:t>受益群体与受益群体的家属</w:t>
      </w:r>
      <w:r>
        <w:rPr>
          <w:rFonts w:hint="eastAsia" w:ascii="宋体" w:hAnsi="宋体" w:eastAsia="仿宋_GB2312" w:cs="宋体"/>
          <w:b w:val="0"/>
          <w:bCs w:val="0"/>
          <w:kern w:val="2"/>
          <w:sz w:val="32"/>
          <w:szCs w:val="32"/>
          <w:highlight w:val="none"/>
          <w:lang w:val="en-US" w:eastAsia="zh-CN" w:bidi="ar-SA"/>
        </w:rPr>
        <w:t>的感恩教育，建议加大专项工作经费预算力度。与乡镇进行衔接，增强配合度与沟通，</w:t>
      </w:r>
      <w:r>
        <w:rPr>
          <w:rFonts w:hint="eastAsia" w:ascii="宋体" w:hAnsi="宋体" w:cs="宋体"/>
          <w:b w:val="0"/>
          <w:bCs w:val="0"/>
          <w:kern w:val="2"/>
          <w:sz w:val="32"/>
          <w:szCs w:val="32"/>
          <w:highlight w:val="none"/>
          <w:lang w:val="en-US" w:eastAsia="zh-CN" w:bidi="ar-SA"/>
        </w:rPr>
        <w:t>打通部门壁垒，将民政、残联的作用、红十字会作用共同作用于残疾人群众身上，专注于解决难题，发挥作用。</w:t>
      </w:r>
    </w:p>
    <w:p>
      <w:pPr>
        <w:pStyle w:val="5"/>
        <w:pageBreakBefore w:val="0"/>
        <w:kinsoku/>
        <w:wordWrap/>
        <w:overflowPunct/>
        <w:topLinePunct w:val="0"/>
        <w:autoSpaceDE/>
        <w:autoSpaceDN/>
        <w:bidi w:val="0"/>
        <w:spacing w:before="0" w:after="0"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七、其他需要说明的问题</w:t>
      </w:r>
      <w:bookmarkEnd w:id="20"/>
    </w:p>
    <w:p>
      <w:pPr>
        <w:pageBreakBefore w:val="0"/>
        <w:kinsoku/>
        <w:wordWrap/>
        <w:overflowPunct/>
        <w:topLinePunct w:val="0"/>
        <w:autoSpaceDE/>
        <w:autoSpaceDN/>
        <w:bidi w:val="0"/>
        <w:spacing w:line="560" w:lineRule="exact"/>
        <w:ind w:firstLine="640" w:firstLineChars="200"/>
        <w:textAlignment w:val="auto"/>
        <w:rPr>
          <w:rFonts w:hint="eastAsia" w:ascii="宋体" w:hAnsi="宋体" w:eastAsia="仿宋_GB2312" w:cs="宋体"/>
          <w:b w:val="0"/>
          <w:bCs w:val="0"/>
          <w:kern w:val="2"/>
          <w:sz w:val="32"/>
          <w:szCs w:val="32"/>
          <w:lang w:val="en-US" w:eastAsia="zh-CN" w:bidi="ar-SA"/>
        </w:rPr>
      </w:pPr>
      <w:r>
        <w:rPr>
          <w:rFonts w:hint="eastAsia" w:ascii="宋体" w:hAnsi="宋体" w:eastAsia="仿宋_GB2312" w:cs="宋体"/>
          <w:b w:val="0"/>
          <w:bCs w:val="0"/>
          <w:kern w:val="2"/>
          <w:sz w:val="32"/>
          <w:szCs w:val="32"/>
          <w:lang w:val="en-US" w:eastAsia="zh-CN" w:bidi="ar-SA"/>
        </w:rPr>
        <w:t>无</w:t>
      </w:r>
    </w:p>
    <w:p>
      <w:pPr>
        <w:pageBreakBefore w:val="0"/>
        <w:kinsoku/>
        <w:wordWrap/>
        <w:overflowPunct/>
        <w:topLinePunct w:val="0"/>
        <w:autoSpaceDE/>
        <w:autoSpaceDN/>
        <w:bidi w:val="0"/>
        <w:spacing w:line="560" w:lineRule="exact"/>
        <w:textAlignment w:val="auto"/>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6624721"/>
    <w:rsid w:val="0CCD2EE4"/>
    <w:rsid w:val="0FB42F33"/>
    <w:rsid w:val="118440E5"/>
    <w:rsid w:val="192817FA"/>
    <w:rsid w:val="23D2079E"/>
    <w:rsid w:val="24597506"/>
    <w:rsid w:val="292C07FD"/>
    <w:rsid w:val="2F5051AF"/>
    <w:rsid w:val="31267DF7"/>
    <w:rsid w:val="31F31834"/>
    <w:rsid w:val="364F61C0"/>
    <w:rsid w:val="382F0057"/>
    <w:rsid w:val="38B51529"/>
    <w:rsid w:val="462E1B65"/>
    <w:rsid w:val="4E5403C0"/>
    <w:rsid w:val="508142B3"/>
    <w:rsid w:val="569A2685"/>
    <w:rsid w:val="58951D01"/>
    <w:rsid w:val="5A750041"/>
    <w:rsid w:val="5E6477F1"/>
    <w:rsid w:val="60471B32"/>
    <w:rsid w:val="76E8159A"/>
    <w:rsid w:val="781C169F"/>
    <w:rsid w:val="793D2F66"/>
    <w:rsid w:val="79AE7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adjustRightInd w:val="0"/>
      <w:snapToGrid w:val="0"/>
      <w:spacing w:beforeAutospacing="1"/>
      <w:ind w:firstLine="200" w:firstLineChars="200"/>
      <w:jc w:val="left"/>
    </w:pPr>
    <w:rPr>
      <w:rFonts w:ascii="Tahoma" w:hAnsi="Tahoma" w:eastAsia="微软雅黑"/>
      <w:sz w:val="22"/>
    </w:rPr>
  </w:style>
  <w:style w:type="paragraph" w:styleId="3">
    <w:name w:val="Body Text Indent"/>
    <w:basedOn w:val="1"/>
    <w:next w:val="4"/>
    <w:qFormat/>
    <w:uiPriority w:val="0"/>
    <w:pPr>
      <w:ind w:left="200" w:leftChars="200"/>
    </w:pPr>
  </w:style>
  <w:style w:type="paragraph" w:styleId="4">
    <w:name w:val="index 6"/>
    <w:basedOn w:val="1"/>
    <w:next w:val="1"/>
    <w:qFormat/>
    <w:uiPriority w:val="0"/>
    <w:pPr>
      <w:ind w:left="1000" w:leftChars="1000"/>
    </w:pPr>
  </w:style>
  <w:style w:type="paragraph" w:styleId="7">
    <w:name w:val="Plain Text"/>
    <w:basedOn w:val="1"/>
    <w:qFormat/>
    <w:uiPriority w:val="0"/>
    <w:rPr>
      <w:rFonts w:ascii="宋体" w:hAnsi="Courier New"/>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footnote text"/>
    <w:basedOn w:val="1"/>
    <w:qFormat/>
    <w:uiPriority w:val="0"/>
    <w:pPr>
      <w:snapToGrid w:val="0"/>
      <w:jc w:val="left"/>
    </w:pPr>
    <w:rPr>
      <w:sz w:val="18"/>
      <w:szCs w:val="18"/>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字符"/>
    <w:basedOn w:val="12"/>
    <w:link w:val="5"/>
    <w:qFormat/>
    <w:uiPriority w:val="9"/>
    <w:rPr>
      <w:rFonts w:ascii="Times New Roman" w:hAnsi="Times New Roman" w:eastAsia="仿宋_GB2312" w:cs="Times New Roman"/>
      <w:b/>
      <w:bCs/>
      <w:kern w:val="44"/>
      <w:sz w:val="44"/>
      <w:szCs w:val="44"/>
    </w:rPr>
  </w:style>
  <w:style w:type="character" w:customStyle="1" w:styleId="15">
    <w:name w:val="标题 2 字符"/>
    <w:basedOn w:val="12"/>
    <w:link w:val="6"/>
    <w:qFormat/>
    <w:uiPriority w:val="9"/>
    <w:rPr>
      <w:rFonts w:asciiTheme="majorHAnsi" w:hAnsiTheme="majorHAnsi" w:eastAsiaTheme="majorEastAsia" w:cstheme="majorBidi"/>
      <w:b/>
      <w:bCs/>
      <w:sz w:val="32"/>
      <w:szCs w:val="32"/>
    </w:rPr>
  </w:style>
  <w:style w:type="paragraph" w:customStyle="1" w:styleId="16">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4956</Words>
  <Characters>5144</Characters>
  <Lines>38</Lines>
  <Paragraphs>10</Paragraphs>
  <TotalTime>3</TotalTime>
  <ScaleCrop>false</ScaleCrop>
  <LinksUpToDate>false</LinksUpToDate>
  <CharactersWithSpaces>5175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2022-04-26T03:57:27Z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3B9B5C8413614E1286F373C440FD7A3A</vt:lpwstr>
  </property>
</Properties>
</file>