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spacing w:line="560" w:lineRule="exact"/>
        <w:ind w:firstLine="3200" w:firstLineChars="1000"/>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（2021年度）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firstLine="321" w:firstLineChars="100"/>
        <w:rPr>
          <w:rFonts w:hint="eastAsia" w:ascii="宋体" w:hAnsi="宋体" w:eastAsia="宋体" w:cs="宋体"/>
          <w:color w:val="auto"/>
          <w:kern w:val="0"/>
          <w:sz w:val="32"/>
          <w:szCs w:val="32"/>
          <w:lang w:eastAsia="zh-CN"/>
        </w:rPr>
      </w:pPr>
      <w:r>
        <w:rPr>
          <w:rFonts w:hint="eastAsia" w:ascii="宋体" w:hAnsi="宋体" w:eastAsia="宋体" w:cs="仿宋_GB2312"/>
          <w:b/>
          <w:bCs/>
          <w:color w:val="auto"/>
          <w:kern w:val="0"/>
          <w:sz w:val="32"/>
          <w:szCs w:val="32"/>
        </w:rPr>
        <w:t>项目名称：</w:t>
      </w:r>
      <w:r>
        <w:rPr>
          <w:rFonts w:ascii="宋体" w:hAnsi="宋体" w:eastAsia="宋体" w:cs="宋体"/>
          <w:color w:val="auto"/>
          <w:kern w:val="0"/>
          <w:sz w:val="32"/>
          <w:szCs w:val="32"/>
        </w:rPr>
        <w:t xml:space="preserve"> </w:t>
      </w:r>
      <w:r>
        <w:rPr>
          <w:rFonts w:hint="eastAsia" w:ascii="宋体" w:hAnsi="宋体" w:eastAsia="宋体" w:cs="宋体"/>
          <w:color w:val="auto"/>
          <w:kern w:val="0"/>
          <w:sz w:val="32"/>
          <w:szCs w:val="32"/>
          <w:lang w:val="en-US" w:eastAsia="zh-CN"/>
        </w:rPr>
        <w:t>特克斯县</w:t>
      </w:r>
      <w:r>
        <w:rPr>
          <w:rFonts w:hint="eastAsia" w:ascii="宋体" w:hAnsi="宋体" w:eastAsia="宋体" w:cs="宋体"/>
          <w:color w:val="auto"/>
          <w:kern w:val="0"/>
          <w:sz w:val="32"/>
          <w:szCs w:val="32"/>
        </w:rPr>
        <w:t>2021年林业草原生态保护恢复</w:t>
      </w:r>
      <w:r>
        <w:rPr>
          <w:rFonts w:hint="eastAsia" w:ascii="宋体" w:hAnsi="宋体" w:eastAsia="宋体" w:cs="宋体"/>
          <w:color w:val="auto"/>
          <w:kern w:val="0"/>
          <w:sz w:val="32"/>
          <w:szCs w:val="32"/>
          <w:lang w:eastAsia="zh-CN"/>
        </w:rPr>
        <w:t>项目</w:t>
      </w:r>
    </w:p>
    <w:p>
      <w:pPr>
        <w:spacing w:line="560" w:lineRule="exact"/>
        <w:ind w:firstLine="321" w:firstLineChars="100"/>
        <w:rPr>
          <w:rFonts w:hint="eastAsia" w:ascii="宋体" w:hAnsi="宋体" w:eastAsia="宋体" w:cs="宋体"/>
          <w:color w:val="auto"/>
          <w:kern w:val="0"/>
          <w:sz w:val="32"/>
          <w:szCs w:val="32"/>
          <w:lang w:eastAsia="zh-CN"/>
        </w:rPr>
      </w:pPr>
      <w:r>
        <w:rPr>
          <w:rFonts w:hint="eastAsia" w:ascii="宋体" w:hAnsi="宋体" w:eastAsia="宋体" w:cs="仿宋_GB2312"/>
          <w:b/>
          <w:bCs/>
          <w:color w:val="auto"/>
          <w:kern w:val="0"/>
          <w:sz w:val="32"/>
          <w:szCs w:val="32"/>
        </w:rPr>
        <w:t>实施单位（公章）：</w:t>
      </w:r>
      <w:r>
        <w:rPr>
          <w:rFonts w:ascii="宋体" w:hAnsi="宋体" w:eastAsia="宋体" w:cs="宋体"/>
          <w:color w:val="auto"/>
          <w:kern w:val="0"/>
          <w:sz w:val="32"/>
          <w:szCs w:val="32"/>
        </w:rPr>
        <w:t xml:space="preserve"> </w:t>
      </w:r>
      <w:r>
        <w:rPr>
          <w:rFonts w:hint="eastAsia" w:ascii="宋体" w:hAnsi="宋体" w:eastAsia="宋体" w:cs="宋体"/>
          <w:color w:val="auto"/>
          <w:kern w:val="0"/>
          <w:sz w:val="32"/>
          <w:szCs w:val="32"/>
          <w:lang w:eastAsia="zh-CN"/>
        </w:rPr>
        <w:t>特克斯县林业和草原局</w:t>
      </w:r>
    </w:p>
    <w:p>
      <w:pPr>
        <w:spacing w:line="560" w:lineRule="exact"/>
        <w:ind w:firstLine="321" w:firstLineChars="100"/>
        <w:rPr>
          <w:rFonts w:hint="eastAsia" w:ascii="宋体" w:hAnsi="宋体" w:eastAsia="宋体" w:cs="宋体"/>
          <w:color w:val="auto"/>
          <w:kern w:val="0"/>
          <w:sz w:val="32"/>
          <w:szCs w:val="32"/>
          <w:lang w:eastAsia="zh-CN"/>
        </w:rPr>
      </w:pPr>
      <w:r>
        <w:rPr>
          <w:rFonts w:hint="eastAsia" w:ascii="宋体" w:hAnsi="宋体" w:eastAsia="宋体" w:cs="仿宋_GB2312"/>
          <w:b/>
          <w:bCs/>
          <w:color w:val="auto"/>
          <w:kern w:val="0"/>
          <w:sz w:val="32"/>
          <w:szCs w:val="32"/>
        </w:rPr>
        <w:t>主管部门（公章）：</w:t>
      </w:r>
      <w:r>
        <w:rPr>
          <w:rFonts w:hint="eastAsia" w:ascii="宋体" w:hAnsi="宋体" w:eastAsia="宋体" w:cs="宋体"/>
          <w:color w:val="auto"/>
          <w:kern w:val="0"/>
          <w:sz w:val="32"/>
          <w:szCs w:val="32"/>
          <w:lang w:eastAsia="zh-CN"/>
        </w:rPr>
        <w:t>特克斯县林业和草原局</w:t>
      </w:r>
    </w:p>
    <w:p>
      <w:pPr>
        <w:spacing w:line="560" w:lineRule="exact"/>
        <w:ind w:firstLine="321" w:firstLineChars="100"/>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ascii="宋体" w:hAnsi="宋体" w:eastAsia="宋体" w:cs="宋体"/>
          <w:color w:val="auto"/>
          <w:kern w:val="0"/>
          <w:sz w:val="32"/>
          <w:szCs w:val="32"/>
        </w:rPr>
        <w:t xml:space="preserve"> </w:t>
      </w:r>
      <w:r>
        <w:rPr>
          <w:rFonts w:hint="eastAsia" w:ascii="宋体" w:hAnsi="宋体" w:eastAsia="宋体" w:cs="宋体"/>
          <w:color w:val="auto"/>
          <w:kern w:val="0"/>
          <w:sz w:val="32"/>
          <w:szCs w:val="32"/>
          <w:lang w:val="en-US" w:eastAsia="zh-CN"/>
        </w:rPr>
        <w:t>胥洪军</w:t>
      </w:r>
    </w:p>
    <w:p>
      <w:pPr>
        <w:spacing w:line="560" w:lineRule="exact"/>
        <w:ind w:firstLine="321" w:firstLineChars="100"/>
        <w:rPr>
          <w:rFonts w:hint="eastAsia" w:ascii="宋体" w:hAnsi="宋体" w:eastAsia="宋体" w:cs="仿宋_GB2312"/>
          <w:color w:val="auto"/>
          <w:kern w:val="0"/>
          <w:sz w:val="32"/>
          <w:szCs w:val="32"/>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ascii="宋体" w:hAnsi="宋体" w:eastAsia="宋体" w:cs="仿宋_GB2312"/>
          <w:color w:val="auto"/>
          <w:kern w:val="0"/>
          <w:sz w:val="32"/>
          <w:szCs w:val="32"/>
        </w:rPr>
        <w:t>2</w:t>
      </w:r>
      <w:r>
        <w:rPr>
          <w:rFonts w:hint="eastAsia" w:ascii="宋体" w:hAnsi="宋体" w:eastAsia="宋体" w:cs="仿宋_GB2312"/>
          <w:color w:val="auto"/>
          <w:kern w:val="0"/>
          <w:sz w:val="32"/>
          <w:szCs w:val="32"/>
        </w:rPr>
        <w:t>年</w:t>
      </w:r>
      <w:r>
        <w:rPr>
          <w:rFonts w:hint="eastAsia" w:ascii="宋体" w:hAnsi="宋体" w:eastAsia="宋体" w:cs="仿宋_GB2312"/>
          <w:color w:val="auto"/>
          <w:kern w:val="0"/>
          <w:sz w:val="32"/>
          <w:szCs w:val="32"/>
          <w:lang w:val="en-US" w:eastAsia="zh-CN"/>
        </w:rPr>
        <w:t>4</w:t>
      </w:r>
      <w:r>
        <w:rPr>
          <w:rFonts w:ascii="宋体" w:hAnsi="宋体" w:eastAsia="宋体" w:cs="仿宋_GB2312"/>
          <w:color w:val="auto"/>
          <w:kern w:val="0"/>
          <w:sz w:val="32"/>
          <w:szCs w:val="32"/>
        </w:rPr>
        <w:t xml:space="preserve"> </w:t>
      </w:r>
      <w:r>
        <w:rPr>
          <w:rFonts w:hint="eastAsia" w:ascii="宋体" w:hAnsi="宋体" w:eastAsia="宋体" w:cs="仿宋_GB2312"/>
          <w:color w:val="auto"/>
          <w:kern w:val="0"/>
          <w:sz w:val="32"/>
          <w:szCs w:val="32"/>
        </w:rPr>
        <w:t>月</w:t>
      </w:r>
      <w:r>
        <w:rPr>
          <w:rFonts w:ascii="宋体" w:hAnsi="宋体" w:eastAsia="宋体" w:cs="仿宋_GB2312"/>
          <w:color w:val="auto"/>
          <w:kern w:val="0"/>
          <w:sz w:val="32"/>
          <w:szCs w:val="32"/>
        </w:rPr>
        <w:t xml:space="preserve"> </w:t>
      </w:r>
      <w:r>
        <w:rPr>
          <w:rFonts w:hint="eastAsia" w:ascii="宋体" w:hAnsi="宋体" w:eastAsia="宋体" w:cs="仿宋_GB2312"/>
          <w:color w:val="auto"/>
          <w:kern w:val="0"/>
          <w:sz w:val="32"/>
          <w:szCs w:val="32"/>
          <w:lang w:val="en-US" w:eastAsia="zh-CN"/>
        </w:rPr>
        <w:t>12</w:t>
      </w:r>
      <w:r>
        <w:rPr>
          <w:rFonts w:hint="eastAsia" w:ascii="宋体" w:hAnsi="宋体" w:eastAsia="宋体" w:cs="仿宋_GB2312"/>
          <w:color w:val="auto"/>
          <w:kern w:val="0"/>
          <w:sz w:val="32"/>
          <w:szCs w:val="32"/>
        </w:rPr>
        <w:t>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jc w:val="center"/>
        <w:rPr>
          <w:rFonts w:ascii="Arial" w:hAnsi="Arial" w:eastAsia="宋体" w:cs="Arial"/>
          <w:b/>
          <w:bCs/>
          <w:color w:val="auto"/>
          <w:sz w:val="36"/>
          <w:szCs w:val="36"/>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jc w:val="center"/>
        <w:rPr>
          <w:rFonts w:ascii="仿宋_GB2312"/>
          <w:color w:val="auto"/>
          <w:szCs w:val="30"/>
        </w:rPr>
      </w:pPr>
    </w:p>
    <w:p>
      <w:pPr>
        <w:pStyle w:val="5"/>
        <w:spacing w:line="360" w:lineRule="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6"/>
        <w:spacing w:line="360" w:lineRule="auto"/>
        <w:rPr>
          <w:rFonts w:hint="eastAsia" w:ascii="Times New Roman" w:hAnsi="Times New Roman" w:eastAsia="仿宋_GB2312" w:cs="Times New Roman"/>
          <w:b w:val="0"/>
          <w:bCs w:val="0"/>
          <w:color w:val="auto"/>
          <w:kern w:val="2"/>
          <w:sz w:val="30"/>
          <w:szCs w:val="24"/>
          <w:lang w:val="en-US" w:eastAsia="zh-CN" w:bidi="ar-SA"/>
        </w:rPr>
      </w:pPr>
      <w:bookmarkStart w:id="1" w:name="_Toc68703828"/>
      <w:r>
        <w:rPr>
          <w:rFonts w:hint="eastAsia" w:ascii="Times New Roman" w:hAnsi="Times New Roman" w:eastAsia="仿宋_GB2312" w:cs="Times New Roman"/>
          <w:b w:val="0"/>
          <w:bCs w:val="0"/>
          <w:color w:val="auto"/>
          <w:kern w:val="2"/>
          <w:sz w:val="30"/>
          <w:szCs w:val="24"/>
          <w:lang w:val="en-US" w:eastAsia="zh-CN" w:bidi="ar-SA"/>
        </w:rPr>
        <w:t>（一）项目概况。</w:t>
      </w:r>
      <w:bookmarkEnd w:id="1"/>
    </w:p>
    <w:p>
      <w:pPr>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1、项目背景</w:t>
      </w:r>
    </w:p>
    <w:p>
      <w:pPr>
        <w:spacing w:line="360" w:lineRule="auto"/>
        <w:ind w:firstLine="600" w:firstLineChars="200"/>
        <w:rPr>
          <w:rFonts w:hint="eastAsia"/>
          <w:color w:val="auto"/>
        </w:rPr>
      </w:pPr>
      <w:r>
        <w:rPr>
          <w:rFonts w:hint="eastAsia"/>
          <w:color w:val="auto"/>
          <w:lang w:val="en-US" w:eastAsia="zh-CN"/>
        </w:rPr>
        <w:t xml:space="preserve">随着社会经济的发展和生活水平的提高，人类对自然资源的依赖 越来越严重。由于草原资源具有保护与利用的双重属性，既是区域生 态保护的绿色屏障，又是牧民的生产资料，因此草原保护和利用的矛 盾尤为突出，草原退化现状持续恶化。从草原生态方面来看，由于气 候变暖，草原资源过度开发利用，导致草原生态环境的持续退化，干旱区生态安全受到前所未有的严重威胁。要保护好草原生态环境，保证草原生态可持续发展，必须寻求草原保护和合理利用的有效途径和措施。 </w:t>
      </w:r>
    </w:p>
    <w:p>
      <w:pPr>
        <w:spacing w:line="360" w:lineRule="auto"/>
        <w:ind w:firstLine="600" w:firstLineChars="200"/>
        <w:rPr>
          <w:rFonts w:hint="eastAsia"/>
          <w:color w:val="auto"/>
        </w:rPr>
      </w:pPr>
      <w:r>
        <w:rPr>
          <w:rFonts w:hint="eastAsia"/>
          <w:color w:val="auto"/>
        </w:rPr>
        <w:t>2、主要内容及实施情况</w:t>
      </w:r>
    </w:p>
    <w:p>
      <w:pPr>
        <w:spacing w:line="360" w:lineRule="auto"/>
        <w:ind w:firstLine="600" w:firstLineChars="200"/>
        <w:rPr>
          <w:rFonts w:hint="eastAsia"/>
          <w:color w:val="auto"/>
        </w:rPr>
      </w:pPr>
      <w:r>
        <w:rPr>
          <w:rFonts w:hint="eastAsia"/>
          <w:color w:val="auto"/>
        </w:rPr>
        <w:t>主要内容：</w:t>
      </w:r>
      <w:r>
        <w:rPr>
          <w:rFonts w:hint="eastAsia"/>
          <w:color w:val="auto"/>
          <w:lang w:val="en-US" w:eastAsia="zh-CN"/>
        </w:rPr>
        <w:t xml:space="preserve">特克斯县 </w:t>
      </w:r>
      <w:r>
        <w:rPr>
          <w:rFonts w:hint="default"/>
          <w:color w:val="auto"/>
          <w:lang w:val="en-US" w:eastAsia="zh-CN"/>
        </w:rPr>
        <w:t xml:space="preserve">2021 </w:t>
      </w:r>
      <w:r>
        <w:rPr>
          <w:rFonts w:hint="eastAsia"/>
          <w:color w:val="auto"/>
          <w:lang w:val="en-US" w:eastAsia="zh-CN"/>
        </w:rPr>
        <w:t xml:space="preserve">年中央财政林业草原生态保护恢复资金（草原生 态修复治理补助）退化草原生态修复治理 </w:t>
      </w:r>
      <w:r>
        <w:rPr>
          <w:rFonts w:hint="default"/>
          <w:color w:val="auto"/>
          <w:lang w:val="en-US" w:eastAsia="zh-CN"/>
        </w:rPr>
        <w:t xml:space="preserve">7.3 </w:t>
      </w:r>
      <w:r>
        <w:rPr>
          <w:rFonts w:hint="eastAsia"/>
          <w:color w:val="auto"/>
          <w:lang w:val="en-US" w:eastAsia="zh-CN"/>
        </w:rPr>
        <w:t xml:space="preserve">万亩，其中补播改良 </w:t>
      </w:r>
      <w:r>
        <w:rPr>
          <w:rFonts w:hint="default"/>
          <w:color w:val="auto"/>
          <w:lang w:val="en-US" w:eastAsia="zh-CN"/>
        </w:rPr>
        <w:t xml:space="preserve">1 </w:t>
      </w:r>
      <w:r>
        <w:rPr>
          <w:rFonts w:hint="eastAsia"/>
          <w:color w:val="auto"/>
          <w:lang w:val="en-US" w:eastAsia="zh-CN"/>
        </w:rPr>
        <w:t xml:space="preserve">万亩；补充灌溉 </w:t>
      </w:r>
      <w:r>
        <w:rPr>
          <w:rFonts w:hint="default"/>
          <w:color w:val="auto"/>
          <w:lang w:val="en-US" w:eastAsia="zh-CN"/>
        </w:rPr>
        <w:t xml:space="preserve">0.3 </w:t>
      </w:r>
      <w:r>
        <w:rPr>
          <w:rFonts w:hint="eastAsia"/>
          <w:color w:val="auto"/>
          <w:lang w:val="en-US" w:eastAsia="zh-CN"/>
        </w:rPr>
        <w:t xml:space="preserve">万亩；围栏 </w:t>
      </w:r>
      <w:r>
        <w:rPr>
          <w:rFonts w:hint="default"/>
          <w:color w:val="auto"/>
          <w:lang w:val="en-US" w:eastAsia="zh-CN"/>
        </w:rPr>
        <w:t xml:space="preserve">6 </w:t>
      </w:r>
      <w:r>
        <w:rPr>
          <w:rFonts w:hint="eastAsia"/>
          <w:color w:val="auto"/>
          <w:lang w:val="en-US" w:eastAsia="zh-CN"/>
        </w:rPr>
        <w:t xml:space="preserve">万亩。 草原有害生物防治 </w:t>
      </w:r>
      <w:r>
        <w:rPr>
          <w:rFonts w:hint="default"/>
          <w:color w:val="auto"/>
          <w:lang w:val="en-US" w:eastAsia="zh-CN"/>
        </w:rPr>
        <w:t xml:space="preserve">28 </w:t>
      </w:r>
      <w:r>
        <w:rPr>
          <w:rFonts w:hint="eastAsia"/>
          <w:color w:val="auto"/>
          <w:lang w:val="en-US" w:eastAsia="zh-CN"/>
        </w:rPr>
        <w:t xml:space="preserve">万亩，其中鼠害防治 </w:t>
      </w:r>
      <w:r>
        <w:rPr>
          <w:rFonts w:hint="default"/>
          <w:color w:val="auto"/>
          <w:lang w:val="en-US" w:eastAsia="zh-CN"/>
        </w:rPr>
        <w:t xml:space="preserve">15 </w:t>
      </w:r>
      <w:r>
        <w:rPr>
          <w:rFonts w:hint="eastAsia"/>
          <w:color w:val="auto"/>
          <w:lang w:val="en-US" w:eastAsia="zh-CN"/>
        </w:rPr>
        <w:t xml:space="preserve">万亩、虫害防治 </w:t>
      </w:r>
      <w:r>
        <w:rPr>
          <w:rFonts w:hint="default"/>
          <w:color w:val="auto"/>
          <w:lang w:val="en-US" w:eastAsia="zh-CN"/>
        </w:rPr>
        <w:t xml:space="preserve">13 </w:t>
      </w:r>
      <w:r>
        <w:rPr>
          <w:rFonts w:hint="eastAsia"/>
          <w:color w:val="auto"/>
          <w:lang w:val="en-US" w:eastAsia="zh-CN"/>
        </w:rPr>
        <w:t xml:space="preserve">万亩；监管监测及科技支撑 </w:t>
      </w:r>
      <w:r>
        <w:rPr>
          <w:rFonts w:hint="default"/>
          <w:color w:val="auto"/>
          <w:lang w:val="en-US" w:eastAsia="zh-CN"/>
        </w:rPr>
        <w:t xml:space="preserve">1 </w:t>
      </w:r>
      <w:r>
        <w:rPr>
          <w:rFonts w:hint="eastAsia"/>
          <w:color w:val="auto"/>
          <w:lang w:val="en-US" w:eastAsia="zh-CN"/>
        </w:rPr>
        <w:t xml:space="preserve">项。2021年完善退耕还林政策补助0.0979万亩，2017年退耕还林第五年补助面积0.3万亩    </w:t>
      </w:r>
    </w:p>
    <w:p>
      <w:pPr>
        <w:spacing w:line="360" w:lineRule="auto"/>
        <w:ind w:firstLine="600" w:firstLineChars="200"/>
        <w:rPr>
          <w:rFonts w:hint="eastAsia"/>
          <w:color w:val="auto"/>
        </w:rPr>
      </w:pPr>
      <w:r>
        <w:rPr>
          <w:rFonts w:hint="eastAsia"/>
          <w:color w:val="auto"/>
        </w:rPr>
        <w:t>实施情况：</w:t>
      </w:r>
      <w:r>
        <w:rPr>
          <w:rFonts w:hint="eastAsia"/>
          <w:color w:val="auto"/>
          <w:lang w:val="en-US" w:eastAsia="zh-CN"/>
        </w:rPr>
        <w:t xml:space="preserve">补播改良 </w:t>
      </w:r>
      <w:r>
        <w:rPr>
          <w:rFonts w:hint="default"/>
          <w:color w:val="auto"/>
          <w:lang w:val="en-US" w:eastAsia="zh-CN"/>
        </w:rPr>
        <w:t xml:space="preserve">1 </w:t>
      </w:r>
      <w:r>
        <w:rPr>
          <w:rFonts w:hint="eastAsia"/>
          <w:color w:val="auto"/>
          <w:lang w:val="en-US" w:eastAsia="zh-CN"/>
        </w:rPr>
        <w:t xml:space="preserve">万亩；补充灌溉 </w:t>
      </w:r>
      <w:r>
        <w:rPr>
          <w:rFonts w:hint="default"/>
          <w:color w:val="auto"/>
          <w:lang w:val="en-US" w:eastAsia="zh-CN"/>
        </w:rPr>
        <w:t xml:space="preserve">0.3 </w:t>
      </w:r>
      <w:r>
        <w:rPr>
          <w:rFonts w:hint="eastAsia"/>
          <w:color w:val="auto"/>
          <w:lang w:val="en-US" w:eastAsia="zh-CN"/>
        </w:rPr>
        <w:t xml:space="preserve">万亩；围栏 </w:t>
      </w:r>
      <w:r>
        <w:rPr>
          <w:rFonts w:hint="default"/>
          <w:color w:val="auto"/>
          <w:lang w:val="en-US" w:eastAsia="zh-CN"/>
        </w:rPr>
        <w:t xml:space="preserve">6 </w:t>
      </w:r>
      <w:r>
        <w:rPr>
          <w:rFonts w:hint="eastAsia"/>
          <w:color w:val="auto"/>
          <w:lang w:val="en-US" w:eastAsia="zh-CN"/>
        </w:rPr>
        <w:t xml:space="preserve">万亩。 草原有害生物防治 </w:t>
      </w:r>
      <w:r>
        <w:rPr>
          <w:rFonts w:hint="default"/>
          <w:color w:val="auto"/>
          <w:lang w:val="en-US" w:eastAsia="zh-CN"/>
        </w:rPr>
        <w:t xml:space="preserve">28 </w:t>
      </w:r>
      <w:r>
        <w:rPr>
          <w:rFonts w:hint="eastAsia"/>
          <w:color w:val="auto"/>
          <w:lang w:val="en-US" w:eastAsia="zh-CN"/>
        </w:rPr>
        <w:t xml:space="preserve">万亩，其中鼠害防治 </w:t>
      </w:r>
      <w:r>
        <w:rPr>
          <w:rFonts w:hint="default"/>
          <w:color w:val="auto"/>
          <w:lang w:val="en-US" w:eastAsia="zh-CN"/>
        </w:rPr>
        <w:t xml:space="preserve">15 </w:t>
      </w:r>
      <w:r>
        <w:rPr>
          <w:rFonts w:hint="eastAsia"/>
          <w:color w:val="auto"/>
          <w:lang w:val="en-US" w:eastAsia="zh-CN"/>
        </w:rPr>
        <w:t xml:space="preserve">万亩、虫害防治 </w:t>
      </w:r>
      <w:r>
        <w:rPr>
          <w:rFonts w:hint="default"/>
          <w:color w:val="auto"/>
          <w:lang w:val="en-US" w:eastAsia="zh-CN"/>
        </w:rPr>
        <w:t xml:space="preserve">13 </w:t>
      </w:r>
      <w:r>
        <w:rPr>
          <w:rFonts w:hint="eastAsia"/>
          <w:color w:val="auto"/>
          <w:lang w:val="en-US" w:eastAsia="zh-CN"/>
        </w:rPr>
        <w:t xml:space="preserve">万亩；监管监测及科技支撑 </w:t>
      </w:r>
      <w:r>
        <w:rPr>
          <w:rFonts w:hint="default"/>
          <w:color w:val="auto"/>
          <w:lang w:val="en-US" w:eastAsia="zh-CN"/>
        </w:rPr>
        <w:t xml:space="preserve">1 </w:t>
      </w:r>
      <w:r>
        <w:rPr>
          <w:rFonts w:hint="eastAsia"/>
          <w:color w:val="auto"/>
          <w:lang w:val="en-US" w:eastAsia="zh-CN"/>
        </w:rPr>
        <w:t xml:space="preserve">项。 2021年完善退耕还林政策补助0.0979万亩，2017年退耕还林第五年补助面积0.3万亩。   </w:t>
      </w:r>
    </w:p>
    <w:p>
      <w:pPr>
        <w:spacing w:line="360" w:lineRule="auto"/>
        <w:ind w:firstLine="600" w:firstLineChars="200"/>
        <w:rPr>
          <w:rFonts w:ascii="仿宋_GB2312"/>
          <w:color w:val="auto"/>
        </w:rPr>
      </w:pPr>
      <w:r>
        <w:rPr>
          <w:rFonts w:ascii="仿宋_GB2312"/>
          <w:color w:val="auto"/>
        </w:rPr>
        <w:t>3</w:t>
      </w:r>
      <w:r>
        <w:rPr>
          <w:rFonts w:hint="eastAsia" w:ascii="仿宋_GB2312"/>
          <w:color w:val="auto"/>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1045.81</w:t>
      </w:r>
      <w:r>
        <w:rPr>
          <w:rFonts w:hint="eastAsia"/>
          <w:color w:val="auto"/>
        </w:rPr>
        <w:t>万元，全年预算数</w:t>
      </w:r>
      <w:r>
        <w:rPr>
          <w:rFonts w:hint="eastAsia"/>
          <w:color w:val="auto"/>
          <w:lang w:val="en-US" w:eastAsia="zh-CN"/>
        </w:rPr>
        <w:t>1045.81</w:t>
      </w:r>
      <w:r>
        <w:rPr>
          <w:rFonts w:hint="eastAsia"/>
          <w:color w:val="auto"/>
        </w:rPr>
        <w:t>万元，实际总投入</w:t>
      </w:r>
      <w:r>
        <w:rPr>
          <w:rFonts w:hint="eastAsia"/>
          <w:color w:val="auto"/>
          <w:lang w:val="en-US" w:eastAsia="zh-CN"/>
        </w:rPr>
        <w:t>1045.81</w:t>
      </w:r>
      <w:r>
        <w:rPr>
          <w:rFonts w:hint="eastAsia"/>
          <w:color w:val="auto"/>
        </w:rPr>
        <w:t>万元，该项目资金已全部落实到位，资金来源为</w:t>
      </w:r>
      <w:r>
        <w:rPr>
          <w:rFonts w:hint="eastAsia"/>
          <w:color w:val="auto"/>
          <w:lang w:val="en-US" w:eastAsia="zh-CN"/>
        </w:rPr>
        <w:t>中央财政资金</w:t>
      </w:r>
      <w:r>
        <w:rPr>
          <w:rFonts w:hint="eastAsia"/>
          <w:color w:val="auto"/>
        </w:rPr>
        <w:t>。</w:t>
      </w:r>
    </w:p>
    <w:p>
      <w:pPr>
        <w:spacing w:line="360" w:lineRule="auto"/>
        <w:ind w:firstLine="600" w:firstLineChars="200"/>
        <w:rPr>
          <w:rFonts w:hint="default" w:eastAsia="仿宋_GB2312"/>
          <w:color w:val="auto"/>
          <w:lang w:val="en-US" w:eastAsia="zh-CN"/>
        </w:rPr>
      </w:pPr>
      <w:r>
        <w:rPr>
          <w:rFonts w:hint="eastAsia"/>
          <w:color w:val="auto"/>
        </w:rPr>
        <w:t>资金使用情况：该项目年初预算数</w:t>
      </w:r>
      <w:r>
        <w:rPr>
          <w:rFonts w:hint="eastAsia"/>
          <w:color w:val="auto"/>
          <w:lang w:val="en-US" w:eastAsia="zh-CN"/>
        </w:rPr>
        <w:t>1045.81</w:t>
      </w:r>
      <w:r>
        <w:rPr>
          <w:rFonts w:hint="eastAsia"/>
          <w:color w:val="auto"/>
        </w:rPr>
        <w:t xml:space="preserve">万元，全年预算数 </w:t>
      </w:r>
      <w:r>
        <w:rPr>
          <w:color w:val="auto"/>
        </w:rPr>
        <w:t xml:space="preserve">   </w:t>
      </w:r>
      <w:r>
        <w:rPr>
          <w:rFonts w:hint="eastAsia"/>
          <w:color w:val="auto"/>
        </w:rPr>
        <w:t>万元，全年执行数</w:t>
      </w:r>
      <w:r>
        <w:rPr>
          <w:rFonts w:hint="eastAsia"/>
          <w:color w:val="auto"/>
          <w:lang w:val="en-US" w:eastAsia="zh-CN"/>
        </w:rPr>
        <w:t>735.75</w:t>
      </w:r>
      <w:r>
        <w:rPr>
          <w:rFonts w:hint="eastAsia"/>
          <w:color w:val="auto"/>
        </w:rPr>
        <w:t>万元，预算执行率为</w:t>
      </w:r>
      <w:r>
        <w:rPr>
          <w:rFonts w:hint="eastAsia"/>
          <w:color w:val="auto"/>
          <w:lang w:val="en-US" w:eastAsia="zh-CN"/>
        </w:rPr>
        <w:t>70</w:t>
      </w:r>
      <w:r>
        <w:rPr>
          <w:rFonts w:hint="eastAsia"/>
          <w:color w:val="auto"/>
        </w:rPr>
        <w:t>%，用于：2021年林业草原生态保护恢复资金</w:t>
      </w:r>
      <w:r>
        <w:rPr>
          <w:rFonts w:hint="eastAsia"/>
          <w:color w:val="auto"/>
          <w:lang w:eastAsia="zh-CN"/>
        </w:rPr>
        <w:t>：</w:t>
      </w:r>
      <w:r>
        <w:rPr>
          <w:rFonts w:hint="eastAsia"/>
          <w:color w:val="auto"/>
          <w:lang w:val="en-US" w:eastAsia="zh-CN"/>
        </w:rPr>
        <w:t>735.75万元。</w:t>
      </w:r>
    </w:p>
    <w:p>
      <w:pPr>
        <w:pStyle w:val="6"/>
        <w:spacing w:line="360" w:lineRule="auto"/>
        <w:ind w:firstLine="640" w:firstLineChars="200"/>
        <w:rPr>
          <w:rFonts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spacing w:line="360" w:lineRule="auto"/>
        <w:ind w:firstLine="600" w:firstLineChars="200"/>
        <w:rPr>
          <w:rFonts w:hint="eastAsia"/>
          <w:color w:val="auto"/>
        </w:rPr>
      </w:pPr>
      <w:r>
        <w:rPr>
          <w:rFonts w:hint="eastAsia"/>
          <w:color w:val="auto"/>
        </w:rPr>
        <w:t>1、总体目标：完善退耕还林政策给予补助，巩固好退耕还林成果</w:t>
      </w:r>
      <w:r>
        <w:rPr>
          <w:rFonts w:hint="eastAsia"/>
          <w:color w:val="auto"/>
          <w:lang w:eastAsia="zh-CN"/>
        </w:rPr>
        <w:t>；</w:t>
      </w:r>
      <w:r>
        <w:rPr>
          <w:rFonts w:hint="eastAsia"/>
          <w:color w:val="auto"/>
        </w:rPr>
        <w:t>对新一轮退耕还林还草任务给予补助，实现国土绿化，改善水土流失情况，保障新一轮退耕任务落实，提高退耕农户满意度;                                                                                        目标</w:t>
      </w:r>
      <w:r>
        <w:rPr>
          <w:rFonts w:hint="eastAsia"/>
          <w:color w:val="auto"/>
          <w:lang w:eastAsia="zh-CN"/>
        </w:rPr>
        <w:t>；</w:t>
      </w:r>
      <w:r>
        <w:rPr>
          <w:rFonts w:hint="eastAsia"/>
          <w:color w:val="auto"/>
        </w:rPr>
        <w:t>对退化草原生态修复治理面积给予补助，实现草原生态保护与修复。</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eastAsia="仿宋_GB2312"/>
          <w:color w:val="auto"/>
          <w:lang w:eastAsia="zh-CN"/>
        </w:rPr>
      </w:pPr>
      <w:r>
        <w:rPr>
          <w:rFonts w:hint="eastAsia"/>
          <w:color w:val="auto"/>
        </w:rPr>
        <w:t>2、阶段性目标：2021年按照验收情况，申请兑现2585亩、兑现资金103.4万元</w:t>
      </w:r>
      <w:r>
        <w:rPr>
          <w:rFonts w:hint="eastAsia"/>
          <w:color w:val="auto"/>
          <w:lang w:eastAsia="zh-CN"/>
        </w:rPr>
        <w:t>；</w:t>
      </w:r>
      <w:r>
        <w:rPr>
          <w:rFonts w:hint="eastAsia"/>
          <w:color w:val="auto"/>
        </w:rPr>
        <w:t>2021年按照验收情况，申请兑现662.9亩、兑现资金5.9661万元</w:t>
      </w:r>
      <w:r>
        <w:rPr>
          <w:rFonts w:hint="eastAsia"/>
          <w:color w:val="auto"/>
          <w:lang w:eastAsia="zh-CN"/>
        </w:rPr>
        <w:t>；</w:t>
      </w:r>
      <w:r>
        <w:rPr>
          <w:rFonts w:hint="eastAsia"/>
          <w:color w:val="auto"/>
        </w:rPr>
        <w:t>草原生态修复治理补助项目已完成退化草原生态修复治理1.3万亩，草原有害生物防治面积28万亩</w:t>
      </w:r>
      <w:r>
        <w:rPr>
          <w:rFonts w:hint="eastAsia"/>
          <w:color w:val="auto"/>
          <w:lang w:eastAsia="zh-CN"/>
        </w:rPr>
        <w:t>。</w:t>
      </w:r>
    </w:p>
    <w:p>
      <w:pPr>
        <w:pStyle w:val="5"/>
        <w:spacing w:line="360" w:lineRule="auto"/>
        <w:rPr>
          <w:rFonts w:ascii="宋体" w:hAnsi="宋体" w:eastAsia="宋体"/>
          <w:color w:val="auto"/>
          <w:sz w:val="32"/>
          <w:szCs w:val="32"/>
        </w:rPr>
      </w:pPr>
      <w:bookmarkStart w:id="3" w:name="_Toc68703830"/>
      <w:r>
        <w:rPr>
          <w:rFonts w:hint="eastAsia" w:ascii="宋体" w:hAnsi="宋体" w:eastAsia="宋体"/>
          <w:color w:val="auto"/>
          <w:sz w:val="32"/>
          <w:szCs w:val="32"/>
        </w:rPr>
        <w:t>二、绩效评价工作开展情况</w:t>
      </w:r>
      <w:bookmarkEnd w:id="3"/>
    </w:p>
    <w:p>
      <w:pPr>
        <w:pStyle w:val="6"/>
        <w:spacing w:line="360" w:lineRule="auto"/>
        <w:rPr>
          <w:rFonts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rPr>
          <w:color w:val="auto"/>
        </w:rPr>
      </w:pPr>
      <w:r>
        <w:rPr>
          <w:rFonts w:hint="eastAsia"/>
          <w:color w:val="auto"/>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bCs/>
          <w:color w:val="auto"/>
          <w:sz w:val="32"/>
          <w:szCs w:val="32"/>
          <w:lang w:val="en-US" w:eastAsia="zh-CN"/>
        </w:rPr>
        <w:t>特克斯县 2021 年第一批中央财政林业草原生态保护恢复项目</w:t>
      </w:r>
      <w:r>
        <w:rPr>
          <w:rFonts w:hint="eastAsia" w:ascii="仿宋_GB2312"/>
          <w:bCs/>
          <w:color w:val="auto"/>
          <w:sz w:val="32"/>
          <w:szCs w:val="32"/>
        </w:rPr>
        <w:t>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color w:val="auto"/>
        </w:rPr>
      </w:pPr>
      <w:r>
        <w:rPr>
          <w:rFonts w:hint="eastAsia"/>
          <w:color w:val="auto"/>
        </w:rPr>
        <w:t>2、绩效评价对象：</w:t>
      </w:r>
    </w:p>
    <w:p>
      <w:pPr>
        <w:spacing w:line="360" w:lineRule="auto"/>
        <w:ind w:firstLine="600" w:firstLineChars="200"/>
        <w:rPr>
          <w:rFonts w:hint="eastAsia"/>
          <w:color w:val="auto"/>
          <w:lang w:eastAsia="zh-CN"/>
        </w:rPr>
      </w:pPr>
      <w:r>
        <w:rPr>
          <w:rFonts w:hint="eastAsia"/>
          <w:color w:val="auto"/>
          <w:lang w:val="en-US" w:eastAsia="zh-CN"/>
        </w:rPr>
        <w:t>特克斯县</w:t>
      </w:r>
      <w:r>
        <w:rPr>
          <w:rFonts w:hint="eastAsia"/>
          <w:color w:val="auto"/>
        </w:rPr>
        <w:t>2021年林业草原生态保护恢复</w:t>
      </w:r>
      <w:r>
        <w:rPr>
          <w:rFonts w:hint="eastAsia"/>
          <w:color w:val="auto"/>
          <w:lang w:eastAsia="zh-CN"/>
        </w:rPr>
        <w:t>项目</w:t>
      </w:r>
    </w:p>
    <w:p>
      <w:pPr>
        <w:spacing w:line="360" w:lineRule="auto"/>
        <w:ind w:firstLine="600" w:firstLineChars="200"/>
        <w:rPr>
          <w:color w:val="auto"/>
        </w:rPr>
      </w:pPr>
      <w:r>
        <w:rPr>
          <w:rFonts w:hint="eastAsia"/>
          <w:color w:val="auto"/>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val="en-US" w:eastAsia="zh-CN"/>
        </w:rPr>
        <w:t>特克斯县2021年第一批中央财政林业草原生态保护恢复项目</w:t>
      </w:r>
      <w:r>
        <w:rPr>
          <w:rFonts w:hint="eastAsia"/>
          <w:color w:val="auto"/>
        </w:rPr>
        <w:t>评价，评价核心为专项资金的支出完成情况和效果。</w:t>
      </w:r>
    </w:p>
    <w:p>
      <w:pPr>
        <w:pStyle w:val="6"/>
        <w:spacing w:line="360" w:lineRule="auto"/>
        <w:rPr>
          <w:rFonts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rPr>
          <w:color w:val="auto"/>
        </w:rPr>
      </w:pPr>
      <w:r>
        <w:rPr>
          <w:rFonts w:hint="eastAsia"/>
          <w:color w:val="auto"/>
        </w:rPr>
        <w:t>1、绩效评价原则</w:t>
      </w:r>
    </w:p>
    <w:p>
      <w:pPr>
        <w:spacing w:line="360" w:lineRule="auto"/>
        <w:ind w:firstLine="600" w:firstLineChars="200"/>
        <w:rPr>
          <w:rFonts w:hint="eastAsia"/>
          <w:color w:val="auto"/>
        </w:rPr>
      </w:pPr>
      <w:r>
        <w:rPr>
          <w:rFonts w:hint="eastAsia"/>
          <w:color w:val="auto"/>
        </w:rPr>
        <w:t>（一）科学公正。本次项目支出绩效评价运用科学合理的方法，按照规范的程序，对项目绩效进行客观、公正的反映。</w:t>
      </w:r>
    </w:p>
    <w:p>
      <w:pPr>
        <w:spacing w:line="360" w:lineRule="auto"/>
        <w:ind w:firstLine="600" w:firstLineChars="200"/>
        <w:rPr>
          <w:rFonts w:hint="eastAsia"/>
          <w:color w:val="auto"/>
        </w:rPr>
      </w:pPr>
      <w:r>
        <w:rPr>
          <w:rFonts w:hint="eastAsia"/>
          <w:color w:val="auto"/>
        </w:rPr>
        <w:t>（二）统筹兼顾。本次项目支出绩效评价由本单位自主实施，即“谁支出、谁自评”。</w:t>
      </w:r>
    </w:p>
    <w:p>
      <w:pPr>
        <w:spacing w:line="360" w:lineRule="auto"/>
        <w:ind w:firstLine="600" w:firstLineChars="200"/>
        <w:rPr>
          <w:rFonts w:hint="eastAsia"/>
          <w:color w:val="auto"/>
        </w:rPr>
      </w:pPr>
      <w:r>
        <w:rPr>
          <w:rFonts w:hint="eastAsia"/>
          <w:color w:val="auto"/>
        </w:rPr>
        <w:t>（三）激励约束。本次项目支出绩效评价结果与预算安排、政策调整、改进管理实质性挂钩，体现奖优罚劣和激励相容导向，有效要安排、低效要压减、无效要问责。</w:t>
      </w:r>
    </w:p>
    <w:p>
      <w:pPr>
        <w:spacing w:line="360" w:lineRule="auto"/>
        <w:ind w:firstLine="600" w:firstLineChars="200"/>
        <w:rPr>
          <w:rFonts w:hint="eastAsia"/>
          <w:color w:val="auto"/>
        </w:rPr>
      </w:pPr>
      <w:r>
        <w:rPr>
          <w:rFonts w:hint="eastAsia"/>
          <w:color w:val="auto"/>
        </w:rPr>
        <w:t>（四）公开透明。本次项目支出绩效评价结果已依法依规公开在</w:t>
      </w:r>
      <w:r>
        <w:rPr>
          <w:rFonts w:hint="eastAsia"/>
          <w:color w:val="auto"/>
          <w:lang w:val="en-US" w:eastAsia="zh-CN"/>
        </w:rPr>
        <w:t>特克斯县人民政府</w:t>
      </w:r>
      <w:r>
        <w:rPr>
          <w:rFonts w:hint="eastAsia"/>
          <w:color w:val="auto"/>
        </w:rPr>
        <w:t>网站上，并自觉接受社会监督。</w:t>
      </w:r>
    </w:p>
    <w:p>
      <w:pPr>
        <w:spacing w:line="360" w:lineRule="auto"/>
        <w:rPr>
          <w:color w:val="auto"/>
        </w:rPr>
      </w:pPr>
    </w:p>
    <w:p>
      <w:pPr>
        <w:spacing w:line="360" w:lineRule="auto"/>
        <w:rPr>
          <w:color w:val="auto"/>
        </w:rPr>
      </w:pPr>
      <w:r>
        <w:rPr>
          <w:rFonts w:hint="eastAsia"/>
          <w:color w:val="auto"/>
        </w:rPr>
        <w:t>2、评价指标体系（附表说明）</w:t>
      </w:r>
    </w:p>
    <w:p>
      <w:pPr>
        <w:pStyle w:val="6"/>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lang w:val="en-US" w:eastAsia="zh-CN"/>
        </w:rPr>
        <w:t>特克斯县</w:t>
      </w:r>
      <w:r>
        <w:rPr>
          <w:rFonts w:hint="eastAsia" w:ascii="Times New Roman" w:hAnsi="Times New Roman" w:eastAsia="仿宋_GB2312" w:cs="Times New Roman"/>
          <w:b w:val="0"/>
          <w:bCs w:val="0"/>
          <w:color w:val="auto"/>
          <w:sz w:val="30"/>
          <w:szCs w:val="24"/>
        </w:rPr>
        <w:t>2021年林业草原生态保护恢复</w:t>
      </w:r>
      <w:r>
        <w:rPr>
          <w:rFonts w:hint="eastAsia" w:ascii="Times New Roman" w:hAnsi="Times New Roman" w:eastAsia="仿宋_GB2312" w:cs="Times New Roman"/>
          <w:b w:val="0"/>
          <w:bCs w:val="0"/>
          <w:color w:val="auto"/>
          <w:sz w:val="30"/>
          <w:szCs w:val="24"/>
          <w:lang w:eastAsia="zh-CN"/>
        </w:rPr>
        <w:t>项目</w:t>
      </w:r>
      <w:r>
        <w:rPr>
          <w:rFonts w:hint="eastAsia" w:ascii="Times New Roman" w:hAnsi="Times New Roman" w:eastAsia="仿宋_GB2312" w:cs="Times New Roman"/>
          <w:b w:val="0"/>
          <w:bCs w:val="0"/>
          <w:color w:val="auto"/>
          <w:sz w:val="30"/>
          <w:szCs w:val="24"/>
        </w:rPr>
        <w:t>支出绩效评价指标体系</w:t>
      </w:r>
    </w:p>
    <w:tbl>
      <w:tblPr>
        <w:tblStyle w:val="9"/>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shd w:val="clear" w:color="auto"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shd w:val="clear" w:color="000000"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shd w:val="clear" w:color="auto"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5</w:t>
            </w:r>
          </w:p>
        </w:tc>
        <w:tc>
          <w:tcPr>
            <w:tcW w:w="874" w:type="dxa"/>
            <w:shd w:val="clear" w:color="000000"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s="Times New Roman"/>
                <w:color w:val="auto"/>
                <w:kern w:val="2"/>
                <w:sz w:val="30"/>
                <w:szCs w:val="24"/>
                <w:lang w:val="en-US" w:eastAsia="zh-CN" w:bidi="ar-SA"/>
              </w:rPr>
              <w:t>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000000" w:fill="FFFFFF"/>
            <w:vAlign w:val="top"/>
          </w:tcPr>
          <w:p>
            <w:pPr>
              <w:spacing w:line="600" w:lineRule="auto"/>
              <w:jc w:val="center"/>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000000" w:fill="FFFFFF"/>
            <w:vAlign w:val="top"/>
          </w:tcPr>
          <w:p>
            <w:pPr>
              <w:spacing w:line="600" w:lineRule="auto"/>
              <w:jc w:val="center"/>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color w:val="auto"/>
                <w:kern w:val="2"/>
                <w:sz w:val="30"/>
                <w:szCs w:val="24"/>
                <w:lang w:val="en-US" w:eastAsia="zh-CN" w:bidi="ar-SA"/>
              </w:rPr>
            </w:pPr>
            <w:r>
              <w:rPr>
                <w:rFonts w:hint="eastAsia" w:cs="Times New Roman"/>
                <w:color w:val="auto"/>
                <w:kern w:val="2"/>
                <w:sz w:val="30"/>
                <w:szCs w:val="24"/>
                <w:lang w:val="en-US" w:eastAsia="zh-CN" w:bidi="ar-SA"/>
              </w:rPr>
              <w:t>8.42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auto" w:fill="FFFFFF"/>
            <w:vAlign w:val="top"/>
          </w:tcPr>
          <w:p>
            <w:pPr>
              <w:spacing w:line="600" w:lineRule="auto"/>
              <w:jc w:val="center"/>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vAlign w:val="top"/>
          </w:tcPr>
          <w:p>
            <w:pPr>
              <w:spacing w:line="600" w:lineRule="auto"/>
              <w:jc w:val="center"/>
              <w:rPr>
                <w:rFonts w:hint="eastAsia" w:ascii="Times New Roman" w:hAnsi="Times New Roman" w:eastAsia="仿宋_GB2312" w:cs="Times New Roman"/>
                <w:color w:val="auto"/>
                <w:kern w:val="2"/>
                <w:sz w:val="30"/>
                <w:szCs w:val="24"/>
                <w:lang w:val="en-US" w:eastAsia="zh-CN" w:bidi="ar-SA"/>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96.75</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rPr>
          <w:color w:val="auto"/>
        </w:rPr>
      </w:pPr>
      <w:r>
        <w:rPr>
          <w:rFonts w:hint="eastAsia"/>
          <w:color w:val="auto"/>
        </w:rPr>
        <w:t>3、评价方法</w:t>
      </w:r>
    </w:p>
    <w:p>
      <w:pPr>
        <w:spacing w:line="360" w:lineRule="auto"/>
        <w:ind w:firstLine="600" w:firstLineChars="200"/>
        <w:rPr>
          <w:rFonts w:hint="eastAsia"/>
          <w:color w:val="auto"/>
        </w:rPr>
      </w:pPr>
      <w:r>
        <w:rPr>
          <w:rFonts w:hint="eastAsia"/>
          <w:color w:val="auto"/>
          <w:highlight w:val="none"/>
        </w:rPr>
        <w:t>本次项目支出绩效自评采用最低成本法，原因是：</w:t>
      </w:r>
      <w:r>
        <w:rPr>
          <w:rFonts w:hint="eastAsia"/>
          <w:color w:val="auto"/>
          <w:highlight w:val="none"/>
          <w:lang w:val="en-US" w:eastAsia="zh-CN"/>
        </w:rPr>
        <w:t>林业草原生态保护恢复项目采用最大成本法能最大程度的提高资金的使用效益，使得成本最小的基础上保护好草原生态环境，保证草原生态可持续发展。并且应政府采购要求。</w:t>
      </w:r>
    </w:p>
    <w:p>
      <w:pPr>
        <w:spacing w:line="360" w:lineRule="auto"/>
        <w:ind w:firstLine="600" w:firstLineChars="200"/>
        <w:rPr>
          <w:rFonts w:hint="eastAsia"/>
          <w:color w:val="auto"/>
        </w:rPr>
      </w:pPr>
      <w:r>
        <w:rPr>
          <w:rFonts w:hint="eastAsia"/>
          <w:color w:val="auto"/>
        </w:rPr>
        <w:t>4、评价标准</w:t>
      </w:r>
    </w:p>
    <w:p>
      <w:pPr>
        <w:spacing w:line="360" w:lineRule="auto"/>
        <w:ind w:firstLine="600" w:firstLineChars="200"/>
        <w:rPr>
          <w:rFonts w:hint="eastAsia"/>
          <w:color w:val="auto"/>
          <w:highlight w:val="none"/>
          <w:lang w:val="en-US" w:eastAsia="zh-CN"/>
        </w:rPr>
      </w:pPr>
      <w:r>
        <w:rPr>
          <w:rFonts w:hint="eastAsia"/>
          <w:color w:val="auto"/>
          <w:highlight w:val="none"/>
        </w:rPr>
        <w:t>本次项目支出绩效自评采用</w:t>
      </w:r>
      <w:r>
        <w:rPr>
          <w:rFonts w:hint="eastAsia"/>
          <w:color w:val="auto"/>
          <w:highlight w:val="none"/>
          <w:lang w:val="en-US" w:eastAsia="zh-CN"/>
        </w:rPr>
        <w:t>行业</w:t>
      </w:r>
      <w:r>
        <w:rPr>
          <w:rFonts w:hint="eastAsia"/>
          <w:color w:val="auto"/>
          <w:highlight w:val="none"/>
        </w:rPr>
        <w:t>标准，原因是：</w:t>
      </w:r>
      <w:r>
        <w:rPr>
          <w:rFonts w:hint="eastAsia"/>
          <w:color w:val="auto"/>
          <w:highlight w:val="none"/>
          <w:lang w:val="en-US" w:eastAsia="zh-CN"/>
        </w:rPr>
        <w:t>林业草原生态保护恢复项目采用行业标准，更具体的对草原退化现状持续恶化进行比较。</w:t>
      </w:r>
    </w:p>
    <w:p>
      <w:pPr>
        <w:spacing w:line="360" w:lineRule="auto"/>
        <w:ind w:firstLine="600" w:firstLineChars="200"/>
        <w:rPr>
          <w:rFonts w:hint="eastAsia"/>
          <w:color w:val="auto"/>
        </w:rPr>
      </w:pPr>
      <w:bookmarkStart w:id="6" w:name="_Toc68703833"/>
      <w:r>
        <w:rPr>
          <w:rFonts w:hint="eastAsia"/>
          <w:color w:val="auto"/>
        </w:rPr>
        <w:t>（三）绩效评价工作过程。</w:t>
      </w:r>
      <w:bookmarkEnd w:id="6"/>
    </w:p>
    <w:p>
      <w:pPr>
        <w:spacing w:line="360" w:lineRule="auto"/>
        <w:ind w:firstLine="600" w:firstLineChars="200"/>
        <w:rPr>
          <w:rFonts w:hint="eastAsia"/>
          <w:color w:val="auto"/>
        </w:rPr>
      </w:pPr>
      <w:r>
        <w:rPr>
          <w:rFonts w:hint="eastAsia"/>
          <w:color w:val="auto"/>
        </w:rPr>
        <w:t>1、前期准备：</w:t>
      </w:r>
    </w:p>
    <w:p>
      <w:pPr>
        <w:spacing w:line="360" w:lineRule="auto"/>
        <w:ind w:firstLine="600" w:firstLineChars="200"/>
        <w:rPr>
          <w:rFonts w:hint="eastAsia"/>
          <w:color w:val="auto"/>
        </w:rPr>
      </w:pPr>
      <w:r>
        <w:rPr>
          <w:rFonts w:hint="eastAsia"/>
          <w:color w:val="auto"/>
        </w:rPr>
        <w:t>2022年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color w:val="auto"/>
          <w:lang w:val="zh-CN"/>
        </w:rPr>
        <w:t>开始前期准备工作，评价组通过前期调研</w:t>
      </w:r>
      <w:r>
        <w:rPr>
          <w:rFonts w:hint="eastAsia"/>
          <w:color w:val="auto"/>
        </w:rPr>
        <w:t>确定绩效评价对象和范围，</w:t>
      </w:r>
      <w:r>
        <w:rPr>
          <w:rFonts w:hint="eastAsia"/>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rPr>
          <w:rFonts w:hint="eastAsia"/>
          <w:color w:val="auto"/>
        </w:rPr>
      </w:pPr>
      <w:r>
        <w:rPr>
          <w:rFonts w:hint="eastAsia"/>
          <w:color w:val="auto"/>
        </w:rPr>
        <w:t>2、组织实施：</w:t>
      </w:r>
    </w:p>
    <w:p>
      <w:pPr>
        <w:spacing w:line="360" w:lineRule="auto"/>
        <w:ind w:firstLine="600" w:firstLineChars="200"/>
        <w:rPr>
          <w:rFonts w:hint="eastAsia"/>
          <w:color w:val="auto"/>
        </w:rPr>
      </w:pPr>
      <w:r>
        <w:rPr>
          <w:rFonts w:hint="eastAsia"/>
          <w:color w:val="auto"/>
        </w:rPr>
        <w:t>2022年</w:t>
      </w:r>
      <w:r>
        <w:rPr>
          <w:rFonts w:hint="eastAsia"/>
          <w:color w:val="auto"/>
          <w:lang w:val="en-US" w:eastAsia="zh-CN"/>
        </w:rPr>
        <w:t>3</w:t>
      </w:r>
      <w:r>
        <w:rPr>
          <w:rFonts w:hint="eastAsia"/>
          <w:color w:val="auto"/>
        </w:rPr>
        <w:t>月</w:t>
      </w:r>
      <w:r>
        <w:rPr>
          <w:rFonts w:hint="eastAsia"/>
          <w:color w:val="auto"/>
          <w:lang w:val="en-US" w:eastAsia="zh-CN"/>
        </w:rPr>
        <w:t>12</w:t>
      </w:r>
      <w:r>
        <w:rPr>
          <w:rFonts w:hint="eastAsia"/>
          <w:color w:val="auto"/>
        </w:rPr>
        <w:t xml:space="preserve">日- </w:t>
      </w:r>
      <w:r>
        <w:rPr>
          <w:rFonts w:hint="eastAsia"/>
          <w:color w:val="auto"/>
          <w:lang w:val="en-US" w:eastAsia="zh-CN"/>
        </w:rPr>
        <w:t>3</w:t>
      </w:r>
      <w:r>
        <w:rPr>
          <w:rFonts w:hint="eastAsia"/>
          <w:color w:val="auto"/>
        </w:rPr>
        <w:t xml:space="preserve">月 </w:t>
      </w:r>
      <w:r>
        <w:rPr>
          <w:rFonts w:hint="eastAsia"/>
          <w:color w:val="auto"/>
          <w:lang w:val="en-US" w:eastAsia="zh-CN"/>
        </w:rPr>
        <w:t>21</w:t>
      </w:r>
      <w:r>
        <w:rPr>
          <w:rFonts w:hint="eastAsia"/>
          <w:color w:val="auto"/>
        </w:rPr>
        <w:t xml:space="preserve"> 日，评价工作进入实施阶段，评价组收集绩效评价相关数据资料，进行现场调研、座谈；并与项目实施负责人沟通，了解资金的内容、操作流程、管理机制、资金使用方向等情况，分析形成初步结论。 </w:t>
      </w:r>
    </w:p>
    <w:p>
      <w:pPr>
        <w:spacing w:line="360" w:lineRule="auto"/>
        <w:ind w:firstLine="600" w:firstLineChars="200"/>
        <w:rPr>
          <w:rFonts w:hint="eastAsia"/>
          <w:color w:val="auto"/>
        </w:rPr>
      </w:pPr>
      <w:r>
        <w:rPr>
          <w:rFonts w:hint="eastAsia"/>
          <w:color w:val="auto"/>
        </w:rPr>
        <w:t>3、分析评价：</w:t>
      </w:r>
    </w:p>
    <w:p>
      <w:pPr>
        <w:spacing w:line="360" w:lineRule="auto"/>
        <w:ind w:firstLine="600" w:firstLineChars="200"/>
        <w:rPr>
          <w:rFonts w:hint="eastAsia"/>
          <w:color w:val="auto"/>
        </w:rPr>
      </w:pPr>
      <w:r>
        <w:rPr>
          <w:rFonts w:hint="eastAsia"/>
          <w:color w:val="auto"/>
        </w:rPr>
        <w:t>2022年</w:t>
      </w:r>
      <w:r>
        <w:rPr>
          <w:rFonts w:hint="eastAsia"/>
          <w:color w:val="auto"/>
          <w:lang w:val="en-US" w:eastAsia="zh-CN"/>
        </w:rPr>
        <w:t>3</w:t>
      </w:r>
      <w:r>
        <w:rPr>
          <w:rFonts w:hint="eastAsia"/>
          <w:color w:val="auto"/>
        </w:rPr>
        <w:t>月</w:t>
      </w:r>
      <w:r>
        <w:rPr>
          <w:rFonts w:hint="eastAsia"/>
          <w:color w:val="auto"/>
          <w:lang w:val="en-US" w:eastAsia="zh-CN"/>
        </w:rPr>
        <w:t>22</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6"/>
        <w:spacing w:line="360" w:lineRule="auto"/>
        <w:rPr>
          <w:rFonts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rPr>
          <w:rFonts w:hint="eastAsia"/>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val="en-US" w:eastAsia="zh-CN"/>
        </w:rPr>
        <w:t>最低成本法</w:t>
      </w:r>
      <w:r>
        <w:rPr>
          <w:rFonts w:hint="eastAsia"/>
          <w:color w:val="auto"/>
        </w:rPr>
        <w:t>，坚持</w:t>
      </w:r>
      <w:r>
        <w:rPr>
          <w:rFonts w:hint="eastAsia"/>
          <w:color w:val="auto"/>
          <w:lang w:val="en-US" w:eastAsia="zh-CN"/>
        </w:rPr>
        <w:t>行业标准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00" w:firstLineChars="200"/>
        <w:rPr>
          <w:rFonts w:hint="eastAsia"/>
          <w:color w:val="auto"/>
        </w:rPr>
      </w:pPr>
      <w:r>
        <w:rPr>
          <w:rFonts w:hint="eastAsia"/>
          <w:color w:val="auto"/>
          <w:lang w:val="en-US" w:eastAsia="zh-CN"/>
        </w:rPr>
        <w:t>特克斯县</w:t>
      </w:r>
      <w:r>
        <w:rPr>
          <w:rFonts w:hint="eastAsia"/>
          <w:color w:val="auto"/>
        </w:rPr>
        <w:t>2021年林业草原生态保护恢复</w:t>
      </w:r>
      <w:r>
        <w:rPr>
          <w:rFonts w:hint="eastAsia"/>
          <w:color w:val="auto"/>
          <w:lang w:eastAsia="zh-CN"/>
        </w:rPr>
        <w:t>项目</w:t>
      </w:r>
      <w:r>
        <w:rPr>
          <w:rFonts w:hint="eastAsia"/>
          <w:color w:val="auto"/>
        </w:rPr>
        <w:t>评价得分情况</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2"/>
                <w:szCs w:val="24"/>
                <w:lang w:val="en-US" w:eastAsia="zh-CN" w:bidi="ar-SA"/>
              </w:rPr>
            </w:pPr>
            <w:r>
              <w:rPr>
                <w:rFonts w:hint="eastAsia"/>
                <w:color w:val="auto"/>
                <w:sz w:val="22"/>
                <w:lang w:val="en-US" w:eastAsia="zh-CN"/>
              </w:rPr>
              <w:t>21.75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2"/>
                <w:szCs w:val="24"/>
                <w:lang w:val="en-US" w:eastAsia="zh-CN" w:bidi="ar-SA"/>
              </w:rPr>
            </w:pPr>
            <w:r>
              <w:rPr>
                <w:rFonts w:hint="eastAsia" w:cs="Times New Roman"/>
                <w:color w:val="auto"/>
                <w:kern w:val="2"/>
                <w:sz w:val="22"/>
                <w:szCs w:val="24"/>
                <w:lang w:val="en-US" w:eastAsia="zh-CN" w:bidi="ar-SA"/>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kern w:val="2"/>
                <w:sz w:val="22"/>
                <w:szCs w:val="24"/>
                <w:lang w:val="en-US" w:eastAsia="zh-CN" w:bidi="ar-SA"/>
              </w:rPr>
            </w:pPr>
            <w:r>
              <w:rPr>
                <w:rFonts w:hint="eastAsia" w:cs="Times New Roman"/>
                <w:b/>
                <w:bCs/>
                <w:color w:val="auto"/>
                <w:kern w:val="2"/>
                <w:sz w:val="22"/>
                <w:szCs w:val="24"/>
                <w:lang w:val="en-US" w:eastAsia="zh-CN" w:bidi="ar-SA"/>
              </w:rPr>
              <w:t>96.75</w:t>
            </w:r>
          </w:p>
        </w:tc>
      </w:tr>
    </w:tbl>
    <w:p>
      <w:pPr>
        <w:pStyle w:val="6"/>
        <w:numPr>
          <w:ilvl w:val="0"/>
          <w:numId w:val="1"/>
        </w:numPr>
        <w:spacing w:line="360" w:lineRule="auto"/>
        <w:rPr>
          <w:rFonts w:hint="eastAsia" w:ascii="仿宋_GB2312" w:eastAsia="仿宋_GB2312"/>
          <w:b w:val="0"/>
          <w:bCs w:val="0"/>
          <w:color w:val="auto"/>
        </w:rPr>
      </w:pPr>
      <w:bookmarkStart w:id="9" w:name="_Toc68703836"/>
      <w:r>
        <w:rPr>
          <w:rFonts w:hint="eastAsia" w:ascii="仿宋_GB2312" w:eastAsia="仿宋_GB2312"/>
          <w:b w:val="0"/>
          <w:bCs w:val="0"/>
          <w:color w:val="auto"/>
        </w:rPr>
        <w:t>评价结论</w:t>
      </w:r>
      <w:bookmarkEnd w:id="9"/>
      <w:bookmarkStart w:id="10" w:name="_Toc68703837"/>
    </w:p>
    <w:p>
      <w:pPr>
        <w:spacing w:line="360" w:lineRule="auto"/>
        <w:ind w:firstLine="600" w:firstLineChars="200"/>
        <w:rPr>
          <w:rFonts w:hint="eastAsia"/>
          <w:color w:val="auto"/>
          <w:highlight w:val="none"/>
        </w:rPr>
      </w:pPr>
      <w:r>
        <w:rPr>
          <w:rFonts w:hint="eastAsia"/>
          <w:color w:val="auto"/>
          <w:highlight w:val="none"/>
        </w:rPr>
        <w:t>本项目的项目决策、项目过程、项目产出、项目效益大部分达到了预期要求，得分为</w:t>
      </w:r>
      <w:r>
        <w:rPr>
          <w:rFonts w:hint="eastAsia"/>
          <w:color w:val="auto"/>
          <w:highlight w:val="none"/>
          <w:lang w:val="en-US" w:eastAsia="zh-CN"/>
        </w:rPr>
        <w:t>96.75</w:t>
      </w:r>
      <w:r>
        <w:rPr>
          <w:rFonts w:hint="eastAsia"/>
          <w:color w:val="auto"/>
          <w:highlight w:val="none"/>
        </w:rPr>
        <w:t>分，项目大部分达成年度指标，指标未达成年度指标的原因是</w:t>
      </w:r>
      <w:r>
        <w:rPr>
          <w:rFonts w:hint="eastAsia"/>
          <w:color w:val="auto"/>
          <w:highlight w:val="none"/>
          <w:lang w:val="en-US" w:eastAsia="zh-CN"/>
        </w:rPr>
        <w:t>补充灌溉尚未使用</w:t>
      </w:r>
      <w:r>
        <w:rPr>
          <w:rFonts w:hint="eastAsia"/>
          <w:color w:val="auto"/>
          <w:highlight w:val="none"/>
        </w:rPr>
        <w:t>。</w:t>
      </w:r>
    </w:p>
    <w:p>
      <w:pPr>
        <w:pStyle w:val="5"/>
        <w:spacing w:line="360" w:lineRule="auto"/>
        <w:rPr>
          <w:rFonts w:ascii="宋体" w:hAnsi="宋体" w:eastAsia="宋体"/>
          <w:color w:val="auto"/>
          <w:sz w:val="32"/>
          <w:szCs w:val="32"/>
        </w:rPr>
      </w:pPr>
      <w:r>
        <w:rPr>
          <w:rFonts w:hint="eastAsia" w:ascii="宋体" w:hAnsi="宋体" w:eastAsia="宋体"/>
          <w:color w:val="auto"/>
          <w:sz w:val="32"/>
          <w:szCs w:val="32"/>
        </w:rPr>
        <w:t>四、绩效评价指标分析</w:t>
      </w:r>
      <w:bookmarkEnd w:id="10"/>
    </w:p>
    <w:p>
      <w:pPr>
        <w:pStyle w:val="6"/>
        <w:spacing w:line="360" w:lineRule="auto"/>
        <w:rPr>
          <w:rFonts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rPr>
          <w:rFonts w:hint="eastAsia"/>
          <w:color w:val="auto"/>
        </w:rPr>
      </w:pPr>
      <w:r>
        <w:rPr>
          <w:rFonts w:hint="eastAsia"/>
          <w:color w:val="auto"/>
        </w:rPr>
        <w:t>1、立项依据充分性</w:t>
      </w:r>
    </w:p>
    <w:p>
      <w:pPr>
        <w:spacing w:line="360" w:lineRule="auto"/>
        <w:ind w:firstLine="600" w:firstLineChars="200"/>
        <w:rPr>
          <w:color w:val="auto"/>
        </w:rPr>
      </w:pPr>
      <w:r>
        <w:rPr>
          <w:rFonts w:hint="eastAsia"/>
          <w:color w:val="auto"/>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不与</w:t>
      </w:r>
      <w:r>
        <w:rPr>
          <w:rFonts w:hint="eastAsia"/>
          <w:color w:val="auto"/>
        </w:rPr>
        <w:t>相关部门同类项目或部门内部相关项目重复。</w:t>
      </w:r>
    </w:p>
    <w:p>
      <w:pPr>
        <w:spacing w:line="360" w:lineRule="auto"/>
        <w:rPr>
          <w:color w:val="auto"/>
        </w:rPr>
      </w:pPr>
      <w:r>
        <w:rPr>
          <w:rFonts w:hint="eastAsia"/>
          <w:color w:val="auto"/>
        </w:rPr>
        <w:t>2、立项程序规范性</w:t>
      </w:r>
    </w:p>
    <w:p>
      <w:pPr>
        <w:spacing w:line="360" w:lineRule="auto"/>
        <w:ind w:firstLine="600" w:firstLineChars="200"/>
        <w:rPr>
          <w:color w:val="auto"/>
        </w:rPr>
      </w:pPr>
      <w:r>
        <w:rPr>
          <w:rFonts w:hint="eastAsia"/>
          <w:color w:val="auto"/>
        </w:rPr>
        <w:t>项目按照规定的程序申请设立；审批文件、材料符合相关要求；</w:t>
      </w:r>
    </w:p>
    <w:p>
      <w:pPr>
        <w:spacing w:line="360" w:lineRule="auto"/>
        <w:rPr>
          <w:color w:val="auto"/>
        </w:rPr>
      </w:pPr>
      <w:r>
        <w:rPr>
          <w:rFonts w:hint="eastAsia"/>
          <w:color w:val="auto"/>
        </w:rPr>
        <w:t>事前已经过必要的可行性研究、专家论证、风险评估、绩效评估、集体决策。</w:t>
      </w:r>
    </w:p>
    <w:p>
      <w:pPr>
        <w:spacing w:line="360" w:lineRule="auto"/>
        <w:rPr>
          <w:color w:val="auto"/>
        </w:rPr>
      </w:pPr>
      <w:r>
        <w:rPr>
          <w:rFonts w:hint="eastAsia"/>
          <w:color w:val="auto"/>
        </w:rPr>
        <w:t>3、绩效目标合理性</w:t>
      </w:r>
    </w:p>
    <w:p>
      <w:pPr>
        <w:spacing w:line="360" w:lineRule="auto"/>
        <w:ind w:firstLine="600" w:firstLineChars="200"/>
        <w:rPr>
          <w:color w:val="auto"/>
        </w:rPr>
      </w:pPr>
      <w:r>
        <w:rPr>
          <w:rFonts w:hint="eastAsia"/>
          <w:color w:val="auto"/>
          <w:lang w:val="en-US" w:eastAsia="zh-CN"/>
        </w:rPr>
        <w:t>特克斯县</w:t>
      </w:r>
      <w:r>
        <w:rPr>
          <w:rFonts w:hint="eastAsia"/>
          <w:color w:val="auto"/>
        </w:rPr>
        <w:t>2021年林业草原生态保护恢复</w:t>
      </w:r>
      <w:r>
        <w:rPr>
          <w:rFonts w:hint="eastAsia"/>
          <w:color w:val="auto"/>
          <w:lang w:eastAsia="zh-CN"/>
        </w:rPr>
        <w:t>项目</w:t>
      </w:r>
      <w:r>
        <w:rPr>
          <w:rFonts w:hint="eastAsia"/>
          <w:color w:val="auto"/>
        </w:rPr>
        <w:t>项目设立了项目绩效目标，项目的预期产出效益和效果也均能符合正常的业绩水平，并且与预算确定的项目投资额或资金量相匹配。</w:t>
      </w:r>
    </w:p>
    <w:p>
      <w:pPr>
        <w:spacing w:line="360" w:lineRule="auto"/>
        <w:rPr>
          <w:color w:val="auto"/>
        </w:rPr>
      </w:pPr>
      <w:r>
        <w:rPr>
          <w:rFonts w:hint="eastAsia"/>
          <w:color w:val="auto"/>
        </w:rPr>
        <w:t>4、绩效指标明确性</w:t>
      </w:r>
    </w:p>
    <w:p>
      <w:pPr>
        <w:spacing w:line="360" w:lineRule="auto"/>
        <w:ind w:firstLine="600" w:firstLineChars="200"/>
        <w:rPr>
          <w:color w:val="auto"/>
        </w:rPr>
      </w:pPr>
      <w:bookmarkStart w:id="12" w:name="_Hlk68699917"/>
      <w:r>
        <w:rPr>
          <w:rFonts w:hint="eastAsia"/>
          <w:color w:val="auto"/>
          <w:lang w:val="en-US" w:eastAsia="zh-CN"/>
        </w:rPr>
        <w:t>特克斯县</w:t>
      </w:r>
      <w:r>
        <w:rPr>
          <w:rFonts w:hint="eastAsia"/>
          <w:color w:val="auto"/>
        </w:rPr>
        <w:t>2021年林业草原生态保护恢复项目将项目绩效目标细化分解为具体的绩效指标，一级指标共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7</w:t>
      </w:r>
      <w:r>
        <w:rPr>
          <w:rFonts w:hint="eastAsia"/>
          <w:color w:val="auto"/>
        </w:rPr>
        <w:t>条，三级指标共</w:t>
      </w:r>
      <w:r>
        <w:rPr>
          <w:rFonts w:hint="eastAsia"/>
          <w:color w:val="auto"/>
          <w:lang w:val="en-US" w:eastAsia="zh-CN"/>
        </w:rPr>
        <w:t>12</w:t>
      </w:r>
      <w:r>
        <w:rPr>
          <w:rFonts w:hint="eastAsia"/>
          <w:color w:val="auto"/>
        </w:rPr>
        <w:t>条，其中量化指标条数共</w:t>
      </w:r>
      <w:r>
        <w:rPr>
          <w:rFonts w:hint="eastAsia"/>
          <w:color w:val="auto"/>
          <w:lang w:val="en-US" w:eastAsia="zh-CN"/>
        </w:rPr>
        <w:t>10</w:t>
      </w:r>
      <w:r>
        <w:rPr>
          <w:rFonts w:hint="eastAsia"/>
          <w:color w:val="auto"/>
        </w:rPr>
        <w:t>条，所有绩效指标均通过清晰、可衡量的指标值予以体现，并且做到了与项目目标任务数或计划数相对应。</w:t>
      </w:r>
      <w:bookmarkEnd w:id="12"/>
    </w:p>
    <w:p>
      <w:pPr>
        <w:spacing w:line="360" w:lineRule="auto"/>
        <w:rPr>
          <w:color w:val="auto"/>
        </w:rPr>
      </w:pPr>
      <w:r>
        <w:rPr>
          <w:rFonts w:hint="eastAsia"/>
          <w:color w:val="auto"/>
        </w:rPr>
        <w:t>5、预算编制科学性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预算编制经过科学论证；预算内容与项目内容匹配；预算额度测算依据充分，按照标准编制；预算确定的项目投资额或资金量是与工作任务相匹配。</w:t>
      </w:r>
    </w:p>
    <w:p>
      <w:pPr>
        <w:spacing w:line="360" w:lineRule="auto"/>
        <w:rPr>
          <w:color w:val="auto"/>
        </w:rPr>
      </w:pPr>
      <w:r>
        <w:rPr>
          <w:rFonts w:hint="eastAsia"/>
          <w:color w:val="auto"/>
        </w:rPr>
        <w:t>6、资金分配合理性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6"/>
        <w:spacing w:line="360" w:lineRule="auto"/>
        <w:rPr>
          <w:rFonts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rPr>
          <w:color w:val="auto"/>
        </w:rPr>
      </w:pPr>
      <w:r>
        <w:rPr>
          <w:rFonts w:hint="eastAsia"/>
          <w:color w:val="auto"/>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1045.81</w:t>
      </w:r>
      <w:r>
        <w:rPr>
          <w:rFonts w:hint="eastAsia"/>
          <w:color w:val="auto"/>
        </w:rPr>
        <w:t>万元，实际到位资金</w:t>
      </w:r>
      <w:r>
        <w:rPr>
          <w:rFonts w:hint="eastAsia"/>
          <w:color w:val="auto"/>
          <w:lang w:val="en-US" w:eastAsia="zh-CN"/>
        </w:rPr>
        <w:t>1045.81</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1045.81</w:t>
      </w:r>
      <w:r>
        <w:rPr>
          <w:rFonts w:hint="eastAsia"/>
          <w:color w:val="auto"/>
        </w:rPr>
        <w:t>万元，全年预算数</w:t>
      </w:r>
      <w:r>
        <w:rPr>
          <w:rFonts w:hint="eastAsia"/>
          <w:color w:val="auto"/>
          <w:lang w:val="en-US" w:eastAsia="zh-CN"/>
        </w:rPr>
        <w:t>1045.81</w:t>
      </w:r>
      <w:r>
        <w:rPr>
          <w:rFonts w:hint="eastAsia"/>
          <w:color w:val="auto"/>
        </w:rPr>
        <w:t>万元，全年执行数</w:t>
      </w:r>
      <w:r>
        <w:rPr>
          <w:rFonts w:hint="eastAsia"/>
          <w:color w:val="auto"/>
          <w:lang w:val="en-US" w:eastAsia="zh-CN"/>
        </w:rPr>
        <w:t>735.75</w:t>
      </w:r>
      <w:r>
        <w:rPr>
          <w:rFonts w:hint="eastAsia"/>
          <w:color w:val="auto"/>
        </w:rPr>
        <w:t>万元，预算执行率为</w:t>
      </w:r>
      <w:r>
        <w:rPr>
          <w:rFonts w:hint="eastAsia"/>
          <w:color w:val="auto"/>
          <w:lang w:val="en-US" w:eastAsia="zh-CN"/>
        </w:rPr>
        <w:t>70</w:t>
      </w:r>
      <w:r>
        <w:rPr>
          <w:rFonts w:hint="eastAsia"/>
          <w:color w:val="auto"/>
        </w:rPr>
        <w:t>%</w:t>
      </w:r>
      <w:r>
        <w:rPr>
          <w:rFonts w:hint="eastAsia"/>
          <w:color w:val="auto"/>
          <w:lang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rPr>
        <w:t>已制定或具有相应的财务和业务管理制度；财务和业务管理制度合法、合规、完整。</w:t>
      </w:r>
    </w:p>
    <w:p>
      <w:pPr>
        <w:spacing w:line="360" w:lineRule="auto"/>
        <w:rPr>
          <w:color w:val="auto"/>
        </w:rPr>
      </w:pPr>
      <w:r>
        <w:rPr>
          <w:rFonts w:hint="eastAsia"/>
          <w:color w:val="auto"/>
        </w:rPr>
        <w:t>5、制度执行有效性</w:t>
      </w:r>
    </w:p>
    <w:p>
      <w:pPr>
        <w:spacing w:line="360" w:lineRule="auto"/>
        <w:ind w:firstLine="600" w:firstLineChars="200"/>
        <w:rPr>
          <w:color w:val="auto"/>
        </w:rPr>
      </w:pP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6"/>
        <w:spacing w:line="360" w:lineRule="auto"/>
        <w:rPr>
          <w:rFonts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spacing w:line="360" w:lineRule="auto"/>
        <w:ind w:firstLine="600" w:firstLineChars="200"/>
        <w:rPr>
          <w:rFonts w:hint="eastAsia"/>
          <w:color w:val="auto"/>
          <w:lang w:val="en-US" w:eastAsia="zh-CN"/>
        </w:rPr>
      </w:pPr>
      <w:r>
        <w:rPr>
          <w:rFonts w:hint="eastAsia"/>
          <w:color w:val="auto"/>
        </w:rPr>
        <w:t xml:space="preserve">1、数量指标：指标1：完善退耕还林政策补助面积（万亩） </w:t>
      </w:r>
      <w:r>
        <w:rPr>
          <w:color w:val="auto"/>
        </w:rPr>
        <w:t xml:space="preserve">   </w:t>
      </w:r>
      <w:r>
        <w:rPr>
          <w:rFonts w:hint="eastAsia"/>
          <w:color w:val="auto"/>
        </w:rPr>
        <w:t>，指标值：</w:t>
      </w:r>
      <w:r>
        <w:rPr>
          <w:rFonts w:hint="eastAsia"/>
          <w:color w:val="auto"/>
          <w:lang w:val="en-US" w:eastAsia="zh-CN"/>
        </w:rPr>
        <w:t>0.0979万亩</w:t>
      </w:r>
      <w:r>
        <w:rPr>
          <w:rFonts w:hint="eastAsia"/>
          <w:color w:val="auto"/>
        </w:rPr>
        <w:t xml:space="preserve">，实际完成值0.06629 </w:t>
      </w:r>
      <w:r>
        <w:rPr>
          <w:rFonts w:hint="eastAsia"/>
          <w:color w:val="auto"/>
          <w:lang w:val="en-US" w:eastAsia="zh-CN"/>
        </w:rPr>
        <w:t>万亩</w:t>
      </w:r>
      <w:r>
        <w:rPr>
          <w:rFonts w:hint="eastAsia"/>
          <w:color w:val="auto"/>
        </w:rPr>
        <w:t>，指标完成率</w:t>
      </w:r>
      <w:r>
        <w:rPr>
          <w:rFonts w:hint="eastAsia"/>
          <w:color w:val="auto"/>
          <w:lang w:val="en-US" w:eastAsia="zh-CN"/>
        </w:rPr>
        <w:t>67.71</w:t>
      </w:r>
      <w:r>
        <w:rPr>
          <w:color w:val="auto"/>
        </w:rPr>
        <w:t xml:space="preserve"> </w:t>
      </w:r>
      <w:r>
        <w:rPr>
          <w:rFonts w:hint="eastAsia"/>
          <w:color w:val="auto"/>
        </w:rPr>
        <w:t>%偏差原因：</w:t>
      </w:r>
      <w:r>
        <w:rPr>
          <w:rFonts w:hint="eastAsia"/>
          <w:color w:val="auto"/>
          <w:lang w:val="en-US" w:eastAsia="zh-CN"/>
        </w:rPr>
        <w:t>验收合格面积为0.06629万亩，验收未合格0.03161万亩。</w:t>
      </w:r>
      <w:r>
        <w:rPr>
          <w:rFonts w:hint="eastAsia"/>
          <w:color w:val="auto"/>
        </w:rPr>
        <w:t xml:space="preserve"> </w:t>
      </w:r>
      <w:r>
        <w:rPr>
          <w:color w:val="auto"/>
        </w:rPr>
        <w:t xml:space="preserve">   </w:t>
      </w:r>
      <w:r>
        <w:rPr>
          <w:rFonts w:hint="eastAsia"/>
          <w:color w:val="auto"/>
        </w:rPr>
        <w:t>指标2：新一轮退耕还林第三次补助面积（万亩），指标值：</w:t>
      </w:r>
      <w:r>
        <w:rPr>
          <w:rFonts w:hint="eastAsia"/>
          <w:color w:val="auto"/>
          <w:lang w:val="en-US" w:eastAsia="zh-CN"/>
        </w:rPr>
        <w:t>0.3万亩</w:t>
      </w:r>
      <w:r>
        <w:rPr>
          <w:rFonts w:hint="eastAsia"/>
          <w:color w:val="auto"/>
        </w:rPr>
        <w:t>，实际完成值0.2585</w:t>
      </w:r>
      <w:r>
        <w:rPr>
          <w:rFonts w:hint="eastAsia"/>
          <w:color w:val="auto"/>
          <w:lang w:val="en-US" w:eastAsia="zh-CN"/>
        </w:rPr>
        <w:t>万亩</w:t>
      </w:r>
      <w:r>
        <w:rPr>
          <w:rFonts w:hint="eastAsia"/>
          <w:color w:val="auto"/>
        </w:rPr>
        <w:t>，指标完成率</w:t>
      </w:r>
      <w:r>
        <w:rPr>
          <w:rFonts w:hint="eastAsia"/>
          <w:color w:val="auto"/>
          <w:lang w:val="en-US" w:eastAsia="zh-CN"/>
        </w:rPr>
        <w:t>86.16</w:t>
      </w:r>
      <w:r>
        <w:rPr>
          <w:rFonts w:hint="eastAsia"/>
          <w:color w:val="auto"/>
        </w:rPr>
        <w:t>%，偏差原因：</w:t>
      </w:r>
      <w:r>
        <w:rPr>
          <w:rFonts w:hint="eastAsia"/>
          <w:color w:val="auto"/>
          <w:lang w:val="en-US" w:eastAsia="zh-CN"/>
        </w:rPr>
        <w:t>验收合格面积为0.2585万亩，验收未合格面积0.0415万亩，指标3：围栏建设（公里）</w:t>
      </w:r>
      <w:r>
        <w:rPr>
          <w:rFonts w:hint="eastAsia"/>
          <w:color w:val="auto"/>
        </w:rPr>
        <w:t>指标值：</w:t>
      </w:r>
      <w:r>
        <w:rPr>
          <w:rFonts w:hint="eastAsia"/>
          <w:color w:val="auto"/>
          <w:lang w:val="en-US" w:eastAsia="zh-CN"/>
        </w:rPr>
        <w:t>=60</w:t>
      </w:r>
      <w:r>
        <w:rPr>
          <w:rFonts w:hint="eastAsia"/>
          <w:color w:val="auto"/>
        </w:rPr>
        <w:t>，实际完成值</w:t>
      </w:r>
      <w:r>
        <w:rPr>
          <w:rFonts w:hint="eastAsia"/>
          <w:color w:val="auto"/>
          <w:lang w:val="en-US" w:eastAsia="zh-CN"/>
        </w:rPr>
        <w:t>60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color w:val="auto"/>
        </w:rPr>
        <w:t xml:space="preserve"> </w:t>
      </w:r>
      <w:r>
        <w:rPr>
          <w:rFonts w:hint="eastAsia"/>
          <w:color w:val="auto"/>
        </w:rPr>
        <w:t>指标4：退化草原生态修复治理（万亩）</w:t>
      </w:r>
      <w:r>
        <w:rPr>
          <w:color w:val="auto"/>
        </w:rPr>
        <w:t xml:space="preserve"> </w:t>
      </w:r>
      <w:r>
        <w:rPr>
          <w:rFonts w:hint="eastAsia"/>
          <w:color w:val="auto"/>
        </w:rPr>
        <w:t>指标值：</w:t>
      </w:r>
      <w:r>
        <w:rPr>
          <w:rFonts w:hint="eastAsia"/>
          <w:color w:val="auto"/>
          <w:lang w:val="en-US" w:eastAsia="zh-CN"/>
        </w:rPr>
        <w:t>=1</w:t>
      </w:r>
      <w:r>
        <w:rPr>
          <w:rFonts w:hint="eastAsia"/>
          <w:color w:val="auto"/>
        </w:rPr>
        <w:t>，实际完成值</w:t>
      </w:r>
      <w:r>
        <w:rPr>
          <w:rFonts w:hint="eastAsia"/>
          <w:color w:val="auto"/>
          <w:lang w:val="en-US" w:eastAsia="zh-CN"/>
        </w:rPr>
        <w:t>1</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，指标5：</w:t>
      </w:r>
      <w:r>
        <w:rPr>
          <w:rFonts w:hint="eastAsia"/>
          <w:color w:val="auto"/>
          <w:lang w:val="en-US" w:eastAsia="zh-CN"/>
        </w:rPr>
        <w:t>草原有害生物防治面积（万亩）指标值：=28，实际完成值28，指标完成率100%。</w:t>
      </w:r>
    </w:p>
    <w:p>
      <w:pPr>
        <w:spacing w:line="360" w:lineRule="auto"/>
        <w:ind w:firstLine="600" w:firstLineChars="200"/>
        <w:rPr>
          <w:rFonts w:hint="default"/>
          <w:color w:val="auto"/>
          <w:lang w:val="en-US" w:eastAsia="zh-CN"/>
        </w:rPr>
      </w:pPr>
      <w:r>
        <w:rPr>
          <w:rFonts w:hint="eastAsia"/>
          <w:color w:val="auto"/>
          <w:lang w:val="en-US" w:eastAsia="zh-CN"/>
        </w:rPr>
        <w:t>2、质量指标：指标1：项目合格率（%）指标值：≥85%，实际完成值：85%，指标完成率：100%。</w:t>
      </w:r>
    </w:p>
    <w:p>
      <w:pPr>
        <w:spacing w:line="360" w:lineRule="auto"/>
        <w:ind w:firstLine="600" w:firstLineChars="200"/>
        <w:rPr>
          <w:rFonts w:hint="eastAsia"/>
          <w:color w:val="auto"/>
          <w:lang w:val="en-US" w:eastAsia="zh-CN"/>
        </w:rPr>
      </w:pPr>
      <w:r>
        <w:rPr>
          <w:rFonts w:hint="eastAsia"/>
          <w:color w:val="auto"/>
          <w:lang w:val="en-US" w:eastAsia="zh-CN"/>
        </w:rPr>
        <w:t>3、时效指标：</w:t>
      </w:r>
    </w:p>
    <w:p>
      <w:pPr>
        <w:spacing w:line="360" w:lineRule="auto"/>
        <w:ind w:firstLine="600" w:firstLineChars="200"/>
        <w:rPr>
          <w:rFonts w:hint="default"/>
          <w:color w:val="auto"/>
          <w:lang w:val="en-US" w:eastAsia="zh-CN"/>
        </w:rPr>
      </w:pPr>
      <w:r>
        <w:rPr>
          <w:rFonts w:hint="eastAsia"/>
          <w:color w:val="auto"/>
          <w:lang w:val="en-US" w:eastAsia="zh-CN"/>
        </w:rPr>
        <w:t>指标1：完善退耕还林政策补助及时率指标值：≥90%，实际完成值：90%，指标完成率：100%。</w:t>
      </w:r>
    </w:p>
    <w:p>
      <w:pPr>
        <w:spacing w:line="360" w:lineRule="auto"/>
        <w:ind w:firstLine="600" w:firstLineChars="200"/>
        <w:rPr>
          <w:rFonts w:hint="eastAsia"/>
          <w:color w:val="auto"/>
          <w:lang w:val="en-US" w:eastAsia="zh-CN"/>
        </w:rPr>
      </w:pPr>
      <w:r>
        <w:rPr>
          <w:rFonts w:hint="eastAsia"/>
          <w:color w:val="auto"/>
          <w:lang w:val="en-US" w:eastAsia="zh-CN"/>
        </w:rPr>
        <w:t>4、成本指标</w:t>
      </w:r>
    </w:p>
    <w:p>
      <w:pPr>
        <w:spacing w:line="360" w:lineRule="auto"/>
        <w:ind w:firstLine="600" w:firstLineChars="200"/>
        <w:rPr>
          <w:rFonts w:hint="eastAsia"/>
          <w:color w:val="auto"/>
          <w:lang w:val="en-US" w:eastAsia="zh-CN"/>
        </w:rPr>
      </w:pPr>
      <w:r>
        <w:rPr>
          <w:rFonts w:hint="eastAsia"/>
          <w:color w:val="auto"/>
          <w:lang w:val="en-US" w:eastAsia="zh-CN"/>
        </w:rPr>
        <w:t xml:space="preserve">指标1：草原生态修复成本（万元）指标值：≦917万元，实际完成值626.38万元，指标完成率68.3 %，偏差原因：：0.3万亩补充灌溉未实施完成，6万亩围栏未定案审核，1万亩退化草原补播未验收。 </w:t>
      </w:r>
    </w:p>
    <w:p>
      <w:pPr>
        <w:spacing w:line="360" w:lineRule="auto"/>
        <w:ind w:firstLine="600" w:firstLineChars="200"/>
        <w:rPr>
          <w:rFonts w:hint="eastAsia"/>
          <w:color w:val="auto"/>
          <w:lang w:val="en-US" w:eastAsia="zh-CN"/>
        </w:rPr>
      </w:pPr>
      <w:r>
        <w:rPr>
          <w:rFonts w:hint="eastAsia"/>
          <w:color w:val="auto"/>
          <w:lang w:val="en-US" w:eastAsia="zh-CN"/>
        </w:rPr>
        <w:t>指标2：新一轮退耕还林第三次补助标准（元/亩）指标值：≦400，实际完成值400，指标完成率100%。</w:t>
      </w:r>
    </w:p>
    <w:p>
      <w:pPr>
        <w:spacing w:line="360" w:lineRule="auto"/>
        <w:ind w:firstLine="600" w:firstLineChars="200"/>
        <w:rPr>
          <w:rFonts w:hint="eastAsia"/>
          <w:color w:val="auto"/>
          <w:lang w:val="en-US" w:eastAsia="zh-CN"/>
        </w:rPr>
      </w:pPr>
      <w:bookmarkStart w:id="15" w:name="_Toc68703841"/>
      <w:r>
        <w:rPr>
          <w:rFonts w:hint="eastAsia"/>
          <w:color w:val="auto"/>
          <w:lang w:val="en-US" w:eastAsia="zh-CN"/>
        </w:rPr>
        <w:t>（四）项目效益情况。</w:t>
      </w:r>
      <w:bookmarkEnd w:id="15"/>
    </w:p>
    <w:p>
      <w:pPr>
        <w:spacing w:line="360" w:lineRule="auto"/>
        <w:ind w:firstLine="600" w:firstLineChars="200"/>
        <w:rPr>
          <w:rFonts w:hint="default"/>
          <w:color w:val="auto"/>
          <w:lang w:val="en-US" w:eastAsia="zh-CN"/>
        </w:rPr>
      </w:pPr>
      <w:r>
        <w:rPr>
          <w:rFonts w:hint="eastAsia"/>
          <w:color w:val="auto"/>
          <w:lang w:val="en-US" w:eastAsia="zh-CN"/>
        </w:rPr>
        <w:t>1、生态效益指标：指标1：同类型退化草原治理有一定效果，指标值：有一定效果，实际完成值：有一定效果，指标完成率：100%。</w:t>
      </w:r>
    </w:p>
    <w:p>
      <w:pPr>
        <w:spacing w:line="360" w:lineRule="auto"/>
        <w:ind w:firstLine="600" w:firstLineChars="200"/>
        <w:rPr>
          <w:rFonts w:hint="default"/>
          <w:color w:val="auto"/>
          <w:lang w:val="en-US" w:eastAsia="zh-CN"/>
        </w:rPr>
      </w:pPr>
      <w:r>
        <w:rPr>
          <w:rFonts w:hint="eastAsia"/>
          <w:color w:val="auto"/>
          <w:lang w:val="en-US" w:eastAsia="zh-CN"/>
        </w:rPr>
        <w:t>2、可持续影响指标：指标1：持续发挥生态作用显著，指标值：显著，实际完成值：显著，指标完成率：100%。</w:t>
      </w:r>
    </w:p>
    <w:p>
      <w:pPr>
        <w:spacing w:line="360" w:lineRule="auto"/>
        <w:ind w:firstLine="600" w:firstLineChars="200"/>
        <w:rPr>
          <w:rFonts w:hint="default"/>
          <w:color w:val="auto"/>
          <w:lang w:val="en-US" w:eastAsia="zh-CN"/>
        </w:rPr>
      </w:pPr>
      <w:r>
        <w:rPr>
          <w:rFonts w:hint="eastAsia"/>
          <w:color w:val="auto"/>
          <w:lang w:val="en-US" w:eastAsia="zh-CN"/>
        </w:rPr>
        <w:t>3、满意度指标：指标1：退耕农户和牧民满意度，指标值：≥95%，实际完成值：95%，指标完成率：100%。</w:t>
      </w:r>
    </w:p>
    <w:p>
      <w:pPr>
        <w:pStyle w:val="5"/>
        <w:spacing w:line="360" w:lineRule="auto"/>
        <w:rPr>
          <w:rFonts w:hint="eastAsia" w:ascii="宋体" w:hAnsi="宋体" w:eastAsia="宋体" w:cs="Times New Roman"/>
          <w:sz w:val="32"/>
          <w:szCs w:val="32"/>
          <w:lang w:val="en-US" w:eastAsia="zh-CN"/>
        </w:rPr>
      </w:pPr>
      <w:bookmarkStart w:id="16" w:name="_Toc68703842"/>
      <w:r>
        <w:rPr>
          <w:rFonts w:hint="eastAsia" w:ascii="宋体" w:hAnsi="宋体" w:eastAsia="宋体" w:cs="Times New Roman"/>
          <w:sz w:val="32"/>
          <w:szCs w:val="32"/>
          <w:lang w:val="en-US" w:eastAsia="zh-CN"/>
        </w:rPr>
        <w:t>五、主要经验及做法、存在的问题及原因分析</w:t>
      </w:r>
      <w:bookmarkEnd w:id="16"/>
    </w:p>
    <w:p>
      <w:pPr>
        <w:spacing w:line="360" w:lineRule="auto"/>
        <w:ind w:firstLine="600" w:firstLineChars="200"/>
        <w:rPr>
          <w:rFonts w:hint="eastAsia"/>
          <w:color w:val="auto"/>
          <w:highlight w:val="none"/>
          <w:lang w:val="en-US" w:eastAsia="zh-CN"/>
        </w:rPr>
      </w:pPr>
      <w:bookmarkStart w:id="17" w:name="_Toc68703843"/>
      <w:r>
        <w:rPr>
          <w:rFonts w:hint="eastAsia"/>
          <w:color w:val="auto"/>
          <w:highlight w:val="none"/>
          <w:lang w:val="en-US" w:eastAsia="zh-CN"/>
        </w:rPr>
        <w:t>（一）主要经验及做法</w:t>
      </w:r>
      <w:bookmarkEnd w:id="17"/>
      <w:bookmarkStart w:id="18" w:name="_Toc68703844"/>
    </w:p>
    <w:p>
      <w:pPr>
        <w:spacing w:line="360" w:lineRule="auto"/>
        <w:ind w:firstLine="600" w:firstLineChars="200"/>
        <w:rPr>
          <w:rFonts w:hint="eastAsia"/>
          <w:color w:val="auto"/>
          <w:highlight w:val="none"/>
          <w:lang w:val="en-US" w:eastAsia="zh-CN"/>
        </w:rPr>
      </w:pPr>
      <w:r>
        <w:rPr>
          <w:rFonts w:hint="eastAsia"/>
          <w:color w:val="auto"/>
          <w:highlight w:val="none"/>
          <w:lang w:val="en-US" w:eastAsia="zh-CN"/>
        </w:rPr>
        <w:t xml:space="preserve">建立、完善以项目经理为首的安全生产领导组织，有组织、有领导的开展安全管理活动。承担组织、领导安全生产的责任；建立各级人员安全生产责任制度，明确各级人员的安全责任。抓制度落实、抓责任落实，定期检查安全责任落实情况，及时报告。 </w:t>
      </w:r>
    </w:p>
    <w:p>
      <w:pPr>
        <w:spacing w:line="360" w:lineRule="auto"/>
        <w:ind w:firstLine="600" w:firstLineChars="200"/>
        <w:rPr>
          <w:rFonts w:hint="eastAsia"/>
          <w:color w:val="auto"/>
          <w:highlight w:val="none"/>
          <w:lang w:val="en-US" w:eastAsia="zh-CN"/>
        </w:rPr>
      </w:pPr>
    </w:p>
    <w:p>
      <w:pPr>
        <w:spacing w:line="360" w:lineRule="auto"/>
        <w:ind w:firstLine="600" w:firstLineChars="200"/>
        <w:rPr>
          <w:rFonts w:hint="eastAsia"/>
          <w:color w:val="auto"/>
          <w:highlight w:val="none"/>
          <w:lang w:val="en-US" w:eastAsia="zh-CN"/>
        </w:rPr>
      </w:pPr>
      <w:r>
        <w:rPr>
          <w:rFonts w:hint="eastAsia"/>
          <w:color w:val="auto"/>
          <w:highlight w:val="none"/>
          <w:lang w:val="en-US" w:eastAsia="zh-CN"/>
        </w:rPr>
        <w:t>（二）存在的问题及原因分析</w:t>
      </w:r>
      <w:bookmarkEnd w:id="18"/>
    </w:p>
    <w:p>
      <w:pPr>
        <w:spacing w:line="360" w:lineRule="auto"/>
        <w:ind w:firstLine="600" w:firstLineChars="200"/>
        <w:rPr>
          <w:rFonts w:hint="eastAsia"/>
          <w:color w:val="auto"/>
          <w:highlight w:val="none"/>
          <w:lang w:val="en-US" w:eastAsia="zh-CN"/>
        </w:rPr>
      </w:pPr>
      <w:r>
        <w:rPr>
          <w:rFonts w:hint="eastAsia"/>
          <w:color w:val="auto"/>
          <w:highlight w:val="none"/>
          <w:lang w:val="en-US" w:eastAsia="zh-CN"/>
        </w:rPr>
        <w:t xml:space="preserve">天然草原生态修复治理受自然环境的影响，尤其是降水和土壤 温度决定工程的成败。生态修复治理项目具有其长期性、艰巨性、 复杂性和公益性，见效慢、实施难度大。尤其是降雨量短缺的山前平原，播后完全靠自然降雨，遇到旱年就失败。 </w:t>
      </w:r>
    </w:p>
    <w:p>
      <w:pPr>
        <w:spacing w:line="360" w:lineRule="auto"/>
        <w:ind w:firstLine="600" w:firstLineChars="200"/>
        <w:rPr>
          <w:rFonts w:hint="eastAsia"/>
          <w:color w:val="auto"/>
          <w:highlight w:val="none"/>
          <w:lang w:val="en-US" w:eastAsia="zh-CN"/>
        </w:rPr>
      </w:pPr>
    </w:p>
    <w:p>
      <w:pPr>
        <w:pStyle w:val="5"/>
        <w:spacing w:line="360" w:lineRule="auto"/>
        <w:rPr>
          <w:rFonts w:hint="eastAsia" w:ascii="宋体" w:hAnsi="宋体" w:eastAsia="宋体" w:cs="Times New Roman"/>
          <w:sz w:val="32"/>
          <w:szCs w:val="32"/>
          <w:lang w:val="en-US" w:eastAsia="zh-CN"/>
        </w:rPr>
      </w:pPr>
      <w:bookmarkStart w:id="19" w:name="_Toc68703845"/>
      <w:r>
        <w:rPr>
          <w:rFonts w:hint="eastAsia" w:ascii="宋体" w:hAnsi="宋体" w:eastAsia="宋体" w:cs="Times New Roman"/>
          <w:sz w:val="32"/>
          <w:szCs w:val="32"/>
          <w:lang w:val="en-US" w:eastAsia="zh-CN"/>
        </w:rPr>
        <w:t>六、有关建议</w:t>
      </w:r>
      <w:bookmarkEnd w:id="19"/>
    </w:p>
    <w:p>
      <w:pPr>
        <w:numPr>
          <w:ilvl w:val="0"/>
          <w:numId w:val="0"/>
        </w:numPr>
        <w:spacing w:line="360" w:lineRule="auto"/>
        <w:rPr>
          <w:rFonts w:hint="eastAsia"/>
          <w:color w:val="auto"/>
          <w:highlight w:val="none"/>
          <w:lang w:val="en-US" w:eastAsia="zh-CN"/>
        </w:rPr>
      </w:pPr>
      <w:r>
        <w:rPr>
          <w:rFonts w:hint="eastAsia"/>
          <w:color w:val="auto"/>
          <w:highlight w:val="none"/>
          <w:lang w:val="en-US" w:eastAsia="zh-CN"/>
        </w:rPr>
        <w:t>希望针对不同的退化草地类型，研究出有针对型的治理技术和模式以满足退化草地补播改良所需草种需求。</w:t>
      </w:r>
    </w:p>
    <w:p>
      <w:pPr>
        <w:pStyle w:val="5"/>
        <w:spacing w:line="360" w:lineRule="auto"/>
        <w:rPr>
          <w:rFonts w:hint="eastAsia" w:ascii="宋体" w:hAnsi="宋体" w:eastAsia="宋体" w:cs="Times New Roman"/>
          <w:sz w:val="32"/>
          <w:szCs w:val="32"/>
          <w:lang w:val="en-US" w:eastAsia="zh-CN"/>
        </w:rPr>
      </w:pPr>
      <w:bookmarkStart w:id="20" w:name="_Toc68703846"/>
      <w:r>
        <w:rPr>
          <w:rFonts w:hint="eastAsia" w:ascii="宋体" w:hAnsi="宋体" w:eastAsia="宋体" w:cs="Times New Roman"/>
          <w:sz w:val="32"/>
          <w:szCs w:val="32"/>
          <w:lang w:val="en-US" w:eastAsia="zh-CN"/>
        </w:rPr>
        <w:t>七、其他需要说明的问题</w:t>
      </w:r>
      <w:bookmarkEnd w:id="20"/>
    </w:p>
    <w:p>
      <w:pPr>
        <w:spacing w:line="360" w:lineRule="auto"/>
        <w:ind w:firstLine="60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bookmarkStart w:id="21" w:name="_GoBack"/>
      <w:bookmarkEnd w:id="21"/>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64B16"/>
    <w:multiLevelType w:val="singleLevel"/>
    <w:tmpl w:val="EBA64B1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115A0F18"/>
    <w:rsid w:val="182F140F"/>
    <w:rsid w:val="2BE3420E"/>
    <w:rsid w:val="3394270B"/>
    <w:rsid w:val="3FBD20C5"/>
    <w:rsid w:val="428365DA"/>
    <w:rsid w:val="510674EB"/>
    <w:rsid w:val="528D3EA0"/>
    <w:rsid w:val="5B6C7D39"/>
    <w:rsid w:val="5F9C075E"/>
    <w:rsid w:val="77165EF9"/>
    <w:rsid w:val="79EC4A4B"/>
    <w:rsid w:val="7EE30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adjustRightInd w:val="0"/>
      <w:snapToGrid w:val="0"/>
      <w:spacing w:beforeAutospacing="1"/>
      <w:ind w:firstLine="200" w:firstLineChars="200"/>
      <w:jc w:val="left"/>
    </w:pPr>
    <w:rPr>
      <w:rFonts w:ascii="Tahoma" w:hAnsi="Tahoma" w:eastAsia="微软雅黑"/>
      <w:sz w:val="22"/>
    </w:rPr>
  </w:style>
  <w:style w:type="paragraph" w:styleId="3">
    <w:name w:val="Body Text Indent"/>
    <w:basedOn w:val="1"/>
    <w:next w:val="4"/>
    <w:qFormat/>
    <w:uiPriority w:val="0"/>
    <w:pPr>
      <w:ind w:left="200" w:leftChars="200"/>
    </w:pPr>
  </w:style>
  <w:style w:type="paragraph" w:styleId="4">
    <w:name w:val="index 6"/>
    <w:basedOn w:val="1"/>
    <w:next w:val="1"/>
    <w:qFormat/>
    <w:uiPriority w:val="0"/>
    <w:pPr>
      <w:ind w:left="1000" w:leftChars="1000"/>
    </w:p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标题 1 字符"/>
    <w:basedOn w:val="10"/>
    <w:link w:val="5"/>
    <w:qFormat/>
    <w:uiPriority w:val="9"/>
    <w:rPr>
      <w:rFonts w:ascii="Times New Roman" w:hAnsi="Times New Roman" w:eastAsia="仿宋_GB2312" w:cs="Times New Roman"/>
      <w:b/>
      <w:bCs/>
      <w:kern w:val="44"/>
      <w:sz w:val="44"/>
      <w:szCs w:val="44"/>
    </w:rPr>
  </w:style>
  <w:style w:type="character" w:customStyle="1" w:styleId="13">
    <w:name w:val="标题 2 字符"/>
    <w:basedOn w:val="10"/>
    <w:link w:val="6"/>
    <w:qFormat/>
    <w:uiPriority w:val="9"/>
    <w:rPr>
      <w:rFonts w:asciiTheme="majorHAnsi" w:hAnsiTheme="majorHAnsi" w:eastAsiaTheme="majorEastAsia" w:cstheme="majorBidi"/>
      <w:b/>
      <w:bCs/>
      <w:sz w:val="32"/>
      <w:szCs w:val="32"/>
    </w:rPr>
  </w:style>
  <w:style w:type="paragraph" w:customStyle="1" w:styleId="14">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5196</Words>
  <Characters>5529</Characters>
  <Lines>38</Lines>
  <Paragraphs>10</Paragraphs>
  <TotalTime>4</TotalTime>
  <ScaleCrop>false</ScaleCrop>
  <LinksUpToDate>false</LinksUpToDate>
  <CharactersWithSpaces>5704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2022-04-26T03:29:59Z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DAA36D6755144A31BC4EA80ED2F66103</vt:lpwstr>
  </property>
</Properties>
</file>