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方正小标宋简体" w:hAnsi="方正小标宋简体" w:eastAsia="方正小标宋简体" w:cs="方正小标宋简体"/>
          <w:color w:val="000000"/>
          <w:kern w:val="0"/>
          <w:sz w:val="36"/>
          <w:szCs w:val="36"/>
        </w:rPr>
        <w:t>（2</w:t>
      </w:r>
      <w:r>
        <w:rPr>
          <w:rFonts w:ascii="方正小标宋简体" w:hAnsi="方正小标宋简体" w:eastAsia="方正小标宋简体" w:cs="方正小标宋简体"/>
          <w:color w:val="000000"/>
          <w:kern w:val="0"/>
          <w:sz w:val="36"/>
          <w:szCs w:val="36"/>
        </w:rPr>
        <w:t>021</w:t>
      </w:r>
      <w:r>
        <w:rPr>
          <w:rFonts w:hint="eastAsia" w:ascii="方正小标宋简体" w:hAnsi="方正小标宋简体" w:eastAsia="方正小标宋简体" w:cs="方正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项目名称：</w:t>
      </w:r>
      <w:r>
        <w:rPr>
          <w:rFonts w:hint="eastAsia" w:ascii="宋体" w:hAnsi="宋体" w:eastAsia="宋体" w:cs="仿宋_GB2312"/>
          <w:b/>
          <w:bCs/>
          <w:color w:val="000000"/>
          <w:kern w:val="0"/>
          <w:sz w:val="32"/>
          <w:szCs w:val="32"/>
          <w:lang w:val="en-US" w:eastAsia="zh-CN"/>
        </w:rPr>
        <w:t>特克斯县政务大厅改扩建项目</w:t>
      </w:r>
      <w:r>
        <w:rPr>
          <w:rFonts w:ascii="宋体" w:hAnsi="宋体" w:eastAsia="宋体" w:cs="宋体"/>
          <w:kern w:val="0"/>
          <w:sz w:val="32"/>
          <w:szCs w:val="32"/>
        </w:rPr>
        <w:t xml:space="preserve"> </w:t>
      </w:r>
    </w:p>
    <w:p>
      <w:pPr>
        <w:spacing w:line="560" w:lineRule="exact"/>
        <w:ind w:firstLine="321" w:firstLineChars="100"/>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实施单位（公章）：</w:t>
      </w:r>
      <w:r>
        <w:rPr>
          <w:rFonts w:ascii="宋体" w:hAnsi="宋体" w:eastAsia="宋体" w:cs="宋体"/>
          <w:kern w:val="0"/>
          <w:sz w:val="32"/>
          <w:szCs w:val="32"/>
        </w:rPr>
        <w:t xml:space="preserve"> </w:t>
      </w:r>
      <w:r>
        <w:rPr>
          <w:rFonts w:hint="eastAsia" w:ascii="宋体" w:hAnsi="宋体" w:eastAsia="宋体" w:cs="宋体"/>
          <w:kern w:val="0"/>
          <w:sz w:val="32"/>
          <w:szCs w:val="32"/>
          <w:lang w:val="en-US" w:eastAsia="zh-CN"/>
        </w:rPr>
        <w:t>特克斯县政务服务中心</w:t>
      </w:r>
    </w:p>
    <w:p>
      <w:pPr>
        <w:spacing w:line="560" w:lineRule="exact"/>
        <w:ind w:firstLine="321" w:firstLineChars="100"/>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主管部门（公章）：</w:t>
      </w:r>
      <w:r>
        <w:rPr>
          <w:rFonts w:ascii="宋体" w:hAnsi="宋体" w:eastAsia="宋体" w:cs="宋体"/>
          <w:kern w:val="0"/>
          <w:sz w:val="32"/>
          <w:szCs w:val="32"/>
        </w:rPr>
        <w:t xml:space="preserve"> </w:t>
      </w:r>
      <w:r>
        <w:rPr>
          <w:rFonts w:hint="eastAsia" w:ascii="宋体" w:hAnsi="宋体" w:eastAsia="宋体" w:cs="宋体"/>
          <w:kern w:val="0"/>
          <w:sz w:val="32"/>
          <w:szCs w:val="32"/>
          <w:lang w:val="en-US" w:eastAsia="zh-CN"/>
        </w:rPr>
        <w:t>特克斯县政府办</w:t>
      </w:r>
    </w:p>
    <w:p>
      <w:pPr>
        <w:spacing w:line="560" w:lineRule="exact"/>
        <w:ind w:firstLine="321" w:firstLineChars="100"/>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rPr>
        <w:t>项目负责人（签章）：</w:t>
      </w:r>
      <w:r>
        <w:rPr>
          <w:rFonts w:ascii="宋体" w:hAnsi="宋体" w:eastAsia="宋体" w:cs="宋体"/>
          <w:kern w:val="0"/>
          <w:sz w:val="32"/>
          <w:szCs w:val="32"/>
        </w:rPr>
        <w:t xml:space="preserve"> </w:t>
      </w:r>
      <w:r>
        <w:rPr>
          <w:rFonts w:hint="eastAsia" w:ascii="宋体" w:hAnsi="宋体" w:eastAsia="宋体" w:cs="宋体"/>
          <w:kern w:val="0"/>
          <w:sz w:val="32"/>
          <w:szCs w:val="32"/>
          <w:lang w:val="en-US" w:eastAsia="zh-CN"/>
        </w:rPr>
        <w:t>李玉玲</w:t>
      </w:r>
    </w:p>
    <w:p>
      <w:pPr>
        <w:spacing w:line="560" w:lineRule="exact"/>
        <w:ind w:firstLine="321" w:firstLineChars="100"/>
        <w:rPr>
          <w:rFonts w:hint="eastAsia"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ascii="宋体" w:hAnsi="宋体" w:eastAsia="宋体" w:cs="仿宋_GB2312"/>
          <w:color w:val="000000"/>
          <w:kern w:val="0"/>
          <w:sz w:val="32"/>
          <w:szCs w:val="32"/>
        </w:rPr>
        <w:t>2</w:t>
      </w:r>
      <w:r>
        <w:rPr>
          <w:rFonts w:hint="eastAsia" w:ascii="宋体" w:hAnsi="宋体" w:eastAsia="宋体" w:cs="仿宋_GB2312"/>
          <w:color w:val="000000"/>
          <w:kern w:val="0"/>
          <w:sz w:val="32"/>
          <w:szCs w:val="32"/>
        </w:rPr>
        <w:t>年</w:t>
      </w:r>
      <w:r>
        <w:rPr>
          <w:rFonts w:ascii="宋体" w:hAnsi="宋体" w:eastAsia="宋体" w:cs="仿宋_GB2312"/>
          <w:color w:val="000000"/>
          <w:kern w:val="0"/>
          <w:sz w:val="32"/>
          <w:szCs w:val="32"/>
        </w:rPr>
        <w:t xml:space="preserve"> </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月</w:t>
      </w:r>
      <w:r>
        <w:rPr>
          <w:rFonts w:ascii="宋体" w:hAnsi="宋体" w:eastAsia="宋体" w:cs="仿宋_GB2312"/>
          <w:color w:val="000000"/>
          <w:kern w:val="0"/>
          <w:sz w:val="32"/>
          <w:szCs w:val="32"/>
        </w:rPr>
        <w:t xml:space="preserve"> </w:t>
      </w:r>
      <w:r>
        <w:rPr>
          <w:rFonts w:hint="eastAsia" w:ascii="宋体" w:hAnsi="宋体" w:eastAsia="宋体" w:cs="仿宋_GB2312"/>
          <w:color w:val="000000"/>
          <w:kern w:val="0"/>
          <w:sz w:val="32"/>
          <w:szCs w:val="32"/>
          <w:lang w:val="en-US" w:eastAsia="zh-CN"/>
        </w:rPr>
        <w:t>12</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pStyle w:val="2"/>
        <w:spacing w:line="360" w:lineRule="auto"/>
        <w:rPr>
          <w:rFonts w:ascii="宋体" w:hAnsi="宋体" w:eastAsia="宋体"/>
          <w:sz w:val="32"/>
          <w:szCs w:val="32"/>
        </w:rPr>
      </w:pPr>
      <w:bookmarkStart w:id="0" w:name="_Toc68703827"/>
      <w:r>
        <w:rPr>
          <w:rFonts w:hint="eastAsia" w:ascii="宋体" w:hAnsi="宋体" w:eastAsia="宋体"/>
          <w:sz w:val="32"/>
          <w:szCs w:val="32"/>
        </w:rPr>
        <w:t>一、基本情况</w:t>
      </w:r>
      <w:bookmarkEnd w:id="0"/>
    </w:p>
    <w:p>
      <w:pPr>
        <w:pStyle w:val="3"/>
        <w:spacing w:line="360" w:lineRule="auto"/>
        <w:rPr>
          <w:rFonts w:hint="eastAsia" w:ascii="仿宋_GB2312" w:eastAsia="仿宋_GB2312"/>
          <w:b w:val="0"/>
          <w:bCs w:val="0"/>
        </w:rPr>
      </w:pPr>
      <w:bookmarkStart w:id="1" w:name="_Toc68703828"/>
      <w:r>
        <w:rPr>
          <w:rFonts w:hint="eastAsia" w:ascii="仿宋_GB2312" w:eastAsia="仿宋_GB2312"/>
          <w:b w:val="0"/>
          <w:bCs w:val="0"/>
        </w:rPr>
        <w:t>（一）项目概况。</w:t>
      </w:r>
      <w:bookmarkEnd w:id="1"/>
    </w:p>
    <w:p>
      <w:pPr>
        <w:spacing w:line="360" w:lineRule="auto"/>
        <w:ind w:firstLine="600" w:firstLineChars="200"/>
        <w:rPr>
          <w:rFonts w:ascii="仿宋_GB2312"/>
        </w:rPr>
      </w:pPr>
      <w:r>
        <w:rPr>
          <w:rFonts w:hint="eastAsia" w:ascii="仿宋_GB2312"/>
        </w:rPr>
        <w:t>1、项目背景</w:t>
      </w:r>
    </w:p>
    <w:p/>
    <w:p>
      <w:pPr>
        <w:spacing w:line="360" w:lineRule="auto"/>
        <w:ind w:firstLine="600" w:firstLineChars="200"/>
        <w:rPr>
          <w:rFonts w:hint="eastAsia" w:ascii="仿宋_GB2312"/>
          <w:lang w:val="en-US" w:eastAsia="zh-CN"/>
        </w:rPr>
      </w:pPr>
      <w:r>
        <w:rPr>
          <w:rFonts w:hint="eastAsia" w:ascii="仿宋_GB2312"/>
          <w:lang w:val="en-US" w:eastAsia="zh-CN"/>
        </w:rPr>
        <w:t>本工程为10层综合办公楼，其中一、二层层高为4.5m，三层层高为3.6m。一、二层建筑面积各为1995.48㎡，三层建筑面积为1318.632㎡。</w:t>
      </w:r>
    </w:p>
    <w:p>
      <w:pPr>
        <w:spacing w:line="360" w:lineRule="auto"/>
        <w:ind w:firstLine="600" w:firstLineChars="200"/>
        <w:rPr>
          <w:rFonts w:hint="eastAsia" w:ascii="仿宋_GB2312"/>
          <w:lang w:val="en-US" w:eastAsia="zh-CN"/>
        </w:rPr>
      </w:pPr>
      <w:r>
        <w:rPr>
          <w:rFonts w:hint="eastAsia" w:ascii="仿宋_GB2312"/>
          <w:lang w:val="en-US" w:eastAsia="zh-CN"/>
        </w:rPr>
        <w:t>一层为公共办公服务窗口，改建面积1197.288㎡，吊顶拆除新建，南面办公窗口拆除，大理石柜台（1.03m*0.83m）拆除66.7m，LED吊楣拆除66.7m，新建大理石柜台（1.03m*0.83m）4.42m。</w:t>
      </w:r>
    </w:p>
    <w:p>
      <w:pPr>
        <w:spacing w:line="360" w:lineRule="auto"/>
        <w:ind w:firstLine="600" w:firstLineChars="200"/>
        <w:rPr>
          <w:rFonts w:hint="eastAsia" w:ascii="仿宋_GB2312"/>
          <w:lang w:val="en-US" w:eastAsia="zh-CN"/>
        </w:rPr>
      </w:pPr>
      <w:r>
        <w:rPr>
          <w:rFonts w:hint="eastAsia" w:ascii="仿宋_GB2312"/>
          <w:lang w:val="en-US" w:eastAsia="zh-CN"/>
        </w:rPr>
        <w:t>二层东侧为餐厅，西侧为办公室。西侧办公室改为公共办公窗口，改建面积520.41㎡，吊顶拆除新建，墙体隔断全部拆除，新建大理石柜台（0.8m*0.83m）29.05m，新建LED显示屏吊楣31.15m，新建咨询台3.3m，新安装全彩LED显示屏5.11㎡，灯箱宣传片（4.8m*2.4m）2个，新安装壁挂式明暖260片，配备网络交换机、路由器、机柜等。</w:t>
      </w:r>
    </w:p>
    <w:p>
      <w:pPr>
        <w:spacing w:line="360" w:lineRule="auto"/>
        <w:ind w:firstLine="600" w:firstLineChars="200"/>
        <w:rPr>
          <w:rFonts w:hint="eastAsia" w:ascii="仿宋_GB2312"/>
        </w:rPr>
      </w:pPr>
      <w:r>
        <w:rPr>
          <w:rFonts w:hint="eastAsia" w:ascii="仿宋_GB2312"/>
          <w:lang w:val="en-US" w:eastAsia="zh-CN"/>
        </w:rPr>
        <w:t>三层为敞开式办公区，改建面积771.199㎡，吊顶拆除新建，新建大理石柜台（0.8m*0.83m）70.33m，新建咨询台3.3m，灯箱宣传片（4.8m*2.4m）4个，配备网络交换机、路由器、机柜等。</w:t>
      </w:r>
      <w:r>
        <w:rPr>
          <w:rFonts w:hint="eastAsia" w:ascii="仿宋_GB2312"/>
        </w:rPr>
        <w:t>1、项目背景</w:t>
      </w:r>
    </w:p>
    <w:p>
      <w:pPr>
        <w:spacing w:line="360" w:lineRule="auto"/>
        <w:ind w:firstLine="600" w:firstLineChars="200"/>
        <w:rPr>
          <w:rFonts w:ascii="仿宋_GB2312"/>
        </w:rPr>
      </w:pPr>
      <w:r>
        <w:rPr>
          <w:rFonts w:hint="eastAsia" w:ascii="仿宋_GB2312"/>
        </w:rPr>
        <w:t>2、主要内容</w:t>
      </w:r>
      <w:r>
        <w:rPr>
          <w:rFonts w:hint="eastAsia"/>
        </w:rPr>
        <w:t>及</w:t>
      </w:r>
      <w:r>
        <w:rPr>
          <w:rFonts w:hint="eastAsia" w:ascii="仿宋_GB2312"/>
        </w:rPr>
        <w:t>实施情况</w:t>
      </w:r>
    </w:p>
    <w:p>
      <w:pPr>
        <w:spacing w:line="360" w:lineRule="auto"/>
        <w:ind w:firstLine="600" w:firstLineChars="200"/>
        <w:rPr>
          <w:rFonts w:hint="eastAsia" w:ascii="仿宋_GB2312" w:hAnsi="仿宋_GB2312" w:eastAsia="仿宋_GB2312" w:cs="仿宋_GB2312"/>
          <w:sz w:val="28"/>
          <w:szCs w:val="28"/>
          <w:highlight w:val="none"/>
          <w:lang w:eastAsia="zh-CN"/>
        </w:rPr>
      </w:pPr>
      <w:r>
        <w:rPr>
          <w:rFonts w:hint="eastAsia" w:ascii="仿宋_GB2312"/>
          <w:highlight w:val="none"/>
        </w:rPr>
        <w:t>主要内容：</w:t>
      </w:r>
      <w:r>
        <w:rPr>
          <w:rFonts w:hint="eastAsia" w:ascii="Times New Roman" w:hAnsi="Times New Roman" w:eastAsia="仿宋_GB2312" w:cs="仿宋_GB2312"/>
          <w:sz w:val="32"/>
          <w:szCs w:val="32"/>
          <w:highlight w:val="none"/>
          <w:lang w:val="en-US" w:eastAsia="zh-CN"/>
        </w:rPr>
        <w:t>确保特克斯县政务服务中心综合楼服务大厅改（扩）建项目的顺利进行，尽快</w:t>
      </w:r>
      <w:r>
        <w:rPr>
          <w:rFonts w:hint="eastAsia" w:ascii="Times New Roman" w:hAnsi="Times New Roman" w:eastAsia="仿宋_GB2312" w:cs="仿宋_GB2312"/>
          <w:b w:val="0"/>
          <w:bCs w:val="0"/>
          <w:sz w:val="32"/>
          <w:szCs w:val="32"/>
          <w:highlight w:val="none"/>
          <w:lang w:val="en-US" w:eastAsia="zh-CN"/>
        </w:rPr>
        <w:t>打造成</w:t>
      </w:r>
      <w:r>
        <w:rPr>
          <w:rFonts w:hint="eastAsia" w:ascii="Times New Roman" w:hAnsi="Times New Roman" w:eastAsia="仿宋_GB2312" w:cs="仿宋_GB2312"/>
          <w:sz w:val="32"/>
          <w:szCs w:val="32"/>
          <w:highlight w:val="none"/>
          <w:lang w:eastAsia="zh-CN"/>
        </w:rPr>
        <w:t>“一站式”为企服务窗口，营造起“集中、透明、便民、高效、廉洁”的营商环境</w:t>
      </w:r>
      <w:r>
        <w:rPr>
          <w:rFonts w:hint="eastAsia" w:cs="仿宋_GB2312"/>
          <w:sz w:val="32"/>
          <w:szCs w:val="32"/>
          <w:highlight w:val="none"/>
          <w:lang w:eastAsia="zh-CN"/>
        </w:rPr>
        <w:t>，</w:t>
      </w:r>
      <w:r>
        <w:rPr>
          <w:rFonts w:hint="eastAsia" w:ascii="仿宋_GB2312"/>
          <w:highlight w:val="none"/>
          <w:lang w:val="en-US" w:eastAsia="zh-CN"/>
        </w:rPr>
        <w:t>行政大厅将</w:t>
      </w:r>
      <w:r>
        <w:rPr>
          <w:rFonts w:hint="eastAsia" w:ascii="仿宋_GB2312" w:hAnsi="仿宋_GB2312" w:eastAsia="仿宋_GB2312" w:cs="仿宋_GB2312"/>
          <w:sz w:val="28"/>
          <w:szCs w:val="28"/>
          <w:highlight w:val="none"/>
          <w:lang w:eastAsia="zh-CN"/>
        </w:rPr>
        <w:t>一层、二层、三层改扩建服务大厅公共办公窗口</w:t>
      </w:r>
    </w:p>
    <w:p>
      <w:pPr>
        <w:spacing w:line="360" w:lineRule="auto"/>
        <w:ind w:firstLine="600" w:firstLineChars="200"/>
        <w:rPr>
          <w:rFonts w:hint="default" w:ascii="仿宋_GB2312" w:eastAsia="仿宋_GB2312"/>
          <w:color w:val="FF0000"/>
          <w:highlight w:val="none"/>
          <w:lang w:val="en-US" w:eastAsia="zh-CN"/>
        </w:rPr>
      </w:pPr>
      <w:r>
        <w:rPr>
          <w:rFonts w:hint="eastAsia" w:ascii="仿宋_GB2312"/>
          <w:highlight w:val="none"/>
        </w:rPr>
        <w:t>实施情况：</w:t>
      </w:r>
      <w:r>
        <w:rPr>
          <w:rFonts w:hint="eastAsia" w:ascii="仿宋_GB2312"/>
          <w:highlight w:val="none"/>
          <w:lang w:val="en-US" w:eastAsia="zh-CN"/>
        </w:rPr>
        <w:t>已完成采购安装办公电子设备81台，完成采购办公桌椅242套，完成对一、二、三楼2359.1㎡的改造。</w:t>
      </w:r>
    </w:p>
    <w:p>
      <w:pPr>
        <w:spacing w:line="360" w:lineRule="auto"/>
        <w:ind w:firstLine="600" w:firstLineChars="200"/>
        <w:rPr>
          <w:rFonts w:ascii="仿宋_GB2312"/>
        </w:rPr>
      </w:pPr>
      <w:r>
        <w:rPr>
          <w:rFonts w:ascii="仿宋_GB2312"/>
        </w:rPr>
        <w:t>3</w:t>
      </w:r>
      <w:r>
        <w:rPr>
          <w:rFonts w:hint="eastAsia" w:ascii="仿宋_GB2312"/>
        </w:rPr>
        <w:t>、资金投入和使用情况</w:t>
      </w:r>
    </w:p>
    <w:p>
      <w:pPr>
        <w:spacing w:line="360" w:lineRule="auto"/>
        <w:ind w:firstLine="600" w:firstLineChars="200"/>
        <w:rPr>
          <w:color w:val="000000" w:themeColor="text1"/>
          <w14:textFill>
            <w14:solidFill>
              <w14:schemeClr w14:val="tx1"/>
            </w14:solidFill>
          </w14:textFill>
        </w:rPr>
      </w:pPr>
      <w:r>
        <w:rPr>
          <w:rFonts w:hint="eastAsia"/>
        </w:rPr>
        <w:t>资金投入情况</w:t>
      </w:r>
      <w:r>
        <w:rPr>
          <w:rFonts w:hint="eastAsia"/>
          <w:color w:val="000000" w:themeColor="text1"/>
          <w14:textFill>
            <w14:solidFill>
              <w14:schemeClr w14:val="tx1"/>
            </w14:solidFill>
          </w14:textFill>
        </w:rPr>
        <w:t>：该项目年初预算数</w:t>
      </w:r>
      <w:r>
        <w:rPr>
          <w:rFonts w:hint="eastAsia"/>
          <w:color w:val="000000" w:themeColor="text1"/>
          <w:lang w:val="en-US" w:eastAsia="zh-CN"/>
          <w14:textFill>
            <w14:solidFill>
              <w14:schemeClr w14:val="tx1"/>
            </w14:solidFill>
          </w14:textFill>
        </w:rPr>
        <w:t>198.42</w:t>
      </w:r>
      <w:r>
        <w:rPr>
          <w:rFonts w:hint="eastAsia"/>
          <w:color w:val="000000" w:themeColor="text1"/>
          <w14:textFill>
            <w14:solidFill>
              <w14:schemeClr w14:val="tx1"/>
            </w14:solidFill>
          </w14:textFill>
        </w:rPr>
        <w:t xml:space="preserve">万元，全年预算数 </w:t>
      </w:r>
      <w:r>
        <w:rPr>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198.42</w:t>
      </w:r>
      <w:r>
        <w:rPr>
          <w:rFonts w:hint="eastAsia"/>
          <w:color w:val="000000" w:themeColor="text1"/>
          <w14:textFill>
            <w14:solidFill>
              <w14:schemeClr w14:val="tx1"/>
            </w14:solidFill>
          </w14:textFill>
        </w:rPr>
        <w:t>万元，实际总投入</w:t>
      </w:r>
      <w:r>
        <w:rPr>
          <w:rFonts w:hint="eastAsia"/>
          <w:color w:val="000000" w:themeColor="text1"/>
          <w:lang w:val="en-US" w:eastAsia="zh-CN"/>
          <w14:textFill>
            <w14:solidFill>
              <w14:schemeClr w14:val="tx1"/>
            </w14:solidFill>
          </w14:textFill>
        </w:rPr>
        <w:t>198.42</w:t>
      </w:r>
      <w:r>
        <w:rPr>
          <w:rFonts w:hint="eastAsia"/>
          <w:color w:val="000000" w:themeColor="text1"/>
          <w14:textFill>
            <w14:solidFill>
              <w14:schemeClr w14:val="tx1"/>
            </w14:solidFill>
          </w14:textFill>
        </w:rPr>
        <w:t>万元，该项目资金已落实到位</w:t>
      </w:r>
      <w:r>
        <w:rPr>
          <w:rFonts w:hint="eastAsia"/>
          <w:color w:val="000000" w:themeColor="text1"/>
          <w:lang w:val="en-US" w:eastAsia="zh-CN"/>
          <w14:textFill>
            <w14:solidFill>
              <w14:schemeClr w14:val="tx1"/>
            </w14:solidFill>
          </w14:textFill>
        </w:rPr>
        <w:t>198.42万</w:t>
      </w:r>
      <w:r>
        <w:rPr>
          <w:rFonts w:hint="eastAsia"/>
          <w:color w:val="000000" w:themeColor="text1"/>
          <w14:textFill>
            <w14:solidFill>
              <w14:schemeClr w14:val="tx1"/>
            </w14:solidFill>
          </w14:textFill>
        </w:rPr>
        <w:t>，资金来源为当年财政拨款。</w:t>
      </w:r>
    </w:p>
    <w:p>
      <w:pPr>
        <w:spacing w:line="360" w:lineRule="auto"/>
        <w:ind w:firstLine="600" w:firstLineChars="200"/>
        <w:rPr>
          <w:color w:val="000000" w:themeColor="text1"/>
          <w:highlight w:val="yellow"/>
          <w14:textFill>
            <w14:solidFill>
              <w14:schemeClr w14:val="tx1"/>
            </w14:solidFill>
          </w14:textFill>
        </w:rPr>
      </w:pPr>
      <w:r>
        <w:rPr>
          <w:rFonts w:hint="eastAsia"/>
          <w:color w:val="000000" w:themeColor="text1"/>
          <w14:textFill>
            <w14:solidFill>
              <w14:schemeClr w14:val="tx1"/>
            </w14:solidFill>
          </w14:textFill>
        </w:rPr>
        <w:t>资金使用情况：该项目年初预算数</w:t>
      </w:r>
      <w:r>
        <w:rPr>
          <w:rFonts w:hint="eastAsia"/>
          <w:color w:val="000000" w:themeColor="text1"/>
          <w:lang w:val="en-US" w:eastAsia="zh-CN"/>
          <w14:textFill>
            <w14:solidFill>
              <w14:schemeClr w14:val="tx1"/>
            </w14:solidFill>
          </w14:textFill>
        </w:rPr>
        <w:t>198.42</w:t>
      </w:r>
      <w:r>
        <w:rPr>
          <w:rFonts w:hint="eastAsia"/>
          <w:color w:val="000000" w:themeColor="text1"/>
          <w14:textFill>
            <w14:solidFill>
              <w14:schemeClr w14:val="tx1"/>
            </w14:solidFill>
          </w14:textFill>
        </w:rPr>
        <w:t xml:space="preserve">万元，全年预算数 </w:t>
      </w:r>
      <w:r>
        <w:rPr>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198.42</w:t>
      </w:r>
      <w:r>
        <w:rPr>
          <w:rFonts w:hint="eastAsia"/>
          <w:color w:val="000000" w:themeColor="text1"/>
          <w14:textFill>
            <w14:solidFill>
              <w14:schemeClr w14:val="tx1"/>
            </w14:solidFill>
          </w14:textFill>
        </w:rPr>
        <w:t>万元，全年执行数</w:t>
      </w:r>
      <w:r>
        <w:rPr>
          <w:rFonts w:hint="eastAsia"/>
          <w:color w:val="000000" w:themeColor="text1"/>
          <w:lang w:val="en-US" w:eastAsia="zh-CN"/>
          <w14:textFill>
            <w14:solidFill>
              <w14:schemeClr w14:val="tx1"/>
            </w14:solidFill>
          </w14:textFill>
        </w:rPr>
        <w:t>132</w:t>
      </w:r>
      <w:r>
        <w:rPr>
          <w:rFonts w:hint="eastAsia"/>
          <w:color w:val="000000" w:themeColor="text1"/>
          <w14:textFill>
            <w14:solidFill>
              <w14:schemeClr w14:val="tx1"/>
            </w14:solidFill>
          </w14:textFill>
        </w:rPr>
        <w:t>万元，预算执行率为</w:t>
      </w:r>
      <w:r>
        <w:rPr>
          <w:rFonts w:hint="eastAsia"/>
          <w:color w:val="000000" w:themeColor="text1"/>
          <w:lang w:val="en-US" w:eastAsia="zh-CN"/>
          <w14:textFill>
            <w14:solidFill>
              <w14:schemeClr w14:val="tx1"/>
            </w14:solidFill>
          </w14:textFill>
        </w:rPr>
        <w:t>66.53</w:t>
      </w:r>
      <w:r>
        <w:rPr>
          <w:rFonts w:hint="eastAsia"/>
          <w:color w:val="000000" w:themeColor="text1"/>
          <w14:textFill>
            <w14:solidFill>
              <w14:schemeClr w14:val="tx1"/>
            </w14:solidFill>
          </w14:textFill>
        </w:rPr>
        <w:t>%，</w:t>
      </w:r>
      <w:r>
        <w:rPr>
          <w:rFonts w:hint="eastAsia"/>
          <w:color w:val="000000" w:themeColor="text1"/>
          <w:highlight w:val="none"/>
          <w14:textFill>
            <w14:solidFill>
              <w14:schemeClr w14:val="tx1"/>
            </w14:solidFill>
          </w14:textFill>
        </w:rPr>
        <w:t>用于：</w:t>
      </w:r>
      <w:r>
        <w:rPr>
          <w:rFonts w:hint="eastAsia"/>
          <w:bCs/>
          <w:color w:val="000000" w:themeColor="text1"/>
          <w:sz w:val="32"/>
          <w:szCs w:val="32"/>
          <w:highlight w:val="none"/>
          <w:lang w:val="en-US" w:eastAsia="zh-CN"/>
          <w14:textFill>
            <w14:solidFill>
              <w14:schemeClr w14:val="tx1"/>
            </w14:solidFill>
          </w14:textFill>
        </w:rPr>
        <w:t>采购99台电脑，335套办公用具，改造2359.1㎡大厅</w:t>
      </w:r>
      <w:r>
        <w:rPr>
          <w:rFonts w:hint="eastAsia"/>
          <w:color w:val="000000" w:themeColor="text1"/>
          <w:highlight w:val="none"/>
          <w14:textFill>
            <w14:solidFill>
              <w14:schemeClr w14:val="tx1"/>
            </w14:solidFill>
          </w14:textFill>
        </w:rPr>
        <w:t>。</w:t>
      </w:r>
    </w:p>
    <w:p>
      <w:pPr>
        <w:pStyle w:val="3"/>
        <w:spacing w:line="360" w:lineRule="auto"/>
        <w:ind w:firstLine="640" w:firstLineChars="200"/>
        <w:rPr>
          <w:rFonts w:ascii="仿宋_GB2312" w:eastAsia="仿宋_GB2312"/>
          <w:b w:val="0"/>
          <w:bCs w:val="0"/>
          <w:color w:val="000000" w:themeColor="text1"/>
          <w14:textFill>
            <w14:solidFill>
              <w14:schemeClr w14:val="tx1"/>
            </w14:solidFill>
          </w14:textFill>
        </w:rPr>
      </w:pPr>
      <w:bookmarkStart w:id="2" w:name="_Toc68703829"/>
      <w:r>
        <w:rPr>
          <w:rFonts w:hint="eastAsia" w:ascii="仿宋_GB2312" w:eastAsia="仿宋_GB2312"/>
          <w:b w:val="0"/>
          <w:bCs w:val="0"/>
          <w:color w:val="000000" w:themeColor="text1"/>
          <w14:textFill>
            <w14:solidFill>
              <w14:schemeClr w14:val="tx1"/>
            </w14:solidFill>
          </w14:textFill>
        </w:rPr>
        <w:t>（二）</w:t>
      </w:r>
      <w:r>
        <w:rPr>
          <w:rFonts w:hint="eastAsia" w:ascii="仿宋_GB2312" w:eastAsia="仿宋_GB2312"/>
          <w:b w:val="0"/>
          <w:bCs w:val="0"/>
        </w:rPr>
        <w:t>项目</w:t>
      </w:r>
      <w:r>
        <w:rPr>
          <w:rFonts w:hint="eastAsia" w:ascii="仿宋_GB2312" w:eastAsia="仿宋_GB2312"/>
          <w:b w:val="0"/>
          <w:bCs w:val="0"/>
          <w:color w:val="000000" w:themeColor="text1"/>
          <w14:textFill>
            <w14:solidFill>
              <w14:schemeClr w14:val="tx1"/>
            </w14:solidFill>
          </w14:textFill>
        </w:rPr>
        <w:t>绩效目标。</w:t>
      </w:r>
      <w:bookmarkEnd w:id="2"/>
    </w:p>
    <w:p>
      <w:pPr>
        <w:spacing w:line="360" w:lineRule="auto"/>
        <w:ind w:firstLine="60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总体目标：通过改造政务服务中心综合楼服务大厅一楼至三楼，新增改造面积2359平米，提升管理效率，方便群众及工作人员办事、改善工作环境，从而显著改善信息指导，营造环境舒适、办事便捷的工作环境，提高工作效率和质量，群众办事更便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仿宋_GB2312"/>
          <w:b w:val="0"/>
          <w:bCs w:val="0"/>
          <w:sz w:val="32"/>
          <w:szCs w:val="32"/>
          <w:lang w:val="en-US" w:eastAsia="zh-CN"/>
        </w:rPr>
      </w:pPr>
      <w:r>
        <w:rPr>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、阶段性目标：</w:t>
      </w:r>
      <w:r>
        <w:rPr>
          <w:rFonts w:hint="eastAsia" w:ascii="Times New Roman" w:hAnsi="Times New Roman" w:eastAsia="仿宋_GB2312" w:cs="仿宋_GB2312"/>
          <w:b w:val="0"/>
          <w:bCs w:val="0"/>
          <w:sz w:val="32"/>
          <w:szCs w:val="32"/>
          <w:highlight w:val="none"/>
          <w:lang w:val="en-US" w:eastAsia="zh-CN"/>
        </w:rPr>
        <w:t>拆</w:t>
      </w:r>
      <w:r>
        <w:rPr>
          <w:rFonts w:hint="eastAsia" w:ascii="Times New Roman" w:hAnsi="Times New Roman" w:eastAsia="仿宋_GB2312" w:cs="仿宋_GB2312"/>
          <w:b w:val="0"/>
          <w:bCs w:val="0"/>
          <w:sz w:val="32"/>
          <w:szCs w:val="32"/>
          <w:lang w:val="en-US" w:eastAsia="zh-CN"/>
        </w:rPr>
        <w:t>除一层A、B厅南面28个办公窗口，从原来的U型办公窗口变成L型办公窗口，保留35个窗口，扩大办事大厅公共等待区，满足疫情防控工作要求。二层右面餐厅改造U型办事大厅32个窗口，公共等待区288㎡，预计可放置3人位椅子30组。左面公共区保留两间办公室，其余墙体隔离全部拆除，改建成L型办公窗口22个，公共等待区220㎡，预计可放置3人位椅子20组。所有窗口后台预留3.5m空间，可放置文件柜及办公桌，灵活调配使用。三层公共办公区改建一字型办公窗口48个，其中16个办公窗口后台预留2m空间，可放置文件柜；32个办公窗口后台预留3.5m空间，可放置文件柜及办公桌，灵活调配使用。公共等待区220㎡，预计可放置3人位椅子40组。</w:t>
      </w:r>
    </w:p>
    <w:p>
      <w:pPr>
        <w:spacing w:line="360" w:lineRule="auto"/>
        <w:ind w:firstLine="600" w:firstLineChars="200"/>
        <w:rPr>
          <w:color w:val="000000" w:themeColor="text1"/>
          <w:highlight w:val="yellow"/>
          <w14:textFill>
            <w14:solidFill>
              <w14:schemeClr w14:val="tx1"/>
            </w14:solidFill>
          </w14:textFill>
        </w:rPr>
      </w:pPr>
    </w:p>
    <w:p>
      <w:pPr>
        <w:pStyle w:val="2"/>
        <w:spacing w:line="360" w:lineRule="auto"/>
        <w:rPr>
          <w:rFonts w:ascii="宋体" w:hAnsi="宋体" w:eastAsia="宋体"/>
          <w:sz w:val="32"/>
          <w:szCs w:val="32"/>
        </w:rPr>
      </w:pPr>
      <w:bookmarkStart w:id="3" w:name="_Toc68703830"/>
      <w:r>
        <w:rPr>
          <w:rFonts w:hint="eastAsia" w:ascii="宋体" w:hAnsi="宋体" w:eastAsia="宋体"/>
          <w:sz w:val="32"/>
          <w:szCs w:val="32"/>
        </w:rPr>
        <w:t>二、绩效评价工作开展情况</w:t>
      </w:r>
      <w:bookmarkEnd w:id="3"/>
    </w:p>
    <w:p>
      <w:pPr>
        <w:pStyle w:val="3"/>
        <w:spacing w:line="360" w:lineRule="auto"/>
        <w:rPr>
          <w:rFonts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spacing w:line="360" w:lineRule="auto"/>
      </w:pPr>
      <w:r>
        <w:rPr>
          <w:rFonts w:hint="eastAsia"/>
        </w:rPr>
        <w:t>1、绩效评价目的：</w:t>
      </w:r>
    </w:p>
    <w:p>
      <w:pPr>
        <w:spacing w:line="360" w:lineRule="auto"/>
        <w:ind w:firstLine="640" w:firstLineChars="200"/>
        <w:jc w:val="left"/>
        <w:rPr>
          <w:rFonts w:ascii="仿宋_GB2312"/>
          <w:bCs/>
          <w:color w:val="000000" w:themeColor="text1"/>
          <w:sz w:val="32"/>
          <w:szCs w:val="32"/>
          <w14:textFill>
            <w14:solidFill>
              <w14:schemeClr w14:val="tx1"/>
            </w14:solidFill>
          </w14:textFill>
        </w:rPr>
      </w:pPr>
      <w:r>
        <w:rPr>
          <w:rFonts w:hint="eastAsia" w:ascii="仿宋_GB2312"/>
          <w:bCs/>
          <w:color w:val="000000" w:themeColor="text1"/>
          <w:sz w:val="32"/>
          <w:szCs w:val="32"/>
          <w14:textFill>
            <w14:solidFill>
              <w14:schemeClr w14:val="tx1"/>
            </w14:solidFill>
          </w14:textFill>
        </w:rPr>
        <w:t>通过绩效评价，客观地评判项目的管理绩效，了解和掌握</w:t>
      </w:r>
      <w:r>
        <w:rPr>
          <w:rFonts w:hint="eastAsia" w:ascii="仿宋_GB2312"/>
          <w:bCs/>
          <w:color w:val="000000" w:themeColor="text1"/>
          <w:sz w:val="32"/>
          <w:szCs w:val="32"/>
          <w:lang w:eastAsia="zh-CN"/>
          <w14:textFill>
            <w14:solidFill>
              <w14:schemeClr w14:val="tx1"/>
            </w14:solidFill>
          </w14:textFill>
        </w:rPr>
        <w:t>特克斯县政务服务中心（改扩建）</w:t>
      </w:r>
      <w:r>
        <w:rPr>
          <w:rFonts w:hint="eastAsia" w:ascii="仿宋_GB2312"/>
          <w:bCs/>
          <w:color w:val="000000" w:themeColor="text1"/>
          <w:sz w:val="32"/>
          <w:szCs w:val="32"/>
          <w14:textFill>
            <w14:solidFill>
              <w14:schemeClr w14:val="tx1"/>
            </w14:solidFill>
          </w14:textFill>
        </w:rPr>
        <w:t>经费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pPr>
        <w:spacing w:line="360" w:lineRule="auto"/>
        <w:ind w:firstLine="600" w:firstLineChars="200"/>
        <w:jc w:val="left"/>
      </w:pPr>
      <w:r>
        <w:rPr>
          <w:rFonts w:hint="eastAsia"/>
        </w:rPr>
        <w:t>2、绩效评价对象：</w:t>
      </w:r>
    </w:p>
    <w:p>
      <w:pPr>
        <w:spacing w:line="360" w:lineRule="auto"/>
        <w:ind w:firstLine="640" w:firstLineChars="200"/>
        <w:rPr>
          <w:rFonts w:hint="eastAsia" w:ascii="仿宋_GB2312"/>
          <w:bCs/>
          <w:color w:val="000000" w:themeColor="text1"/>
          <w:sz w:val="32"/>
          <w:szCs w:val="32"/>
          <w:lang w:eastAsia="zh-CN"/>
          <w14:textFill>
            <w14:solidFill>
              <w14:schemeClr w14:val="tx1"/>
            </w14:solidFill>
          </w14:textFill>
        </w:rPr>
      </w:pPr>
      <w:r>
        <w:rPr>
          <w:rFonts w:hint="eastAsia" w:ascii="仿宋_GB2312"/>
          <w:bCs/>
          <w:color w:val="000000" w:themeColor="text1"/>
          <w:sz w:val="32"/>
          <w:szCs w:val="32"/>
          <w:lang w:eastAsia="zh-CN"/>
          <w14:textFill>
            <w14:solidFill>
              <w14:schemeClr w14:val="tx1"/>
            </w14:solidFill>
          </w14:textFill>
        </w:rPr>
        <w:t>特克斯县政务服务中心（改扩建）</w:t>
      </w:r>
    </w:p>
    <w:p>
      <w:pPr>
        <w:spacing w:line="360" w:lineRule="auto"/>
        <w:ind w:firstLine="600" w:firstLineChars="200"/>
      </w:pPr>
      <w:r>
        <w:rPr>
          <w:rFonts w:hint="eastAsia"/>
        </w:rPr>
        <w:t>3、绩效评价范围：</w:t>
      </w:r>
    </w:p>
    <w:p>
      <w:pPr>
        <w:spacing w:line="360" w:lineRule="auto"/>
        <w:ind w:firstLine="640" w:firstLineChars="200"/>
        <w:jc w:val="left"/>
        <w:rPr>
          <w:rFonts w:hint="eastAsia" w:ascii="仿宋_GB2312"/>
          <w:bCs/>
          <w:color w:val="000000" w:themeColor="text1"/>
          <w:sz w:val="32"/>
          <w:szCs w:val="32"/>
          <w14:textFill>
            <w14:solidFill>
              <w14:schemeClr w14:val="tx1"/>
            </w14:solidFill>
          </w14:textFill>
        </w:rPr>
      </w:pPr>
      <w:r>
        <w:rPr>
          <w:rFonts w:hint="eastAsia" w:ascii="仿宋_GB2312"/>
          <w:bCs/>
          <w:color w:val="000000" w:themeColor="text1"/>
          <w:sz w:val="32"/>
          <w:szCs w:val="32"/>
          <w14:textFill>
            <w14:solidFill>
              <w14:schemeClr w14:val="tx1"/>
            </w14:solidFill>
          </w14:textFill>
        </w:rPr>
        <w:t>本次评价从项目决策（包括绩效目标、决策过程）、项目管理（包括项目资金、项目实施）、项目产出（包括项目产出数量、产出质量、产出时效和产出成本）项目效益四个维度进行</w:t>
      </w:r>
      <w:r>
        <w:rPr>
          <w:rFonts w:hint="eastAsia" w:ascii="仿宋_GB2312"/>
          <w:bCs/>
          <w:color w:val="000000" w:themeColor="text1"/>
          <w:sz w:val="32"/>
          <w:szCs w:val="32"/>
          <w:lang w:eastAsia="zh-CN"/>
          <w14:textFill>
            <w14:solidFill>
              <w14:schemeClr w14:val="tx1"/>
            </w14:solidFill>
          </w14:textFill>
        </w:rPr>
        <w:t>特克斯县政务服务中心（改扩建）</w:t>
      </w:r>
      <w:r>
        <w:rPr>
          <w:rFonts w:hint="eastAsia" w:ascii="仿宋_GB2312"/>
          <w:bCs/>
          <w:color w:val="000000" w:themeColor="text1"/>
          <w:sz w:val="32"/>
          <w:szCs w:val="32"/>
          <w14:textFill>
            <w14:solidFill>
              <w14:schemeClr w14:val="tx1"/>
            </w14:solidFill>
          </w14:textFill>
        </w:rPr>
        <w:t>评价，评价核心为专项资金的支出完成情况和效果。</w:t>
      </w:r>
    </w:p>
    <w:p>
      <w:pPr>
        <w:spacing w:line="360" w:lineRule="auto"/>
      </w:pPr>
    </w:p>
    <w:p>
      <w:pPr>
        <w:pStyle w:val="3"/>
        <w:spacing w:line="360" w:lineRule="auto"/>
        <w:rPr>
          <w:rFonts w:ascii="仿宋_GB2312" w:eastAsia="仿宋_GB2312"/>
          <w:b w:val="0"/>
          <w:bCs w:val="0"/>
        </w:rPr>
      </w:pPr>
      <w:bookmarkStart w:id="5" w:name="_Toc68703832"/>
      <w:r>
        <w:rPr>
          <w:rFonts w:hint="eastAsia" w:ascii="仿宋_GB2312" w:eastAsia="仿宋_GB2312"/>
          <w:b w:val="0"/>
          <w:bCs w:val="0"/>
        </w:rPr>
        <w:t>（二）绩效评价原则、评价指标体系、评价方法、评价标准等。</w:t>
      </w:r>
      <w:bookmarkEnd w:id="5"/>
    </w:p>
    <w:p>
      <w:pPr>
        <w:spacing w:line="360" w:lineRule="auto"/>
      </w:pPr>
      <w:r>
        <w:rPr>
          <w:rFonts w:hint="eastAsia"/>
        </w:rPr>
        <w:t>1、绩效评价原则</w:t>
      </w:r>
    </w:p>
    <w:p>
      <w:pPr>
        <w:spacing w:line="600" w:lineRule="exact"/>
        <w:ind w:firstLine="640"/>
        <w:rPr>
          <w:rFonts w:ascii="仿宋_GB2312"/>
          <w:bCs/>
          <w:color w:val="000000" w:themeColor="text1"/>
          <w:sz w:val="32"/>
          <w:szCs w:val="32"/>
          <w14:textFill>
            <w14:solidFill>
              <w14:schemeClr w14:val="tx1"/>
            </w14:solidFill>
          </w14:textFill>
        </w:rPr>
      </w:pPr>
      <w:r>
        <w:rPr>
          <w:rFonts w:hint="eastAsia" w:ascii="仿宋_GB2312"/>
          <w:bCs/>
          <w:color w:val="000000" w:themeColor="text1"/>
          <w:sz w:val="32"/>
          <w:szCs w:val="32"/>
          <w14:textFill>
            <w14:solidFill>
              <w14:schemeClr w14:val="tx1"/>
            </w14:solidFill>
          </w14:textFill>
        </w:rPr>
        <w:t>（一）科学公正。本次项目支出绩效评价运用科学合理的方法，按照规范的程序，对项目绩效进行客观、公正的反映。</w:t>
      </w:r>
    </w:p>
    <w:p>
      <w:pPr>
        <w:spacing w:line="600" w:lineRule="exact"/>
        <w:ind w:firstLine="640"/>
        <w:rPr>
          <w:rFonts w:ascii="仿宋_GB2312"/>
          <w:bCs/>
          <w:color w:val="000000" w:themeColor="text1"/>
          <w:sz w:val="32"/>
          <w:szCs w:val="32"/>
          <w14:textFill>
            <w14:solidFill>
              <w14:schemeClr w14:val="tx1"/>
            </w14:solidFill>
          </w14:textFill>
        </w:rPr>
      </w:pPr>
      <w:r>
        <w:rPr>
          <w:rFonts w:hint="eastAsia" w:ascii="仿宋_GB2312"/>
          <w:bCs/>
          <w:color w:val="000000" w:themeColor="text1"/>
          <w:sz w:val="32"/>
          <w:szCs w:val="32"/>
          <w14:textFill>
            <w14:solidFill>
              <w14:schemeClr w14:val="tx1"/>
            </w14:solidFill>
          </w14:textFill>
        </w:rPr>
        <w:t>（二）统筹兼顾。本次项目支出绩效评价由本单位自主实施，即“谁支出、谁自评”。</w:t>
      </w:r>
    </w:p>
    <w:p>
      <w:pPr>
        <w:spacing w:line="600" w:lineRule="exact"/>
        <w:ind w:firstLine="640"/>
        <w:rPr>
          <w:rFonts w:ascii="仿宋_GB2312"/>
          <w:bCs/>
          <w:color w:val="000000" w:themeColor="text1"/>
          <w:sz w:val="32"/>
          <w:szCs w:val="32"/>
          <w14:textFill>
            <w14:solidFill>
              <w14:schemeClr w14:val="tx1"/>
            </w14:solidFill>
          </w14:textFill>
        </w:rPr>
      </w:pPr>
      <w:r>
        <w:rPr>
          <w:rFonts w:hint="eastAsia" w:ascii="仿宋_GB2312"/>
          <w:bCs/>
          <w:color w:val="000000" w:themeColor="text1"/>
          <w:sz w:val="32"/>
          <w:szCs w:val="32"/>
          <w14:textFill>
            <w14:solidFill>
              <w14:schemeClr w14:val="tx1"/>
            </w14:solidFill>
          </w14:textFill>
        </w:rPr>
        <w:t>（三）激励约束。本次项目支出绩效评价结果与预算安排、政策调整、改进管理实质性挂钩，体现奖优罚劣和激励相容导向，有效要安排、低效要压减、无效要问责。</w:t>
      </w:r>
    </w:p>
    <w:p>
      <w:pPr>
        <w:spacing w:line="600" w:lineRule="exact"/>
        <w:ind w:firstLine="640"/>
        <w:rPr>
          <w:rFonts w:ascii="仿宋_GB2312"/>
          <w:bCs/>
          <w:color w:val="000000" w:themeColor="text1"/>
          <w:sz w:val="32"/>
          <w:szCs w:val="32"/>
          <w14:textFill>
            <w14:solidFill>
              <w14:schemeClr w14:val="tx1"/>
            </w14:solidFill>
          </w14:textFill>
        </w:rPr>
      </w:pPr>
      <w:r>
        <w:rPr>
          <w:rFonts w:hint="eastAsia" w:ascii="仿宋_GB2312"/>
          <w:bCs/>
          <w:color w:val="000000" w:themeColor="text1"/>
          <w:sz w:val="32"/>
          <w:szCs w:val="32"/>
          <w14:textFill>
            <w14:solidFill>
              <w14:schemeClr w14:val="tx1"/>
            </w14:solidFill>
          </w14:textFill>
        </w:rPr>
        <w:t>（四）公开透明。本次项目支出绩效评价结果已依法依规公开在</w:t>
      </w:r>
      <w:r>
        <w:rPr>
          <w:rFonts w:hint="eastAsia" w:ascii="仿宋_GB2312"/>
          <w:bCs/>
          <w:color w:val="000000" w:themeColor="text1"/>
          <w:sz w:val="32"/>
          <w:szCs w:val="32"/>
          <w:lang w:eastAsia="zh-CN"/>
          <w14:textFill>
            <w14:solidFill>
              <w14:schemeClr w14:val="tx1"/>
            </w14:solidFill>
          </w14:textFill>
        </w:rPr>
        <w:t>特克斯县人民政府</w:t>
      </w:r>
      <w:r>
        <w:rPr>
          <w:rFonts w:hint="eastAsia" w:ascii="仿宋_GB2312"/>
          <w:bCs/>
          <w:color w:val="000000" w:themeColor="text1"/>
          <w:sz w:val="32"/>
          <w:szCs w:val="32"/>
          <w14:textFill>
            <w14:solidFill>
              <w14:schemeClr w14:val="tx1"/>
            </w14:solidFill>
          </w14:textFill>
        </w:rPr>
        <w:t>网站上，并自觉接受社会监督。</w:t>
      </w:r>
    </w:p>
    <w:p>
      <w:pPr>
        <w:spacing w:line="360" w:lineRule="auto"/>
      </w:pPr>
    </w:p>
    <w:p>
      <w:pPr>
        <w:spacing w:line="360" w:lineRule="auto"/>
      </w:pPr>
      <w:r>
        <w:rPr>
          <w:rFonts w:hint="eastAsia"/>
        </w:rPr>
        <w:t>2、评价指标体系（附表说明）</w:t>
      </w:r>
    </w:p>
    <w:p>
      <w:pPr>
        <w:pStyle w:val="3"/>
        <w:spacing w:before="0" w:after="0" w:line="240" w:lineRule="auto"/>
        <w:jc w:val="center"/>
        <w:rPr>
          <w:rFonts w:ascii="Times New Roman" w:hAnsi="Times New Roman" w:eastAsia="仿宋_GB2312" w:cs="Times New Roman"/>
          <w:b w:val="0"/>
          <w:bCs w:val="0"/>
          <w:sz w:val="30"/>
          <w:szCs w:val="24"/>
        </w:rPr>
      </w:pPr>
      <w:r>
        <w:rPr>
          <w:rFonts w:hint="eastAsia" w:ascii="Times New Roman" w:hAnsi="Times New Roman" w:eastAsia="仿宋_GB2312" w:cs="Times New Roman"/>
          <w:b w:val="0"/>
          <w:bCs w:val="0"/>
          <w:sz w:val="30"/>
          <w:szCs w:val="24"/>
        </w:rPr>
        <w:t>特克斯县政务服务中心专项经费项目支出绩效评价指标体系</w:t>
      </w:r>
    </w:p>
    <w:tbl>
      <w:tblPr>
        <w:tblStyle w:val="6"/>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shd w:val="clear" w:color="000000"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auto"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8</w:t>
            </w:r>
          </w:p>
        </w:tc>
        <w:tc>
          <w:tcPr>
            <w:tcW w:w="874" w:type="dxa"/>
            <w:shd w:val="clear" w:color="auto" w:fill="FFFFFF"/>
          </w:tcPr>
          <w:p>
            <w:pPr>
              <w:spacing w:line="600" w:lineRule="auto"/>
              <w:jc w:val="center"/>
              <w:rPr>
                <w:rFonts w:hint="eastAsia" w:eastAsia="仿宋_GB2312"/>
                <w:lang w:val="en-US" w:eastAsia="zh-CN"/>
              </w:rPr>
            </w:pPr>
            <w:r>
              <w:rPr>
                <w:rFonts w:hint="eastAsia"/>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8</w:t>
            </w:r>
          </w:p>
        </w:tc>
        <w:tc>
          <w:tcPr>
            <w:tcW w:w="874" w:type="dxa"/>
            <w:shd w:val="clear" w:color="000000" w:fill="FFFFFF"/>
          </w:tcPr>
          <w:p>
            <w:pPr>
              <w:spacing w:line="600" w:lineRule="auto"/>
              <w:jc w:val="center"/>
              <w:rPr>
                <w:rFonts w:hint="eastAsia" w:eastAsia="仿宋_GB2312"/>
                <w:lang w:val="en-US" w:eastAsia="zh-CN"/>
              </w:rPr>
            </w:pPr>
            <w:r>
              <w:rPr>
                <w:rFonts w:hint="eastAsia"/>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p>
        </w:tc>
        <w:tc>
          <w:tcPr>
            <w:tcW w:w="874" w:type="dxa"/>
            <w:shd w:val="clear" w:color="auto" w:fill="FFFFFF"/>
            <w:vAlign w:val="center"/>
          </w:tcPr>
          <w:p>
            <w:pPr>
              <w:widowControl/>
              <w:spacing w:line="0" w:lineRule="atLeast"/>
              <w:jc w:val="center"/>
              <w:rPr>
                <w:rFonts w:ascii="宋体" w:hAnsi="宋体" w:cs="宋体"/>
                <w:color w:val="000000"/>
                <w:kern w:val="0"/>
                <w:sz w:val="22"/>
              </w:rPr>
            </w:pPr>
          </w:p>
        </w:tc>
      </w:tr>
    </w:tbl>
    <w:p>
      <w:pPr>
        <w:sectPr>
          <w:pgSz w:w="11906" w:h="16838"/>
          <w:pgMar w:top="1928" w:right="1531" w:bottom="1701" w:left="1531" w:header="737" w:footer="851" w:gutter="0"/>
          <w:cols w:space="720" w:num="1"/>
          <w:docGrid w:type="lines" w:linePitch="408" w:charSpace="0"/>
        </w:sectPr>
      </w:pPr>
    </w:p>
    <w:p>
      <w:pPr>
        <w:spacing w:line="360" w:lineRule="auto"/>
      </w:pPr>
      <w:r>
        <w:rPr>
          <w:rFonts w:hint="eastAsia"/>
        </w:rPr>
        <w:t>3、评价方法</w:t>
      </w:r>
    </w:p>
    <w:p>
      <w:pPr>
        <w:spacing w:line="360" w:lineRule="auto"/>
        <w:ind w:firstLine="640" w:firstLineChars="200"/>
        <w:rPr>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本次项目支出绩效自评采用成本效益分析法方法，原因是：</w:t>
      </w:r>
    </w:p>
    <w:p>
      <w:pPr>
        <w:spacing w:line="360" w:lineRule="auto"/>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成本-效益分析作为一种经济决策方法，将成本费用分析法运用于政府部门的计划决策之中，以寻求在投资决策上如何以最小的成本获得最大的收益。</w:t>
      </w: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4、评价标准</w:t>
      </w:r>
    </w:p>
    <w:p>
      <w:pPr>
        <w:spacing w:line="360" w:lineRule="auto"/>
        <w:ind w:firstLine="640" w:firstLineChars="200"/>
        <w:rPr>
          <w:rFonts w:hint="eastAsia" w:eastAsia="仿宋_GB2312"/>
          <w:bCs/>
          <w:color w:val="000000" w:themeColor="text1"/>
          <w:sz w:val="32"/>
          <w:szCs w:val="32"/>
          <w:highlight w:val="none"/>
          <w:lang w:eastAsia="zh-CN"/>
          <w14:textFill>
            <w14:solidFill>
              <w14:schemeClr w14:val="tx1"/>
            </w14:solidFill>
          </w14:textFill>
        </w:rPr>
      </w:pPr>
      <w:r>
        <w:rPr>
          <w:rFonts w:hint="eastAsia"/>
          <w:bCs/>
          <w:color w:val="000000" w:themeColor="text1"/>
          <w:sz w:val="32"/>
          <w:szCs w:val="32"/>
          <w:highlight w:val="none"/>
          <w14:textFill>
            <w14:solidFill>
              <w14:schemeClr w14:val="tx1"/>
            </w14:solidFill>
          </w14:textFill>
        </w:rPr>
        <w:t>本次项目支出绩效自评采用计划标准，原因是：</w:t>
      </w:r>
      <w:r>
        <w:rPr>
          <w:rFonts w:hint="eastAsia"/>
          <w:bCs/>
          <w:color w:val="000000" w:themeColor="text1"/>
          <w:sz w:val="32"/>
          <w:szCs w:val="32"/>
          <w:highlight w:val="none"/>
          <w:lang w:val="en-US" w:eastAsia="zh-CN"/>
          <w14:textFill>
            <w14:solidFill>
              <w14:schemeClr w14:val="tx1"/>
            </w14:solidFill>
          </w14:textFill>
        </w:rPr>
        <w:t>本项目需采购99台电脑，335套办公用具，改造2359.1㎡大厅，所需费用较多，整体环节公开透明，因此</w:t>
      </w:r>
      <w:r>
        <w:rPr>
          <w:rFonts w:hint="eastAsia"/>
          <w:bCs/>
          <w:color w:val="000000" w:themeColor="text1"/>
          <w:sz w:val="32"/>
          <w:szCs w:val="32"/>
          <w:highlight w:val="none"/>
          <w:lang w:eastAsia="zh-CN"/>
          <w14:textFill>
            <w14:solidFill>
              <w14:schemeClr w14:val="tx1"/>
            </w14:solidFill>
          </w14:textFill>
        </w:rPr>
        <w:t>计划标准符合此次项目制定标准。</w:t>
      </w:r>
    </w:p>
    <w:p>
      <w:pPr>
        <w:pStyle w:val="3"/>
        <w:spacing w:line="360" w:lineRule="auto"/>
        <w:rPr>
          <w:rFonts w:ascii="仿宋_GB2312" w:eastAsia="仿宋_GB2312"/>
          <w:b w:val="0"/>
          <w:bCs w:val="0"/>
        </w:rPr>
      </w:pPr>
      <w:bookmarkStart w:id="6" w:name="_Toc68703833"/>
      <w:r>
        <w:rPr>
          <w:rFonts w:hint="eastAsia" w:ascii="仿宋_GB2312" w:eastAsia="仿宋_GB2312"/>
          <w:b w:val="0"/>
          <w:bCs w:val="0"/>
        </w:rPr>
        <w:t>（三）绩效评价工作过程。</w:t>
      </w:r>
      <w:bookmarkEnd w:id="6"/>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1、前期准备：</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02</w:t>
      </w: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年</w:t>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 xml:space="preserve">月 </w:t>
      </w:r>
      <w:r>
        <w:rPr>
          <w:rFonts w:hint="eastAsia"/>
          <w:color w:val="000000" w:themeColor="text1"/>
          <w:lang w:val="en-US" w:eastAsia="zh-CN"/>
          <w14:textFill>
            <w14:solidFill>
              <w14:schemeClr w14:val="tx1"/>
            </w14:solidFill>
          </w14:textFill>
        </w:rPr>
        <w:t>1</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日，</w:t>
      </w:r>
      <w:r>
        <w:rPr>
          <w:rFonts w:hint="eastAsia" w:ascii="仿宋_GB2312"/>
          <w:color w:val="000000" w:themeColor="text1"/>
          <w:lang w:val="zh-CN"/>
          <w14:textFill>
            <w14:solidFill>
              <w14:schemeClr w14:val="tx1"/>
            </w14:solidFill>
          </w14:textFill>
        </w:rPr>
        <w:t>开始前期准备工作，评价组通过前期调研</w:t>
      </w:r>
      <w:r>
        <w:rPr>
          <w:rFonts w:hint="eastAsia"/>
          <w:color w:val="000000" w:themeColor="text1"/>
          <w14:textFill>
            <w14:solidFill>
              <w14:schemeClr w14:val="tx1"/>
            </w14:solidFill>
          </w14:textFill>
        </w:rPr>
        <w:t>确定绩效评价对象和范围，</w:t>
      </w:r>
      <w:r>
        <w:rPr>
          <w:rFonts w:hint="eastAsia" w:ascii="仿宋_GB2312"/>
          <w:color w:val="000000" w:themeColor="text1"/>
          <w:lang w:val="zh-CN"/>
          <w14:textFill>
            <w14:solidFill>
              <w14:schemeClr w14:val="tx1"/>
            </w14:solidFill>
          </w14:textFill>
        </w:rPr>
        <w:t>确定了评价的目的、方法以及评价的原则，根据项目的内容和特征制定了评价指标体系及评价标准以及评价实施方案，修正并确定所需资料清单，最终确定</w:t>
      </w:r>
      <w:r>
        <w:rPr>
          <w:rFonts w:hint="eastAsia"/>
          <w:color w:val="000000" w:themeColor="text1"/>
          <w14:textFill>
            <w14:solidFill>
              <w14:schemeClr w14:val="tx1"/>
            </w14:solidFill>
          </w14:textFill>
        </w:rPr>
        <w:t>绩效评价工作方案；</w:t>
      </w:r>
    </w:p>
    <w:p>
      <w:pPr>
        <w:spacing w:line="360" w:lineRule="auto"/>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、组织实施：</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02</w:t>
      </w: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年月</w:t>
      </w: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日-</w:t>
      </w:r>
      <w:r>
        <w:rPr>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月</w:t>
      </w:r>
      <w:r>
        <w:rPr>
          <w:rFonts w:hint="eastAsia"/>
          <w:color w:val="000000" w:themeColor="text1"/>
          <w:lang w:val="en-US" w:eastAsia="zh-CN"/>
          <w14:textFill>
            <w14:solidFill>
              <w14:schemeClr w14:val="tx1"/>
            </w14:solidFill>
          </w14:textFill>
        </w:rPr>
        <w:t>15</w:t>
      </w:r>
      <w:r>
        <w:rPr>
          <w:rFonts w:hint="eastAsia"/>
          <w:color w:val="000000" w:themeColor="text1"/>
          <w14:textFill>
            <w14:solidFill>
              <w14:schemeClr w14:val="tx1"/>
            </w14:solidFill>
          </w14:textFill>
        </w:rPr>
        <w:t>日，</w:t>
      </w:r>
      <w:r>
        <w:rPr>
          <w:rFonts w:hint="eastAsia" w:ascii="仿宋_GB2312"/>
          <w:color w:val="000000" w:themeColor="text1"/>
          <w14:textFill>
            <w14:solidFill>
              <w14:schemeClr w14:val="tx1"/>
            </w14:solidFill>
          </w14:textFill>
        </w:rPr>
        <w:t>评价工作进入实施阶段，评价组</w:t>
      </w:r>
      <w:r>
        <w:rPr>
          <w:rFonts w:hint="eastAsia"/>
          <w:color w:val="000000" w:themeColor="text1"/>
          <w14:textFill>
            <w14:solidFill>
              <w14:schemeClr w14:val="tx1"/>
            </w14:solidFill>
          </w14:textFill>
        </w:rPr>
        <w:t>收集绩效评价相关数据资料，进行现场调研、座谈；并</w:t>
      </w:r>
      <w:r>
        <w:rPr>
          <w:rFonts w:hint="eastAsia" w:ascii="仿宋_GB2312"/>
          <w:color w:val="000000" w:themeColor="text1"/>
          <w14:textFill>
            <w14:solidFill>
              <w14:schemeClr w14:val="tx1"/>
            </w14:solidFill>
          </w14:textFill>
        </w:rPr>
        <w:t>与项目实施负责人沟通，了解资金的内容、操作流程、管理机制、资金使用方向等情况</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分析</w:t>
      </w:r>
      <w:r>
        <w:rPr>
          <w:rFonts w:hint="eastAsia"/>
          <w:color w:val="000000" w:themeColor="text1"/>
          <w14:textFill>
            <w14:solidFill>
              <w14:schemeClr w14:val="tx1"/>
            </w14:solidFill>
          </w14:textFill>
        </w:rPr>
        <w:t>形成初步结论。</w:t>
      </w:r>
      <w:r>
        <w:rPr>
          <w:color w:val="000000" w:themeColor="text1"/>
          <w14:textFill>
            <w14:solidFill>
              <w14:schemeClr w14:val="tx1"/>
            </w14:solidFill>
          </w14:textFill>
        </w:rPr>
        <w:t xml:space="preserve"> </w:t>
      </w: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3、分析评价：</w:t>
      </w:r>
    </w:p>
    <w:p>
      <w:pPr>
        <w:spacing w:line="360" w:lineRule="auto"/>
        <w:ind w:firstLine="600" w:firstLineChars="200"/>
        <w:rPr>
          <w:rFonts w:ascii="仿宋_GB2312"/>
          <w:color w:val="000000" w:themeColor="text1"/>
          <w14:textFill>
            <w14:solidFill>
              <w14:schemeClr w14:val="tx1"/>
            </w14:solidFill>
          </w14:textFill>
        </w:rPr>
      </w:pPr>
      <w:r>
        <w:rPr>
          <w:rFonts w:hint="eastAsia"/>
          <w:color w:val="000000" w:themeColor="text1"/>
          <w14:textFill>
            <w14:solidFill>
              <w14:schemeClr w14:val="tx1"/>
            </w14:solidFill>
          </w14:textFill>
        </w:rPr>
        <w:t>202</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年</w:t>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月</w:t>
      </w:r>
      <w:r>
        <w:rPr>
          <w:rFonts w:hint="eastAsia"/>
          <w:color w:val="000000" w:themeColor="text1"/>
          <w:lang w:val="en-US" w:eastAsia="zh-CN"/>
          <w14:textFill>
            <w14:solidFill>
              <w14:schemeClr w14:val="tx1"/>
            </w14:solidFill>
          </w14:textFill>
        </w:rPr>
        <w:t>15</w:t>
      </w:r>
      <w:r>
        <w:rPr>
          <w:rFonts w:hint="eastAsia"/>
          <w:color w:val="000000" w:themeColor="text1"/>
          <w14:textFill>
            <w14:solidFill>
              <w14:schemeClr w14:val="tx1"/>
            </w14:solidFill>
          </w14:textFill>
        </w:rPr>
        <w:t>日-</w:t>
      </w:r>
      <w:r>
        <w:rPr>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月</w:t>
      </w:r>
      <w:r>
        <w:rPr>
          <w:rFonts w:hint="eastAsia"/>
          <w:color w:val="000000" w:themeColor="text1"/>
          <w:lang w:val="en-US" w:eastAsia="zh-CN"/>
          <w14:textFill>
            <w14:solidFill>
              <w14:schemeClr w14:val="tx1"/>
            </w14:solidFill>
          </w14:textFill>
        </w:rPr>
        <w:t>31</w:t>
      </w:r>
      <w:r>
        <w:rPr>
          <w:rFonts w:hint="eastAsia"/>
          <w:color w:val="000000" w:themeColor="text1"/>
          <w14:textFill>
            <w14:solidFill>
              <w14:schemeClr w14:val="tx1"/>
            </w14:solidFill>
          </w14:textFill>
        </w:rPr>
        <w:t>日，评价组按照绩效评价的原则和规范，对取得的资料进行审查核实，对采集的数据进行分析，按照绩效评价指标评分表逐项进行打分、分析，汇总各方评价结果，综合分析并形成评价结论。</w:t>
      </w:r>
    </w:p>
    <w:p>
      <w:pPr>
        <w:pStyle w:val="2"/>
        <w:spacing w:line="360" w:lineRule="auto"/>
        <w:rPr>
          <w:rFonts w:ascii="宋体" w:hAnsi="宋体" w:eastAsia="宋体"/>
          <w:sz w:val="32"/>
          <w:szCs w:val="32"/>
        </w:rPr>
      </w:pPr>
      <w:bookmarkStart w:id="7" w:name="_Toc68703834"/>
      <w:r>
        <w:rPr>
          <w:rFonts w:hint="eastAsia" w:ascii="宋体" w:hAnsi="宋体" w:eastAsia="宋体"/>
          <w:sz w:val="32"/>
          <w:szCs w:val="32"/>
        </w:rPr>
        <w:t>三、综合评价情况及评价结论</w:t>
      </w:r>
      <w:bookmarkEnd w:id="7"/>
    </w:p>
    <w:p>
      <w:pPr>
        <w:pStyle w:val="3"/>
        <w:spacing w:line="360" w:lineRule="auto"/>
        <w:rPr>
          <w:rFonts w:ascii="仿宋_GB2312" w:eastAsia="仿宋_GB2312"/>
          <w:b w:val="0"/>
          <w:bCs w:val="0"/>
        </w:rPr>
      </w:pPr>
      <w:bookmarkStart w:id="8" w:name="_Toc68703835"/>
      <w:r>
        <w:rPr>
          <w:rFonts w:hint="eastAsia" w:ascii="仿宋_GB2312" w:eastAsia="仿宋_GB2312"/>
          <w:b w:val="0"/>
          <w:bCs w:val="0"/>
        </w:rPr>
        <w:t>（一）综合评价情况</w:t>
      </w:r>
      <w:bookmarkEnd w:id="8"/>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本项目严格按照</w:t>
      </w:r>
      <w:r>
        <w:rPr>
          <w:rFonts w:hint="eastAsia" w:ascii="仿宋_GB2312"/>
          <w:bCs/>
          <w:color w:val="000000" w:themeColor="text1"/>
          <w:kern w:val="0"/>
          <w:sz w:val="32"/>
          <w:szCs w:val="32"/>
          <w14:textFill>
            <w14:solidFill>
              <w14:schemeClr w14:val="tx1"/>
            </w14:solidFill>
          </w14:textFill>
        </w:rPr>
        <w:t>科学公正、统筹兼顾、激励约束、公开透明的</w:t>
      </w:r>
      <w:r>
        <w:rPr>
          <w:rFonts w:hint="eastAsia"/>
          <w:color w:val="000000" w:themeColor="text1"/>
          <w14:textFill>
            <w14:solidFill>
              <w14:schemeClr w14:val="tx1"/>
            </w14:solidFill>
          </w14:textFill>
        </w:rPr>
        <w:t>绩效评价原则，采用</w:t>
      </w:r>
      <w:r>
        <w:rPr>
          <w:rFonts w:hint="eastAsia"/>
          <w:bCs/>
          <w:color w:val="000000" w:themeColor="text1"/>
          <w:sz w:val="32"/>
          <w:szCs w:val="32"/>
          <w14:textFill>
            <w14:solidFill>
              <w14:schemeClr w14:val="tx1"/>
            </w14:solidFill>
          </w14:textFill>
        </w:rPr>
        <w:t>成本效益分析法</w:t>
      </w:r>
      <w:r>
        <w:rPr>
          <w:rFonts w:hint="eastAsia"/>
          <w:color w:val="000000" w:themeColor="text1"/>
          <w14:textFill>
            <w14:solidFill>
              <w14:schemeClr w14:val="tx1"/>
            </w14:solidFill>
          </w14:textFill>
        </w:rPr>
        <w:t>，坚持</w:t>
      </w:r>
      <w:r>
        <w:rPr>
          <w:rFonts w:hint="eastAsia"/>
          <w:color w:val="000000" w:themeColor="text1"/>
          <w:lang w:val="en-US" w:eastAsia="zh-CN"/>
          <w14:textFill>
            <w14:solidFill>
              <w14:schemeClr w14:val="tx1"/>
            </w14:solidFill>
          </w14:textFill>
        </w:rPr>
        <w:t>计划标准</w:t>
      </w:r>
      <w:r>
        <w:rPr>
          <w:rFonts w:hint="eastAsia"/>
          <w:color w:val="000000" w:themeColor="text1"/>
          <w14:textFill>
            <w14:solidFill>
              <w14:schemeClr w14:val="tx1"/>
            </w14:solidFill>
          </w14:textFill>
        </w:rPr>
        <w:t>对本项目的立项、项绩效目标、资金投入、资金管理、组织实施、产出数量、产出质量、产出时效、产出成本、项目效益进行了综合评价。</w:t>
      </w:r>
    </w:p>
    <w:p>
      <w:pPr>
        <w:spacing w:line="360" w:lineRule="auto"/>
        <w:ind w:firstLine="600" w:firstLineChars="200"/>
        <w:jc w:val="center"/>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特克斯县政务服务中心改扩建</w:t>
      </w:r>
      <w:r>
        <w:rPr>
          <w:rFonts w:hint="eastAsia"/>
          <w:color w:val="000000" w:themeColor="text1"/>
          <w14:textFill>
            <w14:solidFill>
              <w14:schemeClr w14:val="tx1"/>
            </w14:solidFill>
          </w14:textFill>
        </w:rPr>
        <w:t>项目评价得分情况</w:t>
      </w:r>
    </w:p>
    <w:tbl>
      <w:tblPr>
        <w:tblStyle w:val="6"/>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24</w:t>
            </w:r>
          </w:p>
        </w:tc>
        <w:tc>
          <w:tcPr>
            <w:tcW w:w="227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lang w:val="en-US" w:eastAsia="zh-CN"/>
              </w:rPr>
              <w:t>24</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16</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color w:val="000000"/>
                <w:sz w:val="22"/>
                <w:lang w:val="en-US"/>
              </w:rPr>
            </w:pPr>
            <w:r>
              <w:rPr>
                <w:rFonts w:hint="eastAsia"/>
                <w:color w:val="000000"/>
                <w:sz w:val="22"/>
                <w:lang w:val="en-US" w:eastAsia="zh-CN"/>
              </w:rPr>
              <w:t>16</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eastAsia"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b/>
                <w:bCs/>
                <w:color w:val="000000"/>
                <w:sz w:val="22"/>
              </w:rPr>
            </w:pPr>
            <w:r>
              <w:rPr>
                <w:rFonts w:hint="eastAsia"/>
                <w:b/>
                <w:bCs/>
                <w:color w:val="000000"/>
                <w:sz w:val="22"/>
                <w:lang w:val="en-US" w:eastAsia="zh-CN"/>
              </w:rPr>
              <w:t>100</w:t>
            </w:r>
          </w:p>
        </w:tc>
      </w:tr>
    </w:tbl>
    <w:p>
      <w:pPr>
        <w:pStyle w:val="3"/>
        <w:spacing w:line="360" w:lineRule="auto"/>
        <w:rPr>
          <w:rFonts w:ascii="仿宋_GB2312" w:eastAsia="仿宋_GB2312"/>
          <w:b w:val="0"/>
          <w:bCs w:val="0"/>
        </w:rPr>
      </w:pPr>
      <w:bookmarkStart w:id="9" w:name="_Toc68703836"/>
      <w:r>
        <w:rPr>
          <w:rFonts w:hint="eastAsia" w:ascii="仿宋_GB2312" w:eastAsia="仿宋_GB2312"/>
          <w:b w:val="0"/>
          <w:bCs w:val="0"/>
        </w:rPr>
        <w:t>（二）评价结论</w:t>
      </w:r>
      <w:bookmarkEnd w:id="9"/>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本项目的项目决策、项目过程、项目产出、项目效益均达到了预期要求，最终得分为100分，项目达成年度指标。</w:t>
      </w:r>
    </w:p>
    <w:p>
      <w:pPr>
        <w:spacing w:line="360" w:lineRule="auto"/>
        <w:ind w:firstLine="600" w:firstLineChars="200"/>
        <w:rPr>
          <w:color w:val="FF0000"/>
        </w:rPr>
      </w:pPr>
    </w:p>
    <w:p>
      <w:pPr>
        <w:pStyle w:val="2"/>
        <w:spacing w:line="360" w:lineRule="auto"/>
        <w:rPr>
          <w:rFonts w:ascii="宋体" w:hAnsi="宋体" w:eastAsia="宋体"/>
          <w:sz w:val="32"/>
          <w:szCs w:val="32"/>
        </w:rPr>
      </w:pPr>
      <w:bookmarkStart w:id="10" w:name="_Toc68703837"/>
      <w:r>
        <w:rPr>
          <w:rFonts w:hint="eastAsia" w:ascii="宋体" w:hAnsi="宋体" w:eastAsia="宋体"/>
          <w:sz w:val="32"/>
          <w:szCs w:val="32"/>
        </w:rPr>
        <w:t>四、绩效评价指标分析</w:t>
      </w:r>
      <w:bookmarkEnd w:id="10"/>
    </w:p>
    <w:p>
      <w:pPr>
        <w:pStyle w:val="3"/>
        <w:spacing w:line="360" w:lineRule="auto"/>
        <w:rPr>
          <w:rFonts w:ascii="仿宋_GB2312" w:eastAsia="仿宋_GB2312"/>
          <w:b w:val="0"/>
          <w:bCs w:val="0"/>
        </w:rPr>
      </w:pPr>
      <w:bookmarkStart w:id="11" w:name="_Toc68703838"/>
      <w:r>
        <w:rPr>
          <w:rFonts w:hint="eastAsia" w:ascii="仿宋_GB2312" w:eastAsia="仿宋_GB2312"/>
          <w:b w:val="0"/>
          <w:bCs w:val="0"/>
        </w:rPr>
        <w:t>（一）项目决策情况。</w:t>
      </w:r>
      <w:bookmarkEnd w:id="11"/>
    </w:p>
    <w:p>
      <w:pPr>
        <w:spacing w:line="360" w:lineRule="auto"/>
        <w:rPr>
          <w:color w:val="auto"/>
        </w:rPr>
      </w:pPr>
      <w:r>
        <w:rPr>
          <w:rFonts w:hint="eastAsia"/>
        </w:rPr>
        <w:t>1</w:t>
      </w:r>
      <w:r>
        <w:rPr>
          <w:rFonts w:hint="eastAsia"/>
          <w:color w:val="auto"/>
        </w:rPr>
        <w:t>、立项依据充分性</w:t>
      </w:r>
    </w:p>
    <w:p>
      <w:pPr>
        <w:spacing w:line="360" w:lineRule="auto"/>
        <w:ind w:firstLine="600" w:firstLineChars="200"/>
        <w:rPr>
          <w:color w:val="auto"/>
        </w:rPr>
      </w:pPr>
      <w:r>
        <w:rPr>
          <w:rFonts w:hint="eastAsia"/>
          <w:color w:val="auto"/>
        </w:rPr>
        <w:t>项目立项符合国家法律法规、国民经济发展规划和相关政策；</w:t>
      </w:r>
      <w:r>
        <w:rPr>
          <w:rFonts w:hint="eastAsia" w:ascii="Times New Roman" w:hAnsi="Times New Roman" w:cs="Times New Roman"/>
          <w:color w:val="auto"/>
          <w:lang w:val="en-US" w:eastAsia="zh-CN"/>
        </w:rPr>
        <w:t>为贯彻落实自治区党委“1+3”工作部署和疫情防控常态化要求，持续深化和推进“放管服”改革、“最多跑一次”的目标任务，聚力重点领域和关键环节，打通“堵点”、破解“痛点”、攻克“难点”，进一步优化提升营商环境，打造</w:t>
      </w:r>
      <w:r>
        <w:rPr>
          <w:rFonts w:hint="eastAsia" w:ascii="Times New Roman" w:hAnsi="Times New Roman" w:cs="Times New Roman"/>
          <w:color w:val="auto"/>
          <w:lang w:eastAsia="zh-CN"/>
        </w:rPr>
        <w:t>集成办理“一站式”为企服务窗口，</w:t>
      </w:r>
      <w:r>
        <w:rPr>
          <w:rFonts w:hint="eastAsia" w:ascii="Times New Roman" w:hAnsi="Times New Roman" w:cs="Times New Roman"/>
          <w:color w:val="auto"/>
          <w:lang w:val="en-US" w:eastAsia="zh-CN"/>
        </w:rPr>
        <w:t>推动县域经济高质量发展。同时，为有效解决当前我县行政服务中心大厅面积不足，功能不全的实际情况，经</w:t>
      </w:r>
      <w:r>
        <w:rPr>
          <w:rFonts w:hint="eastAsia" w:ascii="Times New Roman" w:hAnsi="Times New Roman" w:cs="Times New Roman"/>
          <w:color w:val="auto"/>
          <w:lang w:eastAsia="zh-CN"/>
        </w:rPr>
        <w:t>县委常委会议研究决定，拟对特克斯县政务服务中心一、二、三楼进行改（扩）建，</w:t>
      </w:r>
      <w:r>
        <w:rPr>
          <w:rFonts w:hint="eastAsia"/>
          <w:color w:val="auto"/>
        </w:rPr>
        <w:t>项目立项与部门职责范围相符，属于部门履职所需；项目属于公共财政支持范围，符合中央、地方事权支出责任划分原则；项目</w:t>
      </w:r>
      <w:r>
        <w:rPr>
          <w:rFonts w:hint="eastAsia"/>
          <w:color w:val="auto"/>
          <w:lang w:val="en-US" w:eastAsia="zh-CN"/>
        </w:rPr>
        <w:t>未</w:t>
      </w:r>
      <w:r>
        <w:rPr>
          <w:rFonts w:hint="eastAsia"/>
          <w:color w:val="auto"/>
        </w:rPr>
        <w:t>与相关部门同类项目或部门内部相关项目重复。</w:t>
      </w:r>
    </w:p>
    <w:p>
      <w:pPr>
        <w:spacing w:line="360" w:lineRule="auto"/>
        <w:ind w:firstLine="600" w:firstLineChars="200"/>
        <w:rPr>
          <w:rFonts w:hint="eastAsia" w:ascii="Times New Roman" w:hAnsi="Times New Roman" w:cs="Times New Roman"/>
          <w:color w:val="000000" w:themeColor="text1"/>
          <w:lang w:eastAsia="zh-CN"/>
          <w14:textFill>
            <w14:solidFill>
              <w14:schemeClr w14:val="tx1"/>
            </w14:solidFill>
          </w14:textFill>
        </w:rPr>
      </w:pPr>
    </w:p>
    <w:p>
      <w:pPr>
        <w:spacing w:line="360" w:lineRule="auto"/>
      </w:pPr>
      <w:r>
        <w:rPr>
          <w:rFonts w:hint="eastAsia"/>
        </w:rPr>
        <w:t>2、立项程序规范性</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项目按照规定的程序申请设立；审批文件、材料符合相关要求；事前已经过必要的可行性研究、专家论证、风险评估、绩效评估、集体决策。</w:t>
      </w:r>
    </w:p>
    <w:p>
      <w:pPr>
        <w:spacing w:line="360" w:lineRule="auto"/>
      </w:pPr>
      <w:r>
        <w:rPr>
          <w:rFonts w:hint="eastAsia"/>
        </w:rPr>
        <w:t>3、绩效目标合理性</w:t>
      </w:r>
    </w:p>
    <w:p>
      <w:pPr>
        <w:spacing w:line="360" w:lineRule="auto"/>
        <w:ind w:firstLine="600" w:firstLineChars="200"/>
        <w:rPr>
          <w:rFonts w:hint="eastAsia"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特克斯县政务服务中心专项经费项目设立了项目绩效目标，与行政服务大厅改（扩）建后，现共计进驻33个单位（77个窗口），根据疫情防控及“一窗受理”、“一网通办”、一站式服务需求，合理布局，划分区域，目前已达人员不聚集、工作人员不紧张的最优服务状态。二楼项目审批服务大厅已实现只进一扇门“最多跑一次，服务零距离”的“一站式”项目审批最优营商服务环境中心具有相关性，项目的预期产出效益和效果也均能符合正常的业绩水平，并且与预算确定的项目投资额或资金量相匹配。</w:t>
      </w:r>
    </w:p>
    <w:p>
      <w:pPr>
        <w:spacing w:line="360" w:lineRule="auto"/>
      </w:pPr>
      <w:r>
        <w:rPr>
          <w:rFonts w:hint="eastAsia"/>
        </w:rPr>
        <w:t>4、绩效指标明确性</w:t>
      </w:r>
    </w:p>
    <w:p>
      <w:pPr>
        <w:spacing w:line="360" w:lineRule="auto"/>
        <w:ind w:firstLine="600" w:firstLineChars="200"/>
        <w:rPr>
          <w:color w:val="FF0000"/>
        </w:rPr>
      </w:pPr>
      <w:bookmarkStart w:id="12" w:name="_Hlk68699917"/>
      <w:r>
        <w:rPr>
          <w:rFonts w:hint="eastAsia" w:ascii="Times New Roman" w:hAnsi="Times New Roman" w:cs="Times New Roman"/>
          <w:color w:val="000000" w:themeColor="text1"/>
          <w:lang w:eastAsia="zh-CN"/>
          <w14:textFill>
            <w14:solidFill>
              <w14:schemeClr w14:val="tx1"/>
            </w14:solidFill>
          </w14:textFill>
        </w:rPr>
        <w:t>特克斯县政务服务中心（改扩建）</w:t>
      </w:r>
      <w:r>
        <w:rPr>
          <w:rFonts w:hint="eastAsia"/>
          <w:color w:val="000000" w:themeColor="text1"/>
          <w14:textFill>
            <w14:solidFill>
              <w14:schemeClr w14:val="tx1"/>
            </w14:solidFill>
          </w14:textFill>
        </w:rPr>
        <w:t>将项目绩效目标细化分解为具体的绩效指标，一级指标共</w:t>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条，二级指标共</w:t>
      </w:r>
      <w:r>
        <w:rPr>
          <w:rFonts w:hint="eastAsia"/>
          <w:color w:val="000000" w:themeColor="text1"/>
          <w:lang w:val="en-US" w:eastAsia="zh-CN"/>
          <w14:textFill>
            <w14:solidFill>
              <w14:schemeClr w14:val="tx1"/>
            </w14:solidFill>
          </w14:textFill>
        </w:rPr>
        <w:t>7</w:t>
      </w:r>
      <w:r>
        <w:rPr>
          <w:rFonts w:hint="eastAsia"/>
          <w:color w:val="000000" w:themeColor="text1"/>
          <w14:textFill>
            <w14:solidFill>
              <w14:schemeClr w14:val="tx1"/>
            </w14:solidFill>
          </w14:textFill>
        </w:rPr>
        <w:t>条，三级指标共</w:t>
      </w:r>
      <w:r>
        <w:rPr>
          <w:rFonts w:hint="eastAsia"/>
          <w:color w:val="000000" w:themeColor="text1"/>
          <w:lang w:val="en-US" w:eastAsia="zh-CN"/>
          <w14:textFill>
            <w14:solidFill>
              <w14:schemeClr w14:val="tx1"/>
            </w14:solidFill>
          </w14:textFill>
        </w:rPr>
        <w:t>14</w:t>
      </w:r>
      <w:r>
        <w:rPr>
          <w:rFonts w:hint="eastAsia"/>
          <w:color w:val="000000" w:themeColor="text1"/>
          <w14:textFill>
            <w14:solidFill>
              <w14:schemeClr w14:val="tx1"/>
            </w14:solidFill>
          </w14:textFill>
        </w:rPr>
        <w:t>条，其中量化指标条数共</w:t>
      </w:r>
      <w:r>
        <w:rPr>
          <w:rFonts w:hint="eastAsia"/>
          <w:color w:val="000000" w:themeColor="text1"/>
          <w:lang w:val="en-US" w:eastAsia="zh-CN"/>
          <w14:textFill>
            <w14:solidFill>
              <w14:schemeClr w14:val="tx1"/>
            </w14:solidFill>
          </w14:textFill>
        </w:rPr>
        <w:t>12</w:t>
      </w:r>
      <w:r>
        <w:rPr>
          <w:rFonts w:hint="eastAsia"/>
          <w:color w:val="000000" w:themeColor="text1"/>
          <w14:textFill>
            <w14:solidFill>
              <w14:schemeClr w14:val="tx1"/>
            </w14:solidFill>
          </w14:textFill>
        </w:rPr>
        <w:t>条，所有绩效指标均通过清晰、可衡量的指标值予以体现，并且做到了与项目目标任务数或计划数相对应。</w:t>
      </w:r>
      <w:bookmarkEnd w:id="12"/>
    </w:p>
    <w:p>
      <w:pPr>
        <w:spacing w:line="360" w:lineRule="auto"/>
      </w:pPr>
      <w:r>
        <w:rPr>
          <w:rFonts w:hint="eastAsia"/>
        </w:rPr>
        <w:t>5、预算编制科学性</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预算编制经过科学论证；预算内容与项目内容匹配；预算额度测算依据充分，按照标准编制；预算确定的项目投资额或资金量与工作任务相匹配。</w:t>
      </w:r>
    </w:p>
    <w:p>
      <w:pPr>
        <w:spacing w:line="360" w:lineRule="auto"/>
      </w:pPr>
      <w:r>
        <w:rPr>
          <w:rFonts w:hint="eastAsia"/>
        </w:rPr>
        <w:t>6、资金分配合理性</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预算资金分配依据充分；资金分配额度合理，与项目单位或地方实际相适应。</w:t>
      </w:r>
    </w:p>
    <w:p>
      <w:pPr>
        <w:pStyle w:val="3"/>
        <w:spacing w:line="360" w:lineRule="auto"/>
        <w:rPr>
          <w:rFonts w:ascii="仿宋_GB2312" w:eastAsia="仿宋_GB2312"/>
          <w:b w:val="0"/>
          <w:bCs w:val="0"/>
        </w:rPr>
      </w:pPr>
      <w:bookmarkStart w:id="13" w:name="_Toc68703839"/>
      <w:r>
        <w:rPr>
          <w:rFonts w:hint="eastAsia" w:ascii="仿宋_GB2312" w:eastAsia="仿宋_GB2312"/>
          <w:b w:val="0"/>
          <w:bCs w:val="0"/>
        </w:rPr>
        <w:t>（二）项目过程情况。</w:t>
      </w:r>
      <w:bookmarkEnd w:id="13"/>
    </w:p>
    <w:p>
      <w:pPr>
        <w:spacing w:line="360" w:lineRule="auto"/>
      </w:pPr>
      <w:r>
        <w:rPr>
          <w:rFonts w:hint="eastAsia"/>
        </w:rPr>
        <w:t>1、资金到位率：</w:t>
      </w:r>
    </w:p>
    <w:p>
      <w:pPr>
        <w:spacing w:line="360" w:lineRule="auto"/>
        <w:ind w:firstLine="60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预算资金</w:t>
      </w:r>
      <w:r>
        <w:rPr>
          <w:rFonts w:hint="eastAsia"/>
          <w:color w:val="000000" w:themeColor="text1"/>
          <w:lang w:val="en-US" w:eastAsia="zh-CN"/>
          <w14:textFill>
            <w14:solidFill>
              <w14:schemeClr w14:val="tx1"/>
            </w14:solidFill>
          </w14:textFill>
        </w:rPr>
        <w:t>198.42</w:t>
      </w:r>
      <w:r>
        <w:rPr>
          <w:rFonts w:hint="eastAsia"/>
          <w:color w:val="000000" w:themeColor="text1"/>
          <w14:textFill>
            <w14:solidFill>
              <w14:schemeClr w14:val="tx1"/>
            </w14:solidFill>
          </w14:textFill>
        </w:rPr>
        <w:t>万元，实际到位资金</w:t>
      </w:r>
      <w:r>
        <w:rPr>
          <w:rFonts w:hint="eastAsia"/>
          <w:color w:val="000000" w:themeColor="text1"/>
          <w:lang w:val="en-US" w:eastAsia="zh-CN"/>
          <w14:textFill>
            <w14:solidFill>
              <w14:schemeClr w14:val="tx1"/>
            </w14:solidFill>
          </w14:textFill>
        </w:rPr>
        <w:t>198.42</w:t>
      </w:r>
      <w:r>
        <w:rPr>
          <w:rFonts w:hint="eastAsia"/>
          <w:color w:val="000000" w:themeColor="text1"/>
          <w14:textFill>
            <w14:solidFill>
              <w14:schemeClr w14:val="tx1"/>
            </w14:solidFill>
          </w14:textFill>
        </w:rPr>
        <w:t>万元，资金到位率</w:t>
      </w:r>
      <w:r>
        <w:rPr>
          <w:rFonts w:hint="eastAsia"/>
          <w:color w:val="000000" w:themeColor="text1"/>
          <w:lang w:val="en-US" w:eastAsia="zh-CN"/>
          <w14:textFill>
            <w14:solidFill>
              <w14:schemeClr w14:val="tx1"/>
            </w14:solidFill>
          </w14:textFill>
        </w:rPr>
        <w:t>100</w:t>
      </w:r>
      <w:r>
        <w:rPr>
          <w:rFonts w:hint="eastAsia"/>
          <w:color w:val="000000" w:themeColor="text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2、预算执行率</w:t>
      </w:r>
    </w:p>
    <w:p>
      <w:pPr>
        <w:spacing w:line="360" w:lineRule="auto"/>
        <w:ind w:firstLine="600" w:firstLineChars="200"/>
        <w:rPr>
          <w:rFonts w:hint="eastAsia" w:eastAsia="仿宋_GB2312"/>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年初预算数</w:t>
      </w:r>
      <w:r>
        <w:rPr>
          <w:rFonts w:hint="eastAsia"/>
          <w:color w:val="000000" w:themeColor="text1"/>
          <w:lang w:val="en-US" w:eastAsia="zh-CN"/>
          <w14:textFill>
            <w14:solidFill>
              <w14:schemeClr w14:val="tx1"/>
            </w14:solidFill>
          </w14:textFill>
        </w:rPr>
        <w:t>198.42</w:t>
      </w:r>
      <w:r>
        <w:rPr>
          <w:rFonts w:hint="eastAsia"/>
          <w:color w:val="000000" w:themeColor="text1"/>
          <w14:textFill>
            <w14:solidFill>
              <w14:schemeClr w14:val="tx1"/>
            </w14:solidFill>
          </w14:textFill>
        </w:rPr>
        <w:t>万元，全年预算数</w:t>
      </w:r>
      <w:r>
        <w:rPr>
          <w:rFonts w:hint="eastAsia"/>
          <w:color w:val="000000" w:themeColor="text1"/>
          <w:lang w:val="en-US" w:eastAsia="zh-CN"/>
          <w14:textFill>
            <w14:solidFill>
              <w14:schemeClr w14:val="tx1"/>
            </w14:solidFill>
          </w14:textFill>
        </w:rPr>
        <w:t>198.42</w:t>
      </w:r>
      <w:r>
        <w:rPr>
          <w:rFonts w:hint="eastAsia"/>
          <w:color w:val="000000" w:themeColor="text1"/>
          <w14:textFill>
            <w14:solidFill>
              <w14:schemeClr w14:val="tx1"/>
            </w14:solidFill>
          </w14:textFill>
        </w:rPr>
        <w:t>万元，全年执行数</w:t>
      </w:r>
      <w:r>
        <w:rPr>
          <w:rFonts w:hint="eastAsia"/>
          <w:color w:val="000000" w:themeColor="text1"/>
          <w:lang w:val="en-US" w:eastAsia="zh-CN"/>
          <w14:textFill>
            <w14:solidFill>
              <w14:schemeClr w14:val="tx1"/>
            </w14:solidFill>
          </w14:textFill>
        </w:rPr>
        <w:t>132</w:t>
      </w:r>
      <w:r>
        <w:rPr>
          <w:rFonts w:hint="eastAsia"/>
          <w:color w:val="000000" w:themeColor="text1"/>
          <w14:textFill>
            <w14:solidFill>
              <w14:schemeClr w14:val="tx1"/>
            </w14:solidFill>
          </w14:textFill>
        </w:rPr>
        <w:t>万元，预算执行率为</w:t>
      </w:r>
      <w:r>
        <w:rPr>
          <w:rFonts w:hint="eastAsia"/>
          <w:color w:val="000000" w:themeColor="text1"/>
          <w:lang w:val="en-US" w:eastAsia="zh-CN"/>
          <w14:textFill>
            <w14:solidFill>
              <w14:schemeClr w14:val="tx1"/>
            </w14:solidFill>
          </w14:textFill>
        </w:rPr>
        <w:t>66.53</w:t>
      </w: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w:t>
      </w:r>
    </w:p>
    <w:p>
      <w:pPr>
        <w:spacing w:line="360" w:lineRule="auto"/>
      </w:pPr>
      <w:r>
        <w:rPr>
          <w:rFonts w:hint="eastAsia"/>
        </w:rPr>
        <w:t>3、资金使用合规性</w:t>
      </w:r>
    </w:p>
    <w:p>
      <w:pPr>
        <w:spacing w:line="360" w:lineRule="auto"/>
        <w:ind w:firstLine="600" w:firstLineChars="20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本项目资金</w:t>
      </w:r>
      <w:r>
        <w:rPr>
          <w:rFonts w:hint="eastAsia"/>
          <w:color w:val="000000" w:themeColor="text1"/>
          <w14:textFill>
            <w14:solidFill>
              <w14:schemeClr w14:val="tx1"/>
            </w14:solidFill>
          </w14:textFill>
        </w:rPr>
        <w:t>符合国家财经法规和财务管理制度以及有关专项资金管理办法的规定；资金的拨付有完整的审批程序和手续；符合项目预算批复或合同规定的用途；</w:t>
      </w:r>
      <w:r>
        <w:rPr>
          <w:rFonts w:hint="eastAsia"/>
          <w:color w:val="000000" w:themeColor="text1"/>
          <w:lang w:eastAsia="zh-CN"/>
          <w14:textFill>
            <w14:solidFill>
              <w14:schemeClr w14:val="tx1"/>
            </w14:solidFill>
          </w14:textFill>
        </w:rPr>
        <w:t>不</w:t>
      </w:r>
      <w:r>
        <w:rPr>
          <w:rFonts w:hint="eastAsia"/>
          <w:color w:val="000000" w:themeColor="text1"/>
          <w14:textFill>
            <w14:solidFill>
              <w14:schemeClr w14:val="tx1"/>
            </w14:solidFill>
          </w14:textFill>
        </w:rPr>
        <w:t>存在截留、挤占、挪用、虚列支出等情况。</w:t>
      </w:r>
    </w:p>
    <w:p>
      <w:pPr>
        <w:spacing w:line="360" w:lineRule="auto"/>
      </w:pPr>
      <w:r>
        <w:rPr>
          <w:rFonts w:hint="eastAsia"/>
        </w:rPr>
        <w:t>4、管理制度健全性</w:t>
      </w:r>
    </w:p>
    <w:p>
      <w:pPr>
        <w:spacing w:line="360" w:lineRule="auto"/>
        <w:ind w:firstLine="600" w:firstLineChars="20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本项目</w:t>
      </w:r>
      <w:r>
        <w:rPr>
          <w:rFonts w:hint="eastAsia"/>
          <w:color w:val="000000" w:themeColor="text1"/>
          <w14:textFill>
            <w14:solidFill>
              <w14:schemeClr w14:val="tx1"/>
            </w14:solidFill>
          </w14:textFill>
        </w:rPr>
        <w:t>已制定或具有相应的财务和业务管理制度；财务和业务管理制度合法、合规、完整。</w:t>
      </w:r>
    </w:p>
    <w:p>
      <w:pPr>
        <w:spacing w:line="360" w:lineRule="auto"/>
      </w:pPr>
      <w:r>
        <w:rPr>
          <w:rFonts w:hint="eastAsia"/>
        </w:rPr>
        <w:t>5、制度执行有效性</w:t>
      </w:r>
    </w:p>
    <w:p>
      <w:pPr>
        <w:spacing w:line="360" w:lineRule="auto"/>
        <w:ind w:firstLine="600" w:firstLineChars="20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本项目</w:t>
      </w:r>
      <w:r>
        <w:rPr>
          <w:rFonts w:hint="eastAsia"/>
          <w:color w:val="000000" w:themeColor="text1"/>
          <w14:textFill>
            <w14:solidFill>
              <w14:schemeClr w14:val="tx1"/>
            </w14:solidFill>
          </w14:textFill>
        </w:rPr>
        <w:t>遵守相关法律法规和相关管理规定；项目调整及支出调整手续完备；项目合同书、验收报告、技术鉴定等资料齐全并及时归档；项目实施的人员条件、场地设备、信息支撑等落实到位。</w:t>
      </w:r>
    </w:p>
    <w:p>
      <w:pPr>
        <w:pStyle w:val="3"/>
        <w:spacing w:line="360" w:lineRule="auto"/>
        <w:rPr>
          <w:rFonts w:ascii="仿宋_GB2312" w:eastAsia="仿宋_GB2312"/>
          <w:b w:val="0"/>
          <w:bCs w:val="0"/>
          <w:highlight w:val="none"/>
        </w:rPr>
      </w:pPr>
      <w:bookmarkStart w:id="14" w:name="_Toc68703840"/>
      <w:r>
        <w:rPr>
          <w:rFonts w:hint="eastAsia" w:ascii="仿宋_GB2312" w:eastAsia="仿宋_GB2312"/>
          <w:b w:val="0"/>
          <w:bCs w:val="0"/>
        </w:rPr>
        <w:t>（三</w:t>
      </w:r>
      <w:r>
        <w:rPr>
          <w:rFonts w:hint="eastAsia" w:ascii="仿宋_GB2312" w:eastAsia="仿宋_GB2312"/>
          <w:b w:val="0"/>
          <w:bCs w:val="0"/>
          <w:highlight w:val="none"/>
        </w:rPr>
        <w:t>）项目产出情况。</w:t>
      </w:r>
      <w:bookmarkEnd w:id="14"/>
    </w:p>
    <w:p>
      <w:pPr>
        <w:spacing w:line="360" w:lineRule="auto"/>
        <w:ind w:firstLine="600" w:firstLineChars="200"/>
        <w:rPr>
          <w:rFonts w:hint="eastAsia" w:eastAsia="仿宋_GB2312"/>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1、数量指标：指标1：改造面积，指标值：2359.1㎡，实际完成值2359.1㎡</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，指标完成率</w:t>
      </w:r>
      <w:r>
        <w:rPr>
          <w:rFonts w:hint="eastAsia"/>
          <w:color w:val="000000" w:themeColor="text1"/>
          <w:highlight w:val="none"/>
          <w:lang w:val="en-US" w:eastAsia="zh-CN"/>
          <w14:textFill>
            <w14:solidFill>
              <w14:schemeClr w14:val="tx1"/>
            </w14:solidFill>
          </w14:textFill>
        </w:rPr>
        <w:t>100</w:t>
      </w:r>
      <w:r>
        <w:rPr>
          <w:rFonts w:hint="eastAsia"/>
          <w:color w:val="000000" w:themeColor="text1"/>
          <w:highlight w:val="none"/>
          <w14:textFill>
            <w14:solidFill>
              <w14:schemeClr w14:val="tx1"/>
            </w14:solidFill>
          </w14:textFill>
        </w:rPr>
        <w:t>%；指标2：采购办公设备</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，指标值：</w:t>
      </w:r>
      <w:r>
        <w:rPr>
          <w:rFonts w:hint="eastAsia"/>
          <w:color w:val="000000" w:themeColor="text1"/>
          <w:highlight w:val="none"/>
          <w:lang w:val="en-US" w:eastAsia="zh-CN"/>
          <w14:textFill>
            <w14:solidFill>
              <w14:schemeClr w14:val="tx1"/>
            </w14:solidFill>
          </w14:textFill>
        </w:rPr>
        <w:t>99台</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，实际完成值</w:t>
      </w:r>
      <w:r>
        <w:rPr>
          <w:rFonts w:hint="eastAsia"/>
          <w:color w:val="000000" w:themeColor="text1"/>
          <w:highlight w:val="none"/>
          <w:lang w:val="en-US" w:eastAsia="zh-CN"/>
          <w14:textFill>
            <w14:solidFill>
              <w14:schemeClr w14:val="tx1"/>
            </w14:solidFill>
          </w14:textFill>
        </w:rPr>
        <w:t>81</w:t>
      </w:r>
      <w:r>
        <w:rPr>
          <w:rFonts w:hint="eastAsia"/>
          <w:color w:val="000000" w:themeColor="text1"/>
          <w:highlight w:val="none"/>
          <w14:textFill>
            <w14:solidFill>
              <w14:schemeClr w14:val="tx1"/>
            </w14:solidFill>
          </w14:textFill>
        </w:rPr>
        <w:t>，指标完成率</w:t>
      </w:r>
      <w:r>
        <w:rPr>
          <w:rFonts w:hint="eastAsia"/>
          <w:color w:val="000000" w:themeColor="text1"/>
          <w:highlight w:val="none"/>
          <w:lang w:val="en-US" w:eastAsia="zh-CN"/>
          <w14:textFill>
            <w14:solidFill>
              <w14:schemeClr w14:val="tx1"/>
            </w14:solidFill>
          </w14:textFill>
        </w:rPr>
        <w:t>81.8</w:t>
      </w:r>
      <w:r>
        <w:rPr>
          <w:rFonts w:hint="eastAsia"/>
          <w:color w:val="000000" w:themeColor="text1"/>
          <w:highlight w:val="none"/>
          <w14:textFill>
            <w14:solidFill>
              <w14:schemeClr w14:val="tx1"/>
            </w14:solidFill>
          </w14:textFill>
        </w:rPr>
        <w:t>%，偏差原因：</w:t>
      </w:r>
      <w:r>
        <w:rPr>
          <w:rFonts w:hint="eastAsia"/>
          <w:color w:val="000000" w:themeColor="text1"/>
          <w:highlight w:val="none"/>
          <w:lang w:eastAsia="zh-CN"/>
          <w14:textFill>
            <w14:solidFill>
              <w14:schemeClr w14:val="tx1"/>
            </w14:solidFill>
          </w14:textFill>
        </w:rPr>
        <w:t>方案预定数量与实际数量偏差</w:t>
      </w:r>
      <w:r>
        <w:rPr>
          <w:rFonts w:hint="eastAsia"/>
          <w:color w:val="000000" w:themeColor="text1"/>
          <w:highlight w:val="none"/>
          <w14:textFill>
            <w14:solidFill>
              <w14:schemeClr w14:val="tx1"/>
            </w14:solidFill>
          </w14:textFill>
        </w:rPr>
        <w:t>。指标</w:t>
      </w:r>
      <w:r>
        <w:rPr>
          <w:rFonts w:hint="eastAsia"/>
          <w:color w:val="000000" w:themeColor="text1"/>
          <w:highlight w:val="none"/>
          <w:lang w:val="en-US" w:eastAsia="zh-CN"/>
          <w14:textFill>
            <w14:solidFill>
              <w14:schemeClr w14:val="tx1"/>
            </w14:solidFill>
          </w14:textFill>
        </w:rPr>
        <w:t>3</w:t>
      </w:r>
      <w:r>
        <w:rPr>
          <w:rFonts w:hint="eastAsia"/>
          <w:color w:val="000000" w:themeColor="text1"/>
          <w:highlight w:val="none"/>
          <w14:textFill>
            <w14:solidFill>
              <w14:schemeClr w14:val="tx1"/>
            </w14:solidFill>
          </w14:textFill>
        </w:rPr>
        <w:t>：采购办公家具</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指标值：</w:t>
      </w:r>
      <w:r>
        <w:rPr>
          <w:rFonts w:hint="eastAsia"/>
          <w:color w:val="000000" w:themeColor="text1"/>
          <w:highlight w:val="none"/>
          <w:lang w:val="en-US" w:eastAsia="zh-CN"/>
          <w14:textFill>
            <w14:solidFill>
              <w14:schemeClr w14:val="tx1"/>
            </w14:solidFill>
          </w14:textFill>
        </w:rPr>
        <w:t>335套</w:t>
      </w:r>
      <w:r>
        <w:rPr>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，实际完成值</w:t>
      </w:r>
      <w:r>
        <w:rPr>
          <w:rFonts w:hint="eastAsia"/>
          <w:color w:val="000000" w:themeColor="text1"/>
          <w:highlight w:val="none"/>
          <w:lang w:val="en-US" w:eastAsia="zh-CN"/>
          <w14:textFill>
            <w14:solidFill>
              <w14:schemeClr w14:val="tx1"/>
            </w14:solidFill>
          </w14:textFill>
        </w:rPr>
        <w:t>242套</w:t>
      </w:r>
      <w:r>
        <w:rPr>
          <w:rFonts w:hint="eastAsia"/>
          <w:color w:val="000000" w:themeColor="text1"/>
          <w:highlight w:val="none"/>
          <w14:textFill>
            <w14:solidFill>
              <w14:schemeClr w14:val="tx1"/>
            </w14:solidFill>
          </w14:textFill>
        </w:rPr>
        <w:t>，指标完成率</w:t>
      </w:r>
      <w:r>
        <w:rPr>
          <w:rFonts w:hint="eastAsia"/>
          <w:color w:val="000000" w:themeColor="text1"/>
          <w:highlight w:val="none"/>
          <w:lang w:val="en-US" w:eastAsia="zh-CN"/>
          <w14:textFill>
            <w14:solidFill>
              <w14:schemeClr w14:val="tx1"/>
            </w14:solidFill>
          </w14:textFill>
        </w:rPr>
        <w:t>72.2</w:t>
      </w:r>
      <w:r>
        <w:rPr>
          <w:rFonts w:hint="eastAsia"/>
          <w:color w:val="000000" w:themeColor="text1"/>
          <w:highlight w:val="none"/>
          <w14:textFill>
            <w14:solidFill>
              <w14:schemeClr w14:val="tx1"/>
            </w14:solidFill>
          </w14:textFill>
        </w:rPr>
        <w:t>%，偏差原因：</w:t>
      </w:r>
      <w:r>
        <w:rPr>
          <w:rFonts w:hint="eastAsia"/>
          <w:color w:val="000000" w:themeColor="text1"/>
          <w:highlight w:val="none"/>
          <w:lang w:eastAsia="zh-CN"/>
          <w14:textFill>
            <w14:solidFill>
              <w14:schemeClr w14:val="tx1"/>
            </w14:solidFill>
          </w14:textFill>
        </w:rPr>
        <w:t>方案预定数量与实际数量偏差</w:t>
      </w:r>
      <w:r>
        <w:rPr>
          <w:rFonts w:hint="eastAsia"/>
          <w:color w:val="000000" w:themeColor="text1"/>
          <w:highlight w:val="none"/>
          <w14:textFill>
            <w14:solidFill>
              <w14:schemeClr w14:val="tx1"/>
            </w14:solidFill>
          </w14:textFill>
        </w:rPr>
        <w:t>。</w:t>
      </w:r>
    </w:p>
    <w:p>
      <w:pPr>
        <w:numPr>
          <w:ilvl w:val="0"/>
          <w:numId w:val="1"/>
        </w:numPr>
        <w:spacing w:line="360" w:lineRule="auto"/>
        <w:ind w:firstLine="600" w:firstLineChars="20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质量指标：指标：项目验收合格率，指标值：</w:t>
      </w:r>
      <w:r>
        <w:rPr>
          <w:rFonts w:hint="eastAsia"/>
          <w:color w:val="000000" w:themeColor="text1"/>
          <w:highlight w:val="none"/>
          <w:lang w:val="en-US" w:eastAsia="zh-CN"/>
          <w14:textFill>
            <w14:solidFill>
              <w14:schemeClr w14:val="tx1"/>
            </w14:solidFill>
          </w14:textFill>
        </w:rPr>
        <w:t>98%</w:t>
      </w:r>
      <w:r>
        <w:rPr>
          <w:rFonts w:hint="eastAsia"/>
          <w:color w:val="000000" w:themeColor="text1"/>
          <w:highlight w:val="none"/>
          <w14:textFill>
            <w14:solidFill>
              <w14:schemeClr w14:val="tx1"/>
            </w14:solidFill>
          </w14:textFill>
        </w:rPr>
        <w:t>，实际完成值</w:t>
      </w:r>
      <w:r>
        <w:rPr>
          <w:rFonts w:hint="eastAsia"/>
          <w:color w:val="000000" w:themeColor="text1"/>
          <w:highlight w:val="none"/>
          <w:lang w:val="en-US" w:eastAsia="zh-CN"/>
          <w14:textFill>
            <w14:solidFill>
              <w14:schemeClr w14:val="tx1"/>
            </w14:solidFill>
          </w14:textFill>
        </w:rPr>
        <w:t>98%</w:t>
      </w:r>
      <w:r>
        <w:rPr>
          <w:rFonts w:hint="eastAsia"/>
          <w:color w:val="000000" w:themeColor="text1"/>
          <w:highlight w:val="none"/>
          <w14:textFill>
            <w14:solidFill>
              <w14:schemeClr w14:val="tx1"/>
            </w14:solidFill>
          </w14:textFill>
        </w:rPr>
        <w:t>，指标完成率</w:t>
      </w:r>
      <w:r>
        <w:rPr>
          <w:rFonts w:hint="eastAsia"/>
          <w:color w:val="000000" w:themeColor="text1"/>
          <w:highlight w:val="none"/>
          <w:lang w:val="en-US" w:eastAsia="zh-CN"/>
          <w14:textFill>
            <w14:solidFill>
              <w14:schemeClr w14:val="tx1"/>
            </w14:solidFill>
          </w14:textFill>
        </w:rPr>
        <w:t>100</w:t>
      </w: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w:t>
      </w:r>
    </w:p>
    <w:p>
      <w:pPr>
        <w:numPr>
          <w:ilvl w:val="0"/>
          <w:numId w:val="1"/>
        </w:numPr>
        <w:spacing w:line="360" w:lineRule="auto"/>
        <w:ind w:firstLine="600" w:firstLineChars="200"/>
        <w:rPr>
          <w:rFonts w:hint="eastAsia" w:eastAsia="仿宋_GB2312"/>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时效指标：</w:t>
      </w:r>
      <w:r>
        <w:rPr>
          <w:rFonts w:hint="eastAsia"/>
          <w:color w:val="000000" w:themeColor="text1"/>
          <w:highlight w:val="none"/>
          <w:lang w:val="en-US" w:eastAsia="zh-CN"/>
          <w14:textFill>
            <w14:solidFill>
              <w14:schemeClr w14:val="tx1"/>
            </w14:solidFill>
          </w14:textFill>
        </w:rPr>
        <w:t>指标1：</w:t>
      </w:r>
      <w:r>
        <w:rPr>
          <w:rFonts w:hint="eastAsia"/>
          <w:color w:val="000000" w:themeColor="text1"/>
          <w:highlight w:val="none"/>
          <w14:textFill>
            <w14:solidFill>
              <w14:schemeClr w14:val="tx1"/>
            </w14:solidFill>
          </w14:textFill>
        </w:rPr>
        <w:t>开工时间</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指标值：2021年2月1日，实际完成值2021年2月1日；指标2：完成时间，指标值：2021年3月30日，实际完成值2021年3月30日，指标完成率100%。</w:t>
      </w:r>
    </w:p>
    <w:p>
      <w:pPr>
        <w:spacing w:line="360" w:lineRule="auto"/>
        <w:ind w:firstLine="600" w:firstLineChars="200"/>
        <w:rPr>
          <w:rFonts w:hint="default" w:eastAsia="仿宋_GB2312"/>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4、成本指标</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指标1：</w:t>
      </w:r>
      <w:r>
        <w:rPr>
          <w:rFonts w:hint="eastAsia"/>
          <w:color w:val="000000" w:themeColor="text1"/>
          <w:highlight w:val="none"/>
          <w:lang w:eastAsia="zh-CN"/>
          <w14:textFill>
            <w14:solidFill>
              <w14:schemeClr w14:val="tx1"/>
            </w14:solidFill>
          </w14:textFill>
        </w:rPr>
        <w:t>土建及装修成</w:t>
      </w:r>
      <w:r>
        <w:rPr>
          <w:rFonts w:hint="eastAsia"/>
          <w:color w:val="000000" w:themeColor="text1"/>
          <w:highlight w:val="none"/>
          <w:lang w:val="en-US" w:eastAsia="zh-CN"/>
          <w14:textFill>
            <w14:solidFill>
              <w14:schemeClr w14:val="tx1"/>
            </w14:solidFill>
          </w14:textFill>
        </w:rPr>
        <w:t>本</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指标值：</w:t>
      </w:r>
      <w:r>
        <w:rPr>
          <w:rFonts w:hint="eastAsia"/>
          <w:color w:val="000000" w:themeColor="text1"/>
          <w:highlight w:val="none"/>
          <w:lang w:eastAsia="zh-CN"/>
          <w14:textFill>
            <w14:solidFill>
              <w14:schemeClr w14:val="tx1"/>
            </w14:solidFill>
          </w14:textFill>
        </w:rPr>
        <w:t>121.72</w:t>
      </w:r>
      <w:r>
        <w:rPr>
          <w:rFonts w:hint="eastAsia"/>
          <w:color w:val="000000" w:themeColor="text1"/>
          <w:highlight w:val="none"/>
          <w:lang w:val="en-US" w:eastAsia="zh-CN"/>
          <w14:textFill>
            <w14:solidFill>
              <w14:schemeClr w14:val="tx1"/>
            </w14:solidFill>
          </w14:textFill>
        </w:rPr>
        <w:t>万元</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实际完成值55.3万元，指标完成率45.43%；指标2：</w:t>
      </w:r>
      <w:r>
        <w:rPr>
          <w:rFonts w:hint="eastAsia"/>
          <w:color w:val="000000" w:themeColor="text1"/>
          <w:highlight w:val="none"/>
          <w:lang w:eastAsia="zh-CN"/>
          <w14:textFill>
            <w14:solidFill>
              <w14:schemeClr w14:val="tx1"/>
            </w14:solidFill>
          </w14:textFill>
        </w:rPr>
        <w:t>办公电脑设备及办公家具，</w:t>
      </w:r>
      <w:r>
        <w:rPr>
          <w:rFonts w:hint="eastAsia"/>
          <w:color w:val="000000" w:themeColor="text1"/>
          <w:highlight w:val="none"/>
          <w:lang w:val="en-US" w:eastAsia="zh-CN"/>
          <w14:textFill>
            <w14:solidFill>
              <w14:schemeClr w14:val="tx1"/>
            </w14:solidFill>
          </w14:textFill>
        </w:rPr>
        <w:t>指标值：</w:t>
      </w:r>
      <w:r>
        <w:rPr>
          <w:rFonts w:hint="eastAsia"/>
          <w:color w:val="000000" w:themeColor="text1"/>
          <w:highlight w:val="none"/>
          <w:lang w:eastAsia="zh-CN"/>
          <w14:textFill>
            <w14:solidFill>
              <w14:schemeClr w14:val="tx1"/>
            </w14:solidFill>
          </w14:textFill>
        </w:rPr>
        <w:t>59.2</w:t>
      </w:r>
      <w:r>
        <w:rPr>
          <w:rFonts w:hint="eastAsia"/>
          <w:color w:val="000000" w:themeColor="text1"/>
          <w:highlight w:val="none"/>
          <w:lang w:val="en-US" w:eastAsia="zh-CN"/>
          <w14:textFill>
            <w14:solidFill>
              <w14:schemeClr w14:val="tx1"/>
            </w14:solidFill>
          </w14:textFill>
        </w:rPr>
        <w:t>万元</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实际完成59.2万元，指标完成率100%；指标3：</w:t>
      </w:r>
      <w:r>
        <w:rPr>
          <w:rFonts w:hint="eastAsia"/>
          <w:color w:val="000000" w:themeColor="text1"/>
          <w:highlight w:val="none"/>
          <w:lang w:eastAsia="zh-CN"/>
          <w14:textFill>
            <w14:solidFill>
              <w14:schemeClr w14:val="tx1"/>
            </w14:solidFill>
          </w14:textFill>
        </w:rPr>
        <w:t>项目前期费</w:t>
      </w:r>
      <w:r>
        <w:rPr>
          <w:rFonts w:hint="eastAsia"/>
          <w:color w:val="000000" w:themeColor="text1"/>
          <w:highlight w:val="none"/>
          <w:lang w:val="en-US" w:eastAsia="zh-CN"/>
          <w14:textFill>
            <w14:solidFill>
              <w14:schemeClr w14:val="tx1"/>
            </w14:solidFill>
          </w14:textFill>
        </w:rPr>
        <w:t>用，指标值：</w:t>
      </w:r>
      <w:r>
        <w:rPr>
          <w:rFonts w:hint="eastAsia"/>
          <w:color w:val="000000" w:themeColor="text1"/>
          <w:highlight w:val="none"/>
          <w:lang w:eastAsia="zh-CN"/>
          <w14:textFill>
            <w14:solidFill>
              <w14:schemeClr w14:val="tx1"/>
            </w14:solidFill>
          </w14:textFill>
        </w:rPr>
        <w:t>17.5</w:t>
      </w:r>
      <w:r>
        <w:rPr>
          <w:rFonts w:hint="eastAsia"/>
          <w:color w:val="000000" w:themeColor="text1"/>
          <w:highlight w:val="none"/>
          <w:lang w:val="en-US" w:eastAsia="zh-CN"/>
          <w14:textFill>
            <w14:solidFill>
              <w14:schemeClr w14:val="tx1"/>
            </w14:solidFill>
          </w14:textFill>
        </w:rPr>
        <w:t>万元，实际完成17.5万元，指标完成率100%。</w:t>
      </w:r>
    </w:p>
    <w:p>
      <w:pPr>
        <w:pStyle w:val="3"/>
        <w:spacing w:line="360" w:lineRule="auto"/>
        <w:rPr>
          <w:rFonts w:ascii="仿宋_GB2312" w:eastAsia="仿宋_GB2312"/>
          <w:b w:val="0"/>
          <w:bCs w:val="0"/>
          <w:color w:val="000000" w:themeColor="text1"/>
          <w:highlight w:val="none"/>
          <w14:textFill>
            <w14:solidFill>
              <w14:schemeClr w14:val="tx1"/>
            </w14:solidFill>
          </w14:textFill>
        </w:rPr>
      </w:pPr>
      <w:bookmarkStart w:id="15" w:name="_Toc68703841"/>
      <w:r>
        <w:rPr>
          <w:rFonts w:hint="eastAsia" w:ascii="仿宋_GB2312" w:eastAsia="仿宋_GB2312"/>
          <w:b w:val="0"/>
          <w:bCs w:val="0"/>
          <w:color w:val="000000" w:themeColor="text1"/>
          <w:highlight w:val="none"/>
          <w14:textFill>
            <w14:solidFill>
              <w14:schemeClr w14:val="tx1"/>
            </w14:solidFill>
          </w14:textFill>
        </w:rPr>
        <w:t>（四）项目效益情况。</w:t>
      </w:r>
      <w:bookmarkEnd w:id="15"/>
    </w:p>
    <w:p>
      <w:pPr>
        <w:spacing w:line="360" w:lineRule="auto"/>
        <w:ind w:firstLine="600" w:firstLineChars="200"/>
        <w:rPr>
          <w:rFonts w:hint="default" w:eastAsia="仿宋_GB2312"/>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w:t>
      </w:r>
      <w:r>
        <w:rPr>
          <w:rFonts w:hint="eastAsia"/>
          <w:color w:val="000000" w:themeColor="text1"/>
          <w:highlight w:val="none"/>
          <w14:textFill>
            <w14:solidFill>
              <w14:schemeClr w14:val="tx1"/>
            </w14:solidFill>
          </w14:textFill>
        </w:rPr>
        <w:t>、社会效益指标：</w:t>
      </w:r>
      <w:r>
        <w:rPr>
          <w:rFonts w:hint="eastAsia"/>
          <w:color w:val="000000" w:themeColor="text1"/>
          <w:highlight w:val="none"/>
          <w:lang w:val="en-US" w:eastAsia="zh-CN"/>
          <w14:textFill>
            <w14:solidFill>
              <w14:schemeClr w14:val="tx1"/>
            </w14:solidFill>
          </w14:textFill>
        </w:rPr>
        <w:t>指标1：</w:t>
      </w:r>
      <w:r>
        <w:rPr>
          <w:rFonts w:hint="eastAsia"/>
          <w:color w:val="000000" w:themeColor="text1"/>
          <w:highlight w:val="none"/>
          <w14:textFill>
            <w14:solidFill>
              <w14:schemeClr w14:val="tx1"/>
            </w14:solidFill>
          </w14:textFill>
        </w:rPr>
        <w:t>办事效率提</w:t>
      </w:r>
      <w:r>
        <w:rPr>
          <w:rFonts w:hint="eastAsia"/>
          <w:color w:val="000000" w:themeColor="text1"/>
          <w:highlight w:val="none"/>
          <w:lang w:val="en-US" w:eastAsia="zh-CN"/>
          <w14:textFill>
            <w14:solidFill>
              <w14:schemeClr w14:val="tx1"/>
            </w14:solidFill>
          </w14:textFill>
        </w:rPr>
        <w:t>高率，指标值：≥10%，实际完成值19%，指标完成率100%；指标2：办公环境改善率，指标值：95%，实际完成值95%，指标完成率100%</w:t>
      </w:r>
    </w:p>
    <w:p>
      <w:pPr>
        <w:spacing w:line="360" w:lineRule="auto"/>
        <w:ind w:firstLine="600" w:firstLineChars="200"/>
        <w:rPr>
          <w:rFonts w:hint="default" w:eastAsia="仿宋_GB2312"/>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w:t>
      </w:r>
      <w:r>
        <w:rPr>
          <w:rFonts w:hint="eastAsia"/>
          <w:color w:val="000000" w:themeColor="text1"/>
          <w:highlight w:val="none"/>
          <w14:textFill>
            <w14:solidFill>
              <w14:schemeClr w14:val="tx1"/>
            </w14:solidFill>
          </w14:textFill>
        </w:rPr>
        <w:t>、可持续影响指标：</w:t>
      </w:r>
      <w:r>
        <w:rPr>
          <w:rFonts w:hint="eastAsia"/>
          <w:color w:val="000000" w:themeColor="text1"/>
          <w:highlight w:val="none"/>
          <w:lang w:val="en-US" w:eastAsia="zh-CN"/>
          <w14:textFill>
            <w14:solidFill>
              <w14:schemeClr w14:val="tx1"/>
            </w14:solidFill>
          </w14:textFill>
        </w:rPr>
        <w:t>指标1：</w:t>
      </w:r>
      <w:r>
        <w:rPr>
          <w:rFonts w:hint="eastAsia"/>
          <w:color w:val="000000" w:themeColor="text1"/>
          <w:highlight w:val="none"/>
          <w14:textFill>
            <w14:solidFill>
              <w14:schemeClr w14:val="tx1"/>
            </w14:solidFill>
          </w14:textFill>
        </w:rPr>
        <w:t>综合楼服务大厅使用年限</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指标值：≥5年，实际完成值5年以上，指标完成率：100%。</w:t>
      </w:r>
    </w:p>
    <w:p>
      <w:pPr>
        <w:spacing w:line="360" w:lineRule="auto"/>
        <w:ind w:firstLine="600" w:firstLineChars="200"/>
        <w:rPr>
          <w:rFonts w:hint="eastAsia" w:eastAsia="仿宋_GB2312"/>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w:t>
      </w:r>
      <w:bookmarkStart w:id="21" w:name="_GoBack"/>
      <w:bookmarkEnd w:id="21"/>
      <w:r>
        <w:rPr>
          <w:rFonts w:hint="eastAsia"/>
          <w:color w:val="000000" w:themeColor="text1"/>
          <w:highlight w:val="none"/>
          <w14:textFill>
            <w14:solidFill>
              <w14:schemeClr w14:val="tx1"/>
            </w14:solidFill>
          </w14:textFill>
        </w:rPr>
        <w:t>、满意度指标：</w:t>
      </w:r>
      <w:r>
        <w:rPr>
          <w:rFonts w:hint="eastAsia"/>
          <w:color w:val="000000" w:themeColor="text1"/>
          <w:highlight w:val="none"/>
          <w:lang w:val="en-US" w:eastAsia="zh-CN"/>
          <w14:textFill>
            <w14:solidFill>
              <w14:schemeClr w14:val="tx1"/>
            </w14:solidFill>
          </w14:textFill>
        </w:rPr>
        <w:t>指标1：</w:t>
      </w:r>
      <w:r>
        <w:rPr>
          <w:rFonts w:hint="eastAsia"/>
          <w:color w:val="000000" w:themeColor="text1"/>
          <w:highlight w:val="none"/>
          <w14:textFill>
            <w14:solidFill>
              <w14:schemeClr w14:val="tx1"/>
            </w14:solidFill>
          </w14:textFill>
        </w:rPr>
        <w:t>办事群众满意度</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指标值：≥95%，实际完成值95%，指标完成率100%；指标2：服务人员满意度，指标值：≥95%，实际完成值95%，指标完成率100%。</w:t>
      </w:r>
    </w:p>
    <w:p>
      <w:pPr>
        <w:pStyle w:val="2"/>
        <w:spacing w:line="360" w:lineRule="auto"/>
        <w:rPr>
          <w:rFonts w:ascii="宋体" w:hAnsi="宋体" w:eastAsia="宋体"/>
          <w:sz w:val="32"/>
          <w:szCs w:val="32"/>
          <w:highlight w:val="none"/>
        </w:rPr>
      </w:pPr>
      <w:bookmarkStart w:id="16" w:name="_Toc68703842"/>
      <w:r>
        <w:rPr>
          <w:rFonts w:hint="eastAsia" w:ascii="宋体" w:hAnsi="宋体" w:eastAsia="宋体"/>
          <w:sz w:val="32"/>
          <w:szCs w:val="32"/>
          <w:highlight w:val="none"/>
        </w:rPr>
        <w:t>五、主要经验及做法、存在的问题及原因分析</w:t>
      </w:r>
      <w:bookmarkEnd w:id="16"/>
    </w:p>
    <w:p>
      <w:pPr>
        <w:pStyle w:val="3"/>
        <w:spacing w:line="360" w:lineRule="auto"/>
        <w:rPr>
          <w:rFonts w:ascii="仿宋_GB2312" w:eastAsia="仿宋_GB2312"/>
          <w:b w:val="0"/>
          <w:bCs w:val="0"/>
          <w:highlight w:val="none"/>
        </w:rPr>
      </w:pPr>
      <w:bookmarkStart w:id="17" w:name="_Toc68703843"/>
      <w:r>
        <w:rPr>
          <w:rFonts w:hint="eastAsia" w:ascii="仿宋_GB2312" w:eastAsia="仿宋_GB2312"/>
          <w:b w:val="0"/>
          <w:bCs w:val="0"/>
          <w:highlight w:val="none"/>
        </w:rPr>
        <w:t>（一）主要经验及做法</w:t>
      </w:r>
      <w:bookmarkEnd w:id="17"/>
    </w:p>
    <w:p>
      <w:pPr>
        <w:spacing w:line="360" w:lineRule="auto"/>
        <w:ind w:firstLine="600" w:firstLineChars="200"/>
        <w:rPr>
          <w:rFonts w:hint="default"/>
          <w:color w:val="000000" w:themeColor="text1"/>
          <w:highlight w:val="none"/>
          <w:lang w:val="en-US" w:eastAsia="zh-CN"/>
          <w14:textFill>
            <w14:solidFill>
              <w14:schemeClr w14:val="tx1"/>
            </w14:solidFill>
          </w14:textFill>
        </w:rPr>
      </w:pPr>
      <w:bookmarkStart w:id="18" w:name="_Toc68703844"/>
      <w:r>
        <w:rPr>
          <w:rFonts w:hint="eastAsia"/>
          <w:color w:val="000000" w:themeColor="text1"/>
          <w:highlight w:val="none"/>
          <w:lang w:val="en-US" w:eastAsia="zh-CN"/>
          <w14:textFill>
            <w14:solidFill>
              <w14:schemeClr w14:val="tx1"/>
            </w14:solidFill>
          </w14:textFill>
        </w:rPr>
        <w:t>被项目在实施期间，领导重视，制度完善，公开透明，按照要求建立相关台账，施工期间按照科学合理的施工时间，没有造成办事群众因施工无法办理业务的情况。</w:t>
      </w:r>
    </w:p>
    <w:p>
      <w:pPr>
        <w:pStyle w:val="3"/>
        <w:numPr>
          <w:ilvl w:val="0"/>
          <w:numId w:val="2"/>
        </w:numPr>
        <w:spacing w:line="360" w:lineRule="auto"/>
        <w:rPr>
          <w:rFonts w:hint="eastAsia" w:ascii="仿宋_GB2312" w:eastAsia="仿宋_GB2312"/>
          <w:b w:val="0"/>
          <w:bCs w:val="0"/>
          <w:highlight w:val="none"/>
        </w:rPr>
      </w:pPr>
      <w:r>
        <w:rPr>
          <w:rFonts w:hint="eastAsia" w:ascii="仿宋_GB2312" w:eastAsia="仿宋_GB2312"/>
          <w:b w:val="0"/>
          <w:bCs w:val="0"/>
          <w:highlight w:val="none"/>
        </w:rPr>
        <w:t>存在的问题及原因分析</w:t>
      </w:r>
      <w:bookmarkEnd w:id="18"/>
    </w:p>
    <w:p>
      <w:pPr>
        <w:spacing w:line="360" w:lineRule="auto"/>
        <w:ind w:firstLine="600" w:firstLineChars="20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主要存在预算编制和执行偏差问题。问题发生的原因是，我单位主要负责全县行政审批相关事项，在预算编制时无法准确计算相关费用，因而造成预算编制和执行偏差问题</w:t>
      </w:r>
    </w:p>
    <w:p>
      <w:pPr>
        <w:pStyle w:val="2"/>
        <w:numPr>
          <w:ilvl w:val="0"/>
          <w:numId w:val="3"/>
        </w:numPr>
        <w:spacing w:line="360" w:lineRule="auto"/>
        <w:rPr>
          <w:rFonts w:ascii="宋体" w:hAnsi="宋体" w:eastAsia="宋体"/>
          <w:sz w:val="32"/>
          <w:szCs w:val="32"/>
        </w:rPr>
      </w:pPr>
      <w:bookmarkStart w:id="19" w:name="_Toc68703845"/>
      <w:r>
        <w:rPr>
          <w:rFonts w:hint="eastAsia" w:ascii="宋体" w:hAnsi="宋体" w:eastAsia="宋体"/>
          <w:sz w:val="32"/>
          <w:szCs w:val="32"/>
          <w:highlight w:val="none"/>
        </w:rPr>
        <w:t>有关建议</w:t>
      </w:r>
      <w:bookmarkEnd w:id="19"/>
      <w:bookmarkStart w:id="20" w:name="_Toc68703846"/>
    </w:p>
    <w:p>
      <w:pPr>
        <w:spacing w:line="360" w:lineRule="auto"/>
        <w:ind w:firstLine="600" w:firstLineChars="20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进一步强化预算管理意识，预算编制前多与各单位做好沟通衔接，提高预算编制的科学性、合理性、准确性和可控性。</w:t>
      </w:r>
    </w:p>
    <w:p>
      <w:pPr>
        <w:pStyle w:val="2"/>
        <w:numPr>
          <w:ilvl w:val="0"/>
          <w:numId w:val="3"/>
        </w:numPr>
        <w:spacing w:line="360" w:lineRule="auto"/>
        <w:rPr>
          <w:rFonts w:ascii="宋体" w:hAnsi="宋体" w:eastAsia="宋体"/>
          <w:sz w:val="32"/>
          <w:szCs w:val="32"/>
        </w:rPr>
      </w:pPr>
      <w:r>
        <w:rPr>
          <w:rFonts w:hint="eastAsia" w:ascii="宋体" w:hAnsi="宋体" w:eastAsia="宋体"/>
          <w:sz w:val="32"/>
          <w:szCs w:val="32"/>
        </w:rPr>
        <w:t>七、其他需要说明的问题</w:t>
      </w:r>
      <w:bookmarkEnd w:id="20"/>
    </w:p>
    <w:p>
      <w:pPr>
        <w:spacing w:line="360" w:lineRule="auto"/>
        <w:rPr>
          <w:rFonts w:hint="eastAsia" w:eastAsia="仿宋_GB2312"/>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无</w:t>
      </w:r>
    </w:p>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简体">
    <w:altName w:val="方正舒体"/>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B1D62C"/>
    <w:multiLevelType w:val="singleLevel"/>
    <w:tmpl w:val="E5B1D62C"/>
    <w:lvl w:ilvl="0" w:tentative="0">
      <w:start w:val="6"/>
      <w:numFmt w:val="chineseCounting"/>
      <w:suff w:val="nothing"/>
      <w:lvlText w:val="%1、"/>
      <w:lvlJc w:val="left"/>
      <w:rPr>
        <w:rFonts w:hint="eastAsia"/>
      </w:rPr>
    </w:lvl>
  </w:abstractNum>
  <w:abstractNum w:abstractNumId="1">
    <w:nsid w:val="39530022"/>
    <w:multiLevelType w:val="singleLevel"/>
    <w:tmpl w:val="39530022"/>
    <w:lvl w:ilvl="0" w:tentative="0">
      <w:start w:val="2"/>
      <w:numFmt w:val="decimal"/>
      <w:suff w:val="nothing"/>
      <w:lvlText w:val="%1、"/>
      <w:lvlJc w:val="left"/>
    </w:lvl>
  </w:abstractNum>
  <w:abstractNum w:abstractNumId="2">
    <w:nsid w:val="3BB90D5A"/>
    <w:multiLevelType w:val="singleLevel"/>
    <w:tmpl w:val="3BB90D5A"/>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9C5"/>
    <w:rsid w:val="005B64E8"/>
    <w:rsid w:val="00614288"/>
    <w:rsid w:val="00792CFE"/>
    <w:rsid w:val="007D49C5"/>
    <w:rsid w:val="008C631D"/>
    <w:rsid w:val="00B24331"/>
    <w:rsid w:val="1D176E5A"/>
    <w:rsid w:val="322F4390"/>
    <w:rsid w:val="49FA281B"/>
    <w:rsid w:val="624D2A8F"/>
    <w:rsid w:val="689A02AE"/>
    <w:rsid w:val="77204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5">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8">
    <w:name w:val="Hyperlink"/>
    <w:basedOn w:val="7"/>
    <w:unhideWhenUsed/>
    <w:qFormat/>
    <w:uiPriority w:val="99"/>
    <w:rPr>
      <w:color w:val="0563C1" w:themeColor="hyperlink"/>
      <w:u w:val="single"/>
      <w14:textFill>
        <w14:solidFill>
          <w14:schemeClr w14:val="hlink"/>
        </w14:solidFill>
      </w14:textFill>
    </w:rPr>
  </w:style>
  <w:style w:type="character" w:customStyle="1" w:styleId="9">
    <w:name w:val="标题 1 字符"/>
    <w:basedOn w:val="7"/>
    <w:link w:val="2"/>
    <w:qFormat/>
    <w:uiPriority w:val="9"/>
    <w:rPr>
      <w:rFonts w:ascii="Times New Roman" w:hAnsi="Times New Roman" w:eastAsia="仿宋_GB2312" w:cs="Times New Roman"/>
      <w:b/>
      <w:bCs/>
      <w:kern w:val="44"/>
      <w:sz w:val="44"/>
      <w:szCs w:val="44"/>
    </w:rPr>
  </w:style>
  <w:style w:type="character" w:customStyle="1" w:styleId="10">
    <w:name w:val="标题 2 字符"/>
    <w:basedOn w:val="7"/>
    <w:link w:val="3"/>
    <w:qFormat/>
    <w:uiPriority w:val="9"/>
    <w:rPr>
      <w:rFonts w:asciiTheme="majorHAnsi" w:hAnsiTheme="majorHAnsi" w:eastAsiaTheme="majorEastAsia" w:cstheme="majorBidi"/>
      <w:b/>
      <w:bCs/>
      <w:sz w:val="32"/>
      <w:szCs w:val="32"/>
    </w:rPr>
  </w:style>
  <w:style w:type="paragraph" w:customStyle="1" w:styleId="11">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5579</Words>
  <Characters>5993</Characters>
  <Lines>38</Lines>
  <Paragraphs>10</Paragraphs>
  <TotalTime>6</TotalTime>
  <ScaleCrop>false</ScaleCrop>
  <LinksUpToDate>false</LinksUpToDate>
  <CharactersWithSpaces>6022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123</cp:lastModifiedBy>
  <dcterms:modified xsi:type="dcterms:W3CDTF">2022-04-21T11:33:08Z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BD0557F9A90449128780C59A864E41BE</vt:lpwstr>
  </property>
</Properties>
</file>