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特克斯县委统战部项目支出绩效评价报告</w:t>
      </w:r>
    </w:p>
    <w:p>
      <w:pPr>
        <w:jc w:val="center"/>
        <w:rPr>
          <w:rFonts w:ascii="宋体" w:hAnsi="宋体" w:eastAsia="宋体" w:cs="Arial"/>
          <w:b/>
          <w:bCs/>
          <w:sz w:val="48"/>
          <w:szCs w:val="48"/>
        </w:rPr>
      </w:pPr>
    </w:p>
    <w:p>
      <w:pPr>
        <w:spacing w:line="560" w:lineRule="exact"/>
        <w:ind w:firstLine="320" w:firstLineChars="100"/>
        <w:jc w:val="center"/>
        <w:rPr>
          <w:rFonts w:hint="eastAsia" w:ascii="宋体" w:hAnsi="宋体" w:eastAsia="宋体" w:cs="宋体"/>
          <w:kern w:val="0"/>
          <w:sz w:val="32"/>
          <w:szCs w:val="32"/>
        </w:rPr>
      </w:pPr>
      <w:bookmarkStart w:id="21" w:name="_GoBack"/>
      <w:r>
        <w:rPr>
          <w:rFonts w:hint="eastAsia" w:ascii="宋体" w:hAnsi="宋体" w:eastAsia="宋体" w:cs="宋体"/>
          <w:kern w:val="0"/>
          <w:sz w:val="32"/>
          <w:szCs w:val="32"/>
        </w:rPr>
        <w:t>（2021年度）</w:t>
      </w:r>
    </w:p>
    <w:bookmarkEnd w:id="21"/>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项目名称：统战业务专项经费</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实施单位（公章）：</w:t>
      </w:r>
      <w:r>
        <w:rPr>
          <w:rFonts w:hint="eastAsia" w:ascii="宋体" w:hAnsi="宋体" w:eastAsia="宋体" w:cs="宋体"/>
          <w:kern w:val="0"/>
          <w:sz w:val="32"/>
          <w:szCs w:val="32"/>
        </w:rPr>
        <w:t>特克斯县委统战部</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主管部门（公章）：</w:t>
      </w:r>
      <w:r>
        <w:rPr>
          <w:rFonts w:hint="eastAsia" w:ascii="宋体" w:hAnsi="宋体" w:eastAsia="宋体" w:cs="宋体"/>
          <w:kern w:val="0"/>
          <w:sz w:val="32"/>
          <w:szCs w:val="32"/>
        </w:rPr>
        <w:t>特克斯县委统战部</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项目负责人（签章）：</w:t>
      </w:r>
      <w:r>
        <w:rPr>
          <w:rFonts w:hint="eastAsia" w:ascii="宋体" w:hAnsi="宋体" w:eastAsia="宋体" w:cs="宋体"/>
          <w:kern w:val="0"/>
          <w:sz w:val="32"/>
          <w:szCs w:val="32"/>
        </w:rPr>
        <w:t>吕殿江</w:t>
      </w:r>
    </w:p>
    <w:p>
      <w:pPr>
        <w:spacing w:line="560" w:lineRule="exact"/>
        <w:ind w:firstLine="321" w:firstLineChars="100"/>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ascii="宋体" w:hAnsi="宋体" w:eastAsia="宋体" w:cs="仿宋_GB2312"/>
          <w:color w:val="000000"/>
          <w:kern w:val="0"/>
          <w:sz w:val="32"/>
          <w:szCs w:val="32"/>
        </w:rPr>
        <w:t>2</w:t>
      </w:r>
      <w:r>
        <w:rPr>
          <w:rFonts w:hint="eastAsia" w:ascii="宋体" w:hAnsi="宋体" w:eastAsia="宋体" w:cs="仿宋_GB2312"/>
          <w:color w:val="000000"/>
          <w:kern w:val="0"/>
          <w:sz w:val="32"/>
          <w:szCs w:val="32"/>
        </w:rPr>
        <w:t>年4月13日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宋体" w:hAnsi="宋体"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bookmarkStart w:id="0" w:name="_Toc68703827"/>
    </w:p>
    <w:p>
      <w:pPr>
        <w:rPr>
          <w:rFonts w:ascii="仿宋_GB2312" w:hAnsi="仿宋_GB2312" w:cs="仿宋_GB2312"/>
          <w:szCs w:val="30"/>
        </w:rPr>
      </w:pPr>
      <w:r>
        <w:rPr>
          <w:rFonts w:hint="eastAsia" w:ascii="仿宋_GB2312" w:hAnsi="仿宋_GB2312" w:cs="仿宋_GB2312"/>
          <w:szCs w:val="30"/>
        </w:rPr>
        <w:t>一、基本情况</w:t>
      </w:r>
      <w:bookmarkEnd w:id="0"/>
    </w:p>
    <w:p>
      <w:pPr>
        <w:pStyle w:val="5"/>
        <w:tabs>
          <w:tab w:val="left" w:pos="6372"/>
        </w:tabs>
        <w:adjustRightInd w:val="0"/>
        <w:snapToGrid w:val="0"/>
        <w:spacing w:line="579" w:lineRule="exact"/>
        <w:ind w:firstLine="600" w:firstLineChars="200"/>
        <w:rPr>
          <w:rFonts w:ascii="仿宋_GB2312" w:hAnsi="仿宋_GB2312" w:cs="仿宋_GB2312"/>
          <w:szCs w:val="30"/>
        </w:rPr>
      </w:pPr>
      <w:bookmarkStart w:id="1" w:name="_Toc68703828"/>
      <w:r>
        <w:rPr>
          <w:rFonts w:hint="eastAsia" w:ascii="仿宋_GB2312" w:hAnsi="仿宋_GB2312" w:cs="仿宋_GB2312"/>
          <w:szCs w:val="30"/>
        </w:rPr>
        <w:t>（一）项目概况。</w:t>
      </w:r>
      <w:bookmarkEnd w:id="1"/>
    </w:p>
    <w:p>
      <w:pPr>
        <w:pStyle w:val="5"/>
        <w:tabs>
          <w:tab w:val="left" w:pos="6372"/>
        </w:tabs>
        <w:adjustRightInd w:val="0"/>
        <w:snapToGrid w:val="0"/>
        <w:spacing w:line="579" w:lineRule="exact"/>
        <w:ind w:firstLine="600" w:firstLineChars="200"/>
        <w:rPr>
          <w:rFonts w:ascii="仿宋_GB2312" w:hAnsi="仿宋_GB2312" w:cs="仿宋_GB2312"/>
          <w:szCs w:val="30"/>
        </w:rPr>
      </w:pPr>
      <w:r>
        <w:rPr>
          <w:rFonts w:hint="eastAsia" w:ascii="仿宋_GB2312" w:hAnsi="仿宋_GB2312" w:cs="仿宋_GB2312"/>
          <w:szCs w:val="30"/>
        </w:rPr>
        <w:t>1、项目背景：为深入贯彻新时代党的治疆方略，贯彻落实自治区党委关于推进驻村管寺工作规范化常态化科学化的工作要求， 落实《关于2021年度驻村管寺工作管理实施方案》、新财行【2020】224号文件精神的通知，认真贯彻落实党的宗教工作方针政策和国家、自治区宗教事务法律法规，依法开展宗教事务管理工作，落实上级部门工作决策部署</w:t>
      </w:r>
      <w:r>
        <w:rPr>
          <w:rFonts w:hint="eastAsia" w:ascii="仿宋_GB2312" w:hAnsi="仿宋_GB2312" w:cs="仿宋_GB2312"/>
          <w:color w:val="333333"/>
          <w:szCs w:val="30"/>
        </w:rPr>
        <w:t>，教育和引导宗教人士和信教群众拥护中国共产党的领导，更好的做好宗教人士和信教群众的工作，确保宗教活动依法依规有序开展，促进宗教与社会主义社会相适应，从而提高驻村管寺管委会干部的统筹能力、加强宗教人士和场所的管理，选优配齐配强干部确保工作正常运行</w:t>
      </w:r>
      <w:r>
        <w:rPr>
          <w:rFonts w:hint="eastAsia" w:ascii="仿宋_GB2312" w:hAnsi="仿宋_GB2312" w:cs="仿宋_GB2312"/>
          <w:szCs w:val="30"/>
        </w:rPr>
        <w:t>，</w:t>
      </w:r>
      <w:r>
        <w:rPr>
          <w:rFonts w:hint="eastAsia" w:ascii="仿宋_GB2312" w:hAnsi="仿宋_GB2312" w:cs="仿宋_GB2312"/>
          <w:color w:val="333333"/>
          <w:szCs w:val="30"/>
        </w:rPr>
        <w:t>本着提高特克斯县驻村管寺干部统筹管理能力、</w:t>
      </w:r>
      <w:r>
        <w:rPr>
          <w:rFonts w:hint="eastAsia" w:ascii="仿宋_GB2312" w:hAnsi="仿宋_GB2312" w:cs="仿宋_GB2312"/>
          <w:szCs w:val="30"/>
        </w:rPr>
        <w:t>加强部门管理、完善驻村管寺工作保障机制。</w:t>
      </w:r>
      <w:r>
        <w:rPr>
          <w:rFonts w:hint="eastAsia" w:ascii="仿宋_GB2312" w:hAnsi="仿宋_GB2312" w:cs="仿宋_GB2312"/>
          <w:color w:val="333333"/>
          <w:szCs w:val="30"/>
        </w:rPr>
        <w:t>强化财政预算约束、完善财力保障机制的目标，需按照驻村管寺干部管理“全方位、全过程、全覆盖”的具体要求，落实相关主体责任，推进特克斯县驻村管寺管理体系建设和工作全面开展。</w:t>
      </w:r>
    </w:p>
    <w:p>
      <w:pPr>
        <w:spacing w:line="360" w:lineRule="auto"/>
        <w:ind w:firstLine="600" w:firstLineChars="200"/>
        <w:rPr>
          <w:rFonts w:ascii="仿宋_GB2312" w:hAnsi="仿宋_GB2312" w:cs="仿宋_GB2312"/>
          <w:szCs w:val="30"/>
        </w:rPr>
      </w:pPr>
      <w:r>
        <w:rPr>
          <w:rFonts w:hint="eastAsia" w:ascii="仿宋_GB2312" w:hAnsi="仿宋_GB2312" w:cs="仿宋_GB2312"/>
          <w:szCs w:val="30"/>
        </w:rPr>
        <w:t>2、主要内容及实施情况</w:t>
      </w:r>
    </w:p>
    <w:p>
      <w:pPr>
        <w:spacing w:line="560" w:lineRule="exact"/>
        <w:ind w:firstLine="600" w:firstLineChars="200"/>
        <w:rPr>
          <w:rFonts w:ascii="仿宋_GB2312" w:hAnsi="仿宋_GB2312" w:cs="仿宋_GB2312"/>
          <w:color w:val="333333"/>
          <w:szCs w:val="30"/>
        </w:rPr>
      </w:pPr>
      <w:r>
        <w:rPr>
          <w:rFonts w:hint="eastAsia" w:ascii="仿宋_GB2312" w:hAnsi="仿宋_GB2312" w:cs="仿宋_GB2312"/>
          <w:szCs w:val="30"/>
        </w:rPr>
        <w:t>主要内容：1、特克斯县驻村管寺管委会共计10个管委会，50个驻村管寺干部，</w:t>
      </w:r>
      <w:r>
        <w:rPr>
          <w:rFonts w:hint="eastAsia" w:ascii="仿宋_GB2312" w:hAnsi="仿宋_GB2312" w:cs="仿宋_GB2312"/>
          <w:color w:val="333333"/>
          <w:szCs w:val="30"/>
        </w:rPr>
        <w:t>确保</w:t>
      </w:r>
      <w:r>
        <w:rPr>
          <w:rFonts w:hint="eastAsia" w:ascii="仿宋_GB2312" w:hAnsi="仿宋_GB2312" w:cs="仿宋_GB2312"/>
          <w:szCs w:val="30"/>
        </w:rPr>
        <w:t>驻村管寺日常</w:t>
      </w:r>
      <w:r>
        <w:rPr>
          <w:rFonts w:hint="eastAsia" w:ascii="仿宋_GB2312" w:hAnsi="仿宋_GB2312" w:cs="仿宋_GB2312"/>
          <w:color w:val="333333"/>
          <w:szCs w:val="30"/>
        </w:rPr>
        <w:t>工作正常运行有序开展，</w:t>
      </w:r>
      <w:r>
        <w:rPr>
          <w:rFonts w:hint="eastAsia" w:ascii="仿宋_GB2312" w:hAnsi="仿宋_GB2312" w:cs="仿宋_GB2312"/>
          <w:szCs w:val="30"/>
        </w:rPr>
        <w:t>管理宗教人士和活动场所，</w:t>
      </w:r>
      <w:r>
        <w:rPr>
          <w:rFonts w:hint="eastAsia" w:ascii="仿宋_GB2312" w:hAnsi="仿宋_GB2312" w:cs="仿宋_GB2312"/>
          <w:color w:val="333333"/>
          <w:szCs w:val="30"/>
        </w:rPr>
        <w:t>解决地处偏远、交通不便、安保设施、运行维护等，保证每个驻村管寺管委会的日常运转经费及驻村管寺干部的生活补助发放到位；2、特克斯县爱国宗教人士共有50人，（其中</w:t>
      </w:r>
      <w:r>
        <w:rPr>
          <w:rFonts w:hint="eastAsia" w:ascii="仿宋_GB2312" w:hAnsi="仿宋_GB2312" w:cs="仿宋_GB2312"/>
          <w:szCs w:val="30"/>
        </w:rPr>
        <w:t>11人每人每月工资2000元标准；1人每人每月工资1700元标准；其余31人每人每月1500元标准，退居二线7人每人每月1500元标准），生活补贴是贯彻党的宗教工作方针政策，帮助爱国宗教人士解决生活困难。</w:t>
      </w:r>
    </w:p>
    <w:p>
      <w:pPr>
        <w:spacing w:line="560" w:lineRule="exact"/>
        <w:ind w:firstLine="600" w:firstLineChars="200"/>
        <w:rPr>
          <w:rFonts w:ascii="仿宋_GB2312" w:hAnsi="仿宋_GB2312" w:cs="仿宋_GB2312"/>
          <w:color w:val="FF0000"/>
          <w:szCs w:val="30"/>
        </w:rPr>
      </w:pPr>
      <w:r>
        <w:rPr>
          <w:rFonts w:hint="eastAsia" w:ascii="仿宋_GB2312" w:hAnsi="仿宋_GB2312" w:cs="仿宋_GB2312"/>
          <w:szCs w:val="30"/>
        </w:rPr>
        <w:t>实施情况：特克斯县驻村管寺管委会共计10个管委会，50个驻村管寺干部绩效补贴由特克斯县财政局将工作经费和干部绩效拨付至各乡镇财政所；特克斯县享受生活补贴的宗教人士50人，生活补贴县财政局将生活费委托银行直接打入个人账号。</w:t>
      </w:r>
    </w:p>
    <w:p>
      <w:pPr>
        <w:spacing w:line="360" w:lineRule="auto"/>
        <w:ind w:firstLine="600" w:firstLineChars="200"/>
        <w:rPr>
          <w:rFonts w:ascii="仿宋_GB2312" w:hAnsi="仿宋_GB2312" w:cs="仿宋_GB2312"/>
          <w:szCs w:val="30"/>
        </w:rPr>
      </w:pPr>
      <w:r>
        <w:rPr>
          <w:rFonts w:hint="eastAsia" w:ascii="仿宋_GB2312" w:hAnsi="仿宋_GB2312" w:cs="仿宋_GB2312"/>
          <w:szCs w:val="30"/>
        </w:rPr>
        <w:t>3、资金投入和使用情况</w:t>
      </w:r>
    </w:p>
    <w:p>
      <w:pPr>
        <w:spacing w:line="360" w:lineRule="auto"/>
        <w:ind w:firstLine="600" w:firstLineChars="200"/>
        <w:rPr>
          <w:rFonts w:hint="eastAsia" w:ascii="仿宋_GB2312" w:hAnsi="仿宋_GB2312" w:eastAsia="仿宋_GB2312" w:cs="仿宋_GB2312"/>
          <w:color w:val="FF0000"/>
          <w:szCs w:val="30"/>
          <w:lang w:eastAsia="zh-CN"/>
        </w:rPr>
      </w:pPr>
      <w:r>
        <w:rPr>
          <w:rFonts w:hint="eastAsia" w:ascii="仿宋_GB2312" w:hAnsi="仿宋_GB2312" w:cs="仿宋_GB2312"/>
          <w:szCs w:val="30"/>
        </w:rPr>
        <w:t>资金投入情况：该项目年初预算数74.86万元，全年预算数 74.86 万元，实际总投入74.86万元，该项目资金已全部落实到位，资金来源为上级专项财政资金</w:t>
      </w:r>
      <w:r>
        <w:rPr>
          <w:rFonts w:hint="eastAsia" w:ascii="仿宋_GB2312" w:hAnsi="仿宋_GB2312" w:cs="仿宋_GB2312"/>
          <w:szCs w:val="30"/>
          <w:lang w:eastAsia="zh-CN"/>
        </w:rPr>
        <w:t>。</w:t>
      </w:r>
    </w:p>
    <w:p>
      <w:pPr>
        <w:spacing w:line="360" w:lineRule="auto"/>
        <w:ind w:firstLine="600" w:firstLineChars="200"/>
        <w:rPr>
          <w:rFonts w:ascii="仿宋_GB2312" w:hAnsi="仿宋_GB2312" w:cs="仿宋_GB2312"/>
          <w:szCs w:val="30"/>
        </w:rPr>
      </w:pPr>
      <w:r>
        <w:rPr>
          <w:rFonts w:hint="eastAsia" w:ascii="仿宋_GB2312" w:hAnsi="仿宋_GB2312" w:cs="仿宋_GB2312"/>
          <w:szCs w:val="30"/>
        </w:rPr>
        <w:t>资金使用情况：该项目年初预算数74.86万元，全年预算数    74.86万元，全年执行数74.86万元，预算执行率为100%，用于：统战业务专项经费74.86万元。</w:t>
      </w:r>
      <w:bookmarkStart w:id="2" w:name="_Toc68703829"/>
    </w:p>
    <w:p>
      <w:pPr>
        <w:spacing w:line="360" w:lineRule="auto"/>
        <w:ind w:firstLine="600" w:firstLineChars="200"/>
        <w:rPr>
          <w:rFonts w:ascii="仿宋_GB2312" w:hAnsi="仿宋_GB2312" w:cs="仿宋_GB2312"/>
          <w:szCs w:val="30"/>
        </w:rPr>
      </w:pPr>
      <w:r>
        <w:rPr>
          <w:rFonts w:hint="eastAsia" w:ascii="仿宋_GB2312" w:hAnsi="仿宋_GB2312" w:cs="仿宋_GB2312"/>
          <w:szCs w:val="30"/>
        </w:rPr>
        <w:t>（二）项目绩效目标。</w:t>
      </w:r>
      <w:bookmarkEnd w:id="2"/>
    </w:p>
    <w:p>
      <w:pPr>
        <w:spacing w:line="360" w:lineRule="auto"/>
        <w:ind w:firstLine="600" w:firstLineChars="200"/>
        <w:rPr>
          <w:rFonts w:ascii="仿宋_GB2312" w:hAnsi="仿宋_GB2312" w:cs="仿宋_GB2312"/>
          <w:szCs w:val="30"/>
        </w:rPr>
      </w:pPr>
      <w:r>
        <w:rPr>
          <w:rFonts w:hint="eastAsia" w:ascii="仿宋_GB2312" w:hAnsi="仿宋_GB2312" w:cs="仿宋_GB2312"/>
          <w:szCs w:val="30"/>
        </w:rPr>
        <w:t>1、总体目标：</w:t>
      </w:r>
    </w:p>
    <w:p>
      <w:pPr>
        <w:spacing w:line="360" w:lineRule="auto"/>
        <w:ind w:firstLine="600" w:firstLineChars="200"/>
        <w:rPr>
          <w:rFonts w:ascii="仿宋_GB2312" w:hAnsi="仿宋_GB2312" w:cs="仿宋_GB2312"/>
          <w:szCs w:val="30"/>
        </w:rPr>
      </w:pPr>
      <w:r>
        <w:rPr>
          <w:rFonts w:hint="eastAsia" w:ascii="仿宋_GB2312" w:hAnsi="仿宋_GB2312" w:cs="仿宋_GB2312"/>
          <w:szCs w:val="30"/>
        </w:rPr>
        <w:t>宗教教职人员生活实助体现党对宗教教职人员的关心和照顾，每月按时足额发放到位</w:t>
      </w:r>
      <w:r>
        <w:rPr>
          <w:rFonts w:hint="eastAsia" w:ascii="仿宋_GB2312" w:hAnsi="仿宋_GB2312" w:cs="仿宋_GB2312"/>
          <w:szCs w:val="30"/>
          <w:lang w:eastAsia="zh-CN"/>
        </w:rPr>
        <w:t>；</w:t>
      </w:r>
      <w:r>
        <w:rPr>
          <w:rFonts w:hint="eastAsia" w:ascii="仿宋_GB2312" w:hAnsi="仿宋_GB2312" w:cs="仿宋_GB2312"/>
          <w:szCs w:val="30"/>
        </w:rPr>
        <w:t>为了更好地开展驻村管寺工作，提高乡镇驻村管寺干部工作积极性，积极引导宗教与社会主义社会相适应，促进社会和谐稳定。</w:t>
      </w:r>
    </w:p>
    <w:p>
      <w:pPr>
        <w:numPr>
          <w:ilvl w:val="0"/>
          <w:numId w:val="1"/>
        </w:numPr>
        <w:spacing w:line="360" w:lineRule="auto"/>
        <w:ind w:firstLine="600" w:firstLineChars="200"/>
        <w:rPr>
          <w:rFonts w:ascii="仿宋_GB2312" w:hAnsi="仿宋_GB2312" w:cs="仿宋_GB2312"/>
          <w:color w:val="FF0000"/>
          <w:szCs w:val="30"/>
        </w:rPr>
      </w:pPr>
      <w:r>
        <w:rPr>
          <w:rFonts w:hint="eastAsia" w:ascii="仿宋_GB2312" w:hAnsi="仿宋_GB2312" w:cs="仿宋_GB2312"/>
          <w:szCs w:val="30"/>
        </w:rPr>
        <w:t>阶段性目标：</w:t>
      </w:r>
    </w:p>
    <w:p>
      <w:pPr>
        <w:spacing w:line="360" w:lineRule="auto"/>
        <w:ind w:firstLine="584" w:firstLineChars="200"/>
        <w:rPr>
          <w:rStyle w:val="12"/>
          <w:rFonts w:ascii="仿宋_GB2312" w:hAnsi="仿宋_GB2312" w:cs="仿宋_GB2312"/>
          <w:b w:val="0"/>
          <w:spacing w:val="-4"/>
          <w:szCs w:val="30"/>
        </w:rPr>
      </w:pPr>
      <w:r>
        <w:rPr>
          <w:rStyle w:val="12"/>
          <w:rFonts w:hint="eastAsia" w:ascii="仿宋_GB2312" w:hAnsi="仿宋_GB2312" w:cs="仿宋_GB2312"/>
          <w:b w:val="0"/>
          <w:spacing w:val="-4"/>
          <w:szCs w:val="30"/>
        </w:rPr>
        <w:t>按照属地管理原则科学划分驻村管寺管委会责任片区，强化乡镇党委和政府对驻村管寺工作的领导，进一步加大工作力度。按照全面覆盖原则优化管委会布局，提高优化干部队伍，抽强人，解决当前驻村管寺干部队伍总体素质较低的问题，提高工作质效，  结合驻村管寺工作综合考核结果；</w:t>
      </w:r>
      <w:r>
        <w:rPr>
          <w:rFonts w:hint="eastAsia" w:ascii="仿宋_GB2312" w:hAnsi="仿宋_GB2312" w:cs="仿宋_GB2312"/>
          <w:szCs w:val="30"/>
        </w:rPr>
        <w:t>贯彻党的宗教工作方针政策，帮助爱国宗教人士解决生活困难。</w:t>
      </w:r>
      <w:r>
        <w:rPr>
          <w:rStyle w:val="12"/>
          <w:rFonts w:hint="eastAsia" w:ascii="仿宋_GB2312" w:hAnsi="仿宋_GB2312" w:cs="仿宋_GB2312"/>
          <w:b w:val="0"/>
          <w:spacing w:val="-4"/>
          <w:szCs w:val="30"/>
        </w:rPr>
        <w:t>专项用于上述项目所支付费用。</w:t>
      </w:r>
      <w:bookmarkStart w:id="3" w:name="_Toc68703830"/>
    </w:p>
    <w:p>
      <w:pPr>
        <w:spacing w:line="560" w:lineRule="exact"/>
        <w:ind w:firstLine="300" w:firstLineChars="100"/>
        <w:rPr>
          <w:rFonts w:ascii="仿宋_GB2312" w:hAnsi="仿宋_GB2312" w:cs="仿宋_GB2312"/>
          <w:szCs w:val="30"/>
        </w:rPr>
      </w:pPr>
      <w:r>
        <w:rPr>
          <w:rFonts w:hint="eastAsia" w:ascii="仿宋_GB2312" w:hAnsi="仿宋_GB2312" w:cs="仿宋_GB2312"/>
          <w:szCs w:val="30"/>
        </w:rPr>
        <w:t>二、绩效评价工作开展情况</w:t>
      </w:r>
      <w:bookmarkEnd w:id="3"/>
    </w:p>
    <w:p>
      <w:pPr>
        <w:pStyle w:val="4"/>
        <w:spacing w:line="360" w:lineRule="auto"/>
        <w:rPr>
          <w:rFonts w:ascii="仿宋_GB2312" w:hAnsi="仿宋_GB2312" w:eastAsia="仿宋_GB2312" w:cs="仿宋_GB2312"/>
          <w:b w:val="0"/>
          <w:bCs w:val="0"/>
          <w:sz w:val="30"/>
          <w:szCs w:val="30"/>
        </w:rPr>
      </w:pPr>
      <w:bookmarkStart w:id="4" w:name="_Toc68703831"/>
      <w:r>
        <w:rPr>
          <w:rFonts w:hint="eastAsia" w:ascii="仿宋_GB2312" w:hAnsi="仿宋_GB2312" w:eastAsia="仿宋_GB2312" w:cs="仿宋_GB2312"/>
          <w:b w:val="0"/>
          <w:bCs w:val="0"/>
          <w:sz w:val="30"/>
          <w:szCs w:val="30"/>
        </w:rPr>
        <w:t>（一）绩效评价目的、对象和范围。</w:t>
      </w:r>
      <w:bookmarkEnd w:id="4"/>
    </w:p>
    <w:p>
      <w:pPr>
        <w:spacing w:line="360" w:lineRule="auto"/>
        <w:rPr>
          <w:rFonts w:ascii="仿宋_GB2312" w:hAnsi="仿宋_GB2312" w:cs="仿宋_GB2312"/>
          <w:szCs w:val="30"/>
        </w:rPr>
      </w:pPr>
      <w:r>
        <w:rPr>
          <w:rFonts w:hint="eastAsia" w:ascii="仿宋_GB2312" w:hAnsi="仿宋_GB2312" w:cs="仿宋_GB2312"/>
          <w:szCs w:val="30"/>
        </w:rPr>
        <w:t>1、绩效评价目的：</w:t>
      </w:r>
    </w:p>
    <w:p>
      <w:pPr>
        <w:spacing w:line="360" w:lineRule="auto"/>
        <w:ind w:firstLine="640" w:firstLineChars="200"/>
        <w:jc w:val="left"/>
        <w:rPr>
          <w:rFonts w:ascii="仿宋_GB2312"/>
          <w:bCs/>
          <w:color w:val="FF0000"/>
          <w:sz w:val="32"/>
          <w:szCs w:val="32"/>
        </w:rPr>
      </w:pPr>
      <w:r>
        <w:rPr>
          <w:rFonts w:hint="eastAsia" w:ascii="仿宋_GB2312"/>
          <w:bCs/>
          <w:color w:val="auto"/>
          <w:sz w:val="32"/>
          <w:szCs w:val="32"/>
        </w:rPr>
        <w:t>通过绩效评价，客观地评判项目的管理绩效，了解和掌握统战业务专项经费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pPr>
        <w:spacing w:line="360" w:lineRule="auto"/>
        <w:ind w:firstLine="600" w:firstLineChars="200"/>
        <w:jc w:val="left"/>
        <w:rPr>
          <w:rFonts w:ascii="仿宋_GB2312" w:hAnsi="仿宋_GB2312" w:cs="仿宋_GB2312"/>
          <w:szCs w:val="30"/>
        </w:rPr>
      </w:pPr>
      <w:r>
        <w:rPr>
          <w:rFonts w:hint="eastAsia" w:ascii="仿宋_GB2312" w:hAnsi="仿宋_GB2312" w:cs="仿宋_GB2312"/>
          <w:szCs w:val="30"/>
        </w:rPr>
        <w:t>2、绩效评价对象：</w:t>
      </w:r>
    </w:p>
    <w:p>
      <w:pPr>
        <w:spacing w:line="360" w:lineRule="auto"/>
        <w:ind w:firstLine="600" w:firstLineChars="200"/>
        <w:rPr>
          <w:rFonts w:ascii="仿宋_GB2312" w:hAnsi="仿宋_GB2312" w:cs="仿宋_GB2312"/>
          <w:color w:val="FF0000"/>
          <w:szCs w:val="30"/>
        </w:rPr>
      </w:pPr>
      <w:r>
        <w:rPr>
          <w:rFonts w:hint="eastAsia" w:ascii="仿宋_GB2312" w:hAnsi="仿宋_GB2312" w:cs="仿宋_GB2312"/>
          <w:bCs/>
          <w:szCs w:val="30"/>
        </w:rPr>
        <w:t>统战业务专项经费（包括驻村管寺管委会工作经费及人员经费、宗教人士生活补助）。</w:t>
      </w:r>
    </w:p>
    <w:p>
      <w:pPr>
        <w:spacing w:line="360" w:lineRule="auto"/>
        <w:ind w:firstLine="600" w:firstLineChars="200"/>
        <w:rPr>
          <w:rFonts w:ascii="仿宋_GB2312" w:hAnsi="仿宋_GB2312" w:cs="仿宋_GB2312"/>
          <w:szCs w:val="30"/>
        </w:rPr>
      </w:pPr>
      <w:r>
        <w:rPr>
          <w:rFonts w:hint="eastAsia" w:ascii="仿宋_GB2312" w:hAnsi="仿宋_GB2312" w:cs="仿宋_GB2312"/>
          <w:szCs w:val="30"/>
        </w:rPr>
        <w:t>3、绩效评价范围：</w:t>
      </w:r>
    </w:p>
    <w:p>
      <w:pPr>
        <w:spacing w:line="360" w:lineRule="auto"/>
        <w:ind w:firstLine="600" w:firstLineChars="200"/>
        <w:rPr>
          <w:rFonts w:ascii="仿宋_GB2312" w:hAnsi="仿宋_GB2312" w:cs="仿宋_GB2312"/>
          <w:szCs w:val="30"/>
        </w:rPr>
      </w:pPr>
      <w:r>
        <w:rPr>
          <w:rFonts w:hint="eastAsia" w:ascii="仿宋_GB2312" w:hAnsi="仿宋_GB2312" w:cs="仿宋_GB2312"/>
          <w:szCs w:val="30"/>
        </w:rPr>
        <w:t>本次评价从项目决策（包括绩效目标、决策过程）、项目管理（包括项目资金、项目实施）、项目产出（包括项目产出数量、产出质量、产出时效和产出成本）项目效益四个维度进行</w:t>
      </w:r>
      <w:r>
        <w:rPr>
          <w:rFonts w:hint="eastAsia" w:ascii="仿宋_GB2312" w:hAnsi="仿宋_GB2312" w:cs="仿宋_GB2312"/>
          <w:bCs/>
          <w:szCs w:val="30"/>
        </w:rPr>
        <w:t>统战业务专项经费</w:t>
      </w:r>
      <w:r>
        <w:rPr>
          <w:rFonts w:hint="eastAsia" w:ascii="仿宋_GB2312" w:hAnsi="仿宋_GB2312" w:cs="仿宋_GB2312"/>
          <w:szCs w:val="30"/>
        </w:rPr>
        <w:t>评价，评价核心为专项资金的支出完成情况和效果。</w:t>
      </w:r>
    </w:p>
    <w:p>
      <w:pPr>
        <w:pStyle w:val="4"/>
        <w:spacing w:line="360" w:lineRule="auto"/>
        <w:rPr>
          <w:rFonts w:ascii="仿宋_GB2312" w:hAnsi="仿宋_GB2312" w:eastAsia="仿宋_GB2312" w:cs="仿宋_GB2312"/>
          <w:b w:val="0"/>
          <w:bCs w:val="0"/>
          <w:sz w:val="30"/>
          <w:szCs w:val="30"/>
        </w:rPr>
      </w:pPr>
      <w:bookmarkStart w:id="5" w:name="_Toc68703832"/>
      <w:r>
        <w:rPr>
          <w:rFonts w:hint="eastAsia" w:ascii="仿宋_GB2312" w:hAnsi="仿宋_GB2312" w:eastAsia="仿宋_GB2312" w:cs="仿宋_GB2312"/>
          <w:b w:val="0"/>
          <w:bCs w:val="0"/>
          <w:sz w:val="30"/>
          <w:szCs w:val="30"/>
        </w:rPr>
        <w:t>（二）绩效评价原则、评价指标体系、评价方法、评价标准等。</w:t>
      </w:r>
      <w:bookmarkEnd w:id="5"/>
    </w:p>
    <w:p>
      <w:pPr>
        <w:spacing w:line="360" w:lineRule="auto"/>
        <w:rPr>
          <w:rFonts w:ascii="仿宋_GB2312" w:hAnsi="仿宋_GB2312" w:cs="仿宋_GB2312"/>
          <w:szCs w:val="30"/>
        </w:rPr>
      </w:pPr>
      <w:r>
        <w:rPr>
          <w:rFonts w:hint="eastAsia" w:ascii="仿宋_GB2312" w:hAnsi="仿宋_GB2312" w:cs="仿宋_GB2312"/>
          <w:szCs w:val="30"/>
        </w:rPr>
        <w:t>1、绩效评价原则</w:t>
      </w:r>
    </w:p>
    <w:p>
      <w:pPr>
        <w:spacing w:line="600" w:lineRule="exact"/>
        <w:ind w:firstLine="640"/>
        <w:rPr>
          <w:rFonts w:ascii="仿宋_GB2312" w:hAnsi="仿宋_GB2312" w:cs="仿宋_GB2312"/>
          <w:bCs/>
          <w:szCs w:val="30"/>
        </w:rPr>
      </w:pPr>
      <w:r>
        <w:rPr>
          <w:rFonts w:hint="eastAsia" w:ascii="仿宋_GB2312" w:hAnsi="仿宋_GB2312" w:cs="仿宋_GB2312"/>
          <w:bCs/>
          <w:szCs w:val="30"/>
        </w:rPr>
        <w:t>（一）科学公正。本次项目支出绩效评价运用科学合理的方法，按照规范的程序，对项目绩效进行客观、公正的反映。</w:t>
      </w:r>
    </w:p>
    <w:p>
      <w:pPr>
        <w:spacing w:line="600" w:lineRule="exact"/>
        <w:ind w:firstLine="640"/>
        <w:rPr>
          <w:rFonts w:ascii="仿宋_GB2312" w:hAnsi="仿宋_GB2312" w:cs="仿宋_GB2312"/>
          <w:bCs/>
          <w:szCs w:val="30"/>
        </w:rPr>
      </w:pPr>
      <w:r>
        <w:rPr>
          <w:rFonts w:hint="eastAsia" w:ascii="仿宋_GB2312" w:hAnsi="仿宋_GB2312" w:cs="仿宋_GB2312"/>
          <w:bCs/>
          <w:szCs w:val="30"/>
        </w:rPr>
        <w:t>（二）统筹兼顾。本次项目支出绩效评价由本单位自主实施，即“谁支出、谁自评”。</w:t>
      </w:r>
    </w:p>
    <w:p>
      <w:pPr>
        <w:spacing w:line="600" w:lineRule="exact"/>
        <w:ind w:firstLine="640"/>
        <w:rPr>
          <w:rFonts w:ascii="仿宋_GB2312" w:hAnsi="仿宋_GB2312" w:cs="仿宋_GB2312"/>
          <w:bCs/>
          <w:szCs w:val="30"/>
        </w:rPr>
      </w:pPr>
      <w:r>
        <w:rPr>
          <w:rFonts w:hint="eastAsia" w:ascii="仿宋_GB2312" w:hAnsi="仿宋_GB2312" w:cs="仿宋_GB2312"/>
          <w:bCs/>
          <w:szCs w:val="30"/>
        </w:rPr>
        <w:t>（三）激励约束。本次项目支出绩效评价结果与预算安排、政策调整、改进管理实质性挂钩，体现奖优罚劣和激励相容导向，有效要安排、低效要压减、无效要问责。</w:t>
      </w:r>
    </w:p>
    <w:p>
      <w:pPr>
        <w:spacing w:line="360" w:lineRule="auto"/>
        <w:rPr>
          <w:rFonts w:ascii="仿宋_GB2312" w:hAnsi="仿宋_GB2312" w:cs="仿宋_GB2312"/>
          <w:szCs w:val="30"/>
        </w:rPr>
      </w:pPr>
      <w:r>
        <w:rPr>
          <w:rFonts w:hint="eastAsia" w:ascii="仿宋_GB2312" w:hAnsi="仿宋_GB2312" w:cs="仿宋_GB2312"/>
          <w:szCs w:val="30"/>
        </w:rPr>
        <w:t>2、评价指标体系（附表说明）</w:t>
      </w:r>
    </w:p>
    <w:p>
      <w:pPr>
        <w:pStyle w:val="4"/>
        <w:spacing w:before="0" w:after="0" w:line="240" w:lineRule="auto"/>
        <w:jc w:val="center"/>
        <w:rPr>
          <w:rFonts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统战业务专项经费项目支出绩效评价指标体系</w:t>
      </w:r>
    </w:p>
    <w:tbl>
      <w:tblPr>
        <w:tblStyle w:val="10"/>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pPr>
            <w:r>
              <w:rPr>
                <w:rFonts w:hint="eastAsia"/>
              </w:rPr>
              <w:t>5</w:t>
            </w:r>
          </w:p>
        </w:tc>
        <w:tc>
          <w:tcPr>
            <w:tcW w:w="874" w:type="dxa"/>
            <w:tcBorders>
              <w:bottom w:val="single" w:color="auto" w:sz="4" w:space="0"/>
            </w:tcBorders>
            <w:shd w:val="clear" w:color="auto" w:fill="FFFFFF"/>
          </w:tcPr>
          <w:p>
            <w:pPr>
              <w:spacing w:line="600" w:lineRule="auto"/>
              <w:jc w:val="center"/>
            </w:pPr>
            <w:r>
              <w:rPr>
                <w:rFonts w:hint="eastAsi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pPr>
            <w:r>
              <w:rPr>
                <w:rFonts w:hint="eastAsia"/>
              </w:rPr>
              <w:t>5</w:t>
            </w:r>
          </w:p>
        </w:tc>
        <w:tc>
          <w:tcPr>
            <w:tcW w:w="874" w:type="dxa"/>
            <w:shd w:val="clear" w:color="auto" w:fill="FFFFFF"/>
          </w:tcPr>
          <w:p>
            <w:pPr>
              <w:spacing w:line="600" w:lineRule="auto"/>
              <w:jc w:val="center"/>
            </w:pPr>
            <w:r>
              <w:rPr>
                <w:rFonts w:hint="eastAsi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pPr>
            <w:r>
              <w:rPr>
                <w:rFonts w:hint="eastAsia"/>
              </w:rPr>
              <w:t>5</w:t>
            </w:r>
          </w:p>
        </w:tc>
        <w:tc>
          <w:tcPr>
            <w:tcW w:w="874" w:type="dxa"/>
            <w:shd w:val="clear" w:color="000000" w:fill="FFFFFF"/>
          </w:tcPr>
          <w:p>
            <w:pPr>
              <w:spacing w:line="600" w:lineRule="auto"/>
              <w:jc w:val="center"/>
            </w:pPr>
            <w:r>
              <w:rPr>
                <w:rFonts w:hint="eastAsi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pPr>
            <w:r>
              <w:rPr>
                <w:rFonts w:hint="eastAsia"/>
              </w:rPr>
              <w:t>5</w:t>
            </w:r>
          </w:p>
        </w:tc>
        <w:tc>
          <w:tcPr>
            <w:tcW w:w="874" w:type="dxa"/>
            <w:tcBorders>
              <w:bottom w:val="single" w:color="auto" w:sz="4" w:space="0"/>
            </w:tcBorders>
            <w:shd w:val="clear" w:color="000000" w:fill="FFFFFF"/>
          </w:tcPr>
          <w:p>
            <w:pPr>
              <w:spacing w:line="600" w:lineRule="auto"/>
              <w:jc w:val="center"/>
            </w:pPr>
            <w:r>
              <w:rPr>
                <w:rFonts w:hint="eastAsi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pPr>
            <w:r>
              <w:rPr>
                <w:rFonts w:hint="eastAsia"/>
              </w:rPr>
              <w:t>5</w:t>
            </w:r>
          </w:p>
        </w:tc>
        <w:tc>
          <w:tcPr>
            <w:tcW w:w="874" w:type="dxa"/>
            <w:tcBorders>
              <w:bottom w:val="single" w:color="auto" w:sz="4" w:space="0"/>
            </w:tcBorders>
            <w:shd w:val="clear" w:color="auto" w:fill="FFFFFF"/>
          </w:tcPr>
          <w:p>
            <w:pPr>
              <w:spacing w:line="600" w:lineRule="auto"/>
              <w:jc w:val="center"/>
            </w:pPr>
            <w:r>
              <w:rPr>
                <w:rFonts w:hint="eastAsi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pPr>
            <w:r>
              <w:rPr>
                <w:rFonts w:hint="eastAsia"/>
              </w:rPr>
              <w:t>5</w:t>
            </w:r>
          </w:p>
        </w:tc>
        <w:tc>
          <w:tcPr>
            <w:tcW w:w="874" w:type="dxa"/>
            <w:shd w:val="clear" w:color="auto" w:fill="FFFFFF"/>
          </w:tcPr>
          <w:p>
            <w:pPr>
              <w:spacing w:line="600" w:lineRule="auto"/>
              <w:jc w:val="center"/>
            </w:pPr>
            <w:r>
              <w:rPr>
                <w:rFonts w:hint="eastAsi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pPr>
            <w:r>
              <w:rPr>
                <w:rFonts w:hint="eastAsia"/>
              </w:rPr>
              <w:t>5</w:t>
            </w:r>
          </w:p>
        </w:tc>
        <w:tc>
          <w:tcPr>
            <w:tcW w:w="874" w:type="dxa"/>
            <w:tcBorders>
              <w:bottom w:val="single" w:color="auto" w:sz="4" w:space="0"/>
            </w:tcBorders>
            <w:shd w:val="clear" w:color="000000" w:fill="FFFFFF"/>
          </w:tcPr>
          <w:p>
            <w:pPr>
              <w:spacing w:line="600" w:lineRule="auto"/>
              <w:jc w:val="center"/>
            </w:pPr>
            <w:r>
              <w:rPr>
                <w:rFonts w:hint="eastAsi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pPr>
            <w:r>
              <w:rPr>
                <w:rFonts w:hint="eastAsia"/>
              </w:rPr>
              <w:t>5</w:t>
            </w:r>
          </w:p>
        </w:tc>
        <w:tc>
          <w:tcPr>
            <w:tcW w:w="874" w:type="dxa"/>
            <w:tcBorders>
              <w:bottom w:val="single" w:color="auto" w:sz="4" w:space="0"/>
            </w:tcBorders>
            <w:shd w:val="clear" w:color="auto" w:fill="FFFFFF"/>
          </w:tcPr>
          <w:p>
            <w:pPr>
              <w:spacing w:line="600" w:lineRule="auto"/>
              <w:jc w:val="center"/>
            </w:pPr>
            <w:r>
              <w:rPr>
                <w:rFonts w:hint="eastAsi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pPr>
            <w:r>
              <w:rPr>
                <w:rFonts w:hint="eastAsia"/>
              </w:rPr>
              <w:t>5</w:t>
            </w:r>
          </w:p>
        </w:tc>
        <w:tc>
          <w:tcPr>
            <w:tcW w:w="874" w:type="dxa"/>
            <w:tcBorders>
              <w:bottom w:val="single" w:color="auto" w:sz="4" w:space="0"/>
            </w:tcBorders>
            <w:shd w:val="clear" w:color="000000" w:fill="FFFFFF"/>
          </w:tcPr>
          <w:p>
            <w:pPr>
              <w:spacing w:line="600" w:lineRule="auto"/>
              <w:jc w:val="center"/>
            </w:pPr>
            <w:r>
              <w:rPr>
                <w:rFonts w:hint="eastAsi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pPr>
            <w:r>
              <w:rPr>
                <w:rFonts w:hint="eastAsia"/>
              </w:rPr>
              <w:t>5</w:t>
            </w:r>
          </w:p>
        </w:tc>
        <w:tc>
          <w:tcPr>
            <w:tcW w:w="874" w:type="dxa"/>
            <w:tcBorders>
              <w:bottom w:val="single" w:color="auto" w:sz="4" w:space="0"/>
            </w:tcBorders>
            <w:shd w:val="clear" w:color="000000" w:fill="FFFFFF"/>
          </w:tcPr>
          <w:p>
            <w:pPr>
              <w:spacing w:line="600" w:lineRule="auto"/>
              <w:jc w:val="center"/>
            </w:pPr>
            <w:r>
              <w:rPr>
                <w:rFonts w:hint="eastAsi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pPr>
            <w:r>
              <w:rPr>
                <w:rFonts w:hint="eastAsia"/>
              </w:rPr>
              <w:t>5</w:t>
            </w:r>
          </w:p>
        </w:tc>
        <w:tc>
          <w:tcPr>
            <w:tcW w:w="874" w:type="dxa"/>
            <w:tcBorders>
              <w:bottom w:val="single" w:color="auto" w:sz="4" w:space="0"/>
            </w:tcBorders>
            <w:shd w:val="clear" w:color="000000" w:fill="FFFFFF"/>
          </w:tcPr>
          <w:p>
            <w:pPr>
              <w:spacing w:line="600" w:lineRule="auto"/>
              <w:jc w:val="center"/>
            </w:pPr>
            <w:r>
              <w:rPr>
                <w:rFonts w:hint="eastAsi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pPr>
            <w:r>
              <w:rPr>
                <w:rFonts w:hint="eastAsia"/>
              </w:rPr>
              <w:t>10</w:t>
            </w:r>
          </w:p>
        </w:tc>
        <w:tc>
          <w:tcPr>
            <w:tcW w:w="874" w:type="dxa"/>
            <w:shd w:val="clear" w:color="000000" w:fill="FFFFFF"/>
          </w:tcPr>
          <w:p>
            <w:pPr>
              <w:spacing w:line="600" w:lineRule="auto"/>
              <w:jc w:val="center"/>
            </w:pPr>
            <w:r>
              <w:rPr>
                <w:rFonts w:hint="eastAsia"/>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pPr>
            <w:r>
              <w:rPr>
                <w:rFonts w:hint="eastAsia"/>
              </w:rPr>
              <w:t>5</w:t>
            </w:r>
          </w:p>
        </w:tc>
        <w:tc>
          <w:tcPr>
            <w:tcW w:w="874" w:type="dxa"/>
            <w:shd w:val="clear" w:color="000000" w:fill="FFFFFF"/>
          </w:tcPr>
          <w:p>
            <w:pPr>
              <w:spacing w:line="600" w:lineRule="auto"/>
              <w:jc w:val="center"/>
            </w:pPr>
            <w:r>
              <w:rPr>
                <w:rFonts w:hint="eastAsi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pPr>
            <w:r>
              <w:rPr>
                <w:rFonts w:hint="eastAsia"/>
              </w:rPr>
              <w:t>5</w:t>
            </w:r>
          </w:p>
        </w:tc>
        <w:tc>
          <w:tcPr>
            <w:tcW w:w="874" w:type="dxa"/>
            <w:shd w:val="clear" w:color="000000" w:fill="FFFFFF"/>
          </w:tcPr>
          <w:p>
            <w:pPr>
              <w:spacing w:line="600" w:lineRule="auto"/>
              <w:jc w:val="center"/>
            </w:pPr>
            <w:r>
              <w:rPr>
                <w:rFonts w:hint="eastAsi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pPr>
            <w:r>
              <w:rPr>
                <w:rFonts w:hint="eastAsia"/>
              </w:rPr>
              <w:t>10</w:t>
            </w:r>
          </w:p>
        </w:tc>
        <w:tc>
          <w:tcPr>
            <w:tcW w:w="874" w:type="dxa"/>
            <w:shd w:val="clear" w:color="auto" w:fill="FFFFFF"/>
          </w:tcPr>
          <w:p>
            <w:pPr>
              <w:spacing w:line="600" w:lineRule="auto"/>
              <w:jc w:val="center"/>
            </w:pPr>
            <w:r>
              <w:rPr>
                <w:rFonts w:hint="eastAsia"/>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tcPr>
          <w:p>
            <w:pPr>
              <w:spacing w:line="600" w:lineRule="auto"/>
              <w:jc w:val="center"/>
            </w:pPr>
            <w:r>
              <w:rPr>
                <w:rFonts w:hint="eastAsia"/>
              </w:rPr>
              <w:t>5</w:t>
            </w:r>
          </w:p>
        </w:tc>
        <w:tc>
          <w:tcPr>
            <w:tcW w:w="874" w:type="dxa"/>
            <w:shd w:val="clear" w:color="auto" w:fill="FFFFFF"/>
          </w:tcPr>
          <w:p>
            <w:pPr>
              <w:spacing w:line="600" w:lineRule="auto"/>
              <w:jc w:val="center"/>
            </w:pPr>
            <w:r>
              <w:rPr>
                <w:rFonts w:hint="eastAsi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pPr>
            <w:r>
              <w:rPr>
                <w:rFonts w:hint="eastAsia"/>
              </w:rPr>
              <w:t>10</w:t>
            </w:r>
          </w:p>
        </w:tc>
        <w:tc>
          <w:tcPr>
            <w:tcW w:w="874" w:type="dxa"/>
            <w:shd w:val="clear" w:color="000000" w:fill="FFFFFF"/>
          </w:tcPr>
          <w:p>
            <w:pPr>
              <w:spacing w:line="600" w:lineRule="auto"/>
              <w:jc w:val="center"/>
            </w:pPr>
            <w:r>
              <w:rPr>
                <w:rFonts w:hint="eastAsia"/>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41"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思源黑体 CN Medium" w:hAnsi="思源黑体 CN Medium" w:eastAsia="思源黑体 CN Medium" w:cs="思源黑体 CN Medium"/>
                <w:color w:val="000000"/>
                <w:kern w:val="0"/>
                <w:sz w:val="24"/>
              </w:rPr>
              <w:t>100</w:t>
            </w:r>
          </w:p>
        </w:tc>
        <w:tc>
          <w:tcPr>
            <w:tcW w:w="874"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100</w:t>
            </w:r>
          </w:p>
        </w:tc>
      </w:tr>
    </w:tbl>
    <w:p>
      <w:pPr>
        <w:sectPr>
          <w:pgSz w:w="11906" w:h="16838"/>
          <w:pgMar w:top="1928" w:right="1531" w:bottom="1701" w:left="1531" w:header="737" w:footer="851" w:gutter="0"/>
          <w:cols w:space="720" w:num="1"/>
          <w:docGrid w:type="lines" w:linePitch="408" w:charSpace="0"/>
        </w:sectPr>
      </w:pPr>
    </w:p>
    <w:p>
      <w:pPr>
        <w:spacing w:line="360" w:lineRule="auto"/>
      </w:pPr>
      <w:r>
        <w:rPr>
          <w:rFonts w:hint="eastAsia"/>
        </w:rPr>
        <w:t>3、评价方法</w:t>
      </w:r>
    </w:p>
    <w:p>
      <w:pPr>
        <w:spacing w:line="360" w:lineRule="auto"/>
        <w:ind w:firstLine="640" w:firstLineChars="200"/>
        <w:rPr>
          <w:bCs/>
          <w:sz w:val="32"/>
          <w:szCs w:val="32"/>
        </w:rPr>
      </w:pPr>
      <w:r>
        <w:rPr>
          <w:rFonts w:hint="eastAsia"/>
          <w:bCs/>
          <w:color w:val="auto"/>
          <w:sz w:val="32"/>
          <w:szCs w:val="32"/>
        </w:rPr>
        <w:t>本次项目支出绩效自评采用</w:t>
      </w:r>
      <w:r>
        <w:rPr>
          <w:rFonts w:hint="eastAsia" w:ascii="仿宋_GB2312" w:hAnsi="仿宋_GB2312" w:eastAsia="仿宋_GB2312" w:cs="仿宋_GB2312"/>
          <w:bCs/>
          <w:color w:val="auto"/>
          <w:sz w:val="32"/>
          <w:szCs w:val="32"/>
        </w:rPr>
        <w:t>成本效益分析法</w:t>
      </w:r>
      <w:r>
        <w:rPr>
          <w:rFonts w:hint="eastAsia" w:ascii="仿宋_GB2312" w:hAnsi="仿宋_GB2312" w:cs="仿宋_GB2312"/>
          <w:bCs/>
          <w:color w:val="auto"/>
          <w:sz w:val="32"/>
          <w:szCs w:val="32"/>
          <w:lang w:val="en-US" w:eastAsia="zh-CN"/>
        </w:rPr>
        <w:t>,</w:t>
      </w:r>
      <w:r>
        <w:rPr>
          <w:rFonts w:hint="eastAsia"/>
          <w:bCs/>
          <w:color w:val="auto"/>
          <w:sz w:val="32"/>
          <w:szCs w:val="32"/>
        </w:rPr>
        <w:t>原因是：</w:t>
      </w:r>
      <w:r>
        <w:rPr>
          <w:rFonts w:hint="eastAsia"/>
          <w:bCs/>
          <w:color w:val="auto"/>
          <w:sz w:val="32"/>
          <w:szCs w:val="32"/>
          <w:lang w:eastAsia="zh-CN"/>
        </w:rPr>
        <w:t>项目投入与产出、效益所付出的成本，通过最小成本取得了最大的效益</w:t>
      </w:r>
      <w:r>
        <w:rPr>
          <w:rFonts w:hint="eastAsia" w:ascii="仿宋_GB2312" w:hAnsi="仿宋_GB2312" w:eastAsia="仿宋_GB2312" w:cs="仿宋_GB2312"/>
          <w:bCs/>
          <w:color w:val="auto"/>
          <w:sz w:val="32"/>
          <w:szCs w:val="32"/>
        </w:rPr>
        <w:t>。</w:t>
      </w:r>
    </w:p>
    <w:p>
      <w:pPr>
        <w:spacing w:line="360" w:lineRule="auto"/>
        <w:rPr>
          <w:bCs/>
          <w:color w:val="FF0000"/>
          <w:sz w:val="32"/>
          <w:szCs w:val="32"/>
        </w:rPr>
      </w:pPr>
      <w:r>
        <w:rPr>
          <w:rFonts w:hint="eastAsia"/>
        </w:rPr>
        <w:t>4、评价标准</w:t>
      </w:r>
    </w:p>
    <w:p>
      <w:pPr>
        <w:spacing w:line="360" w:lineRule="auto"/>
        <w:ind w:firstLine="640" w:firstLineChars="200"/>
        <w:rPr>
          <w:bCs/>
          <w:szCs w:val="30"/>
        </w:rPr>
      </w:pPr>
      <w:r>
        <w:rPr>
          <w:rFonts w:hint="eastAsia"/>
          <w:bCs/>
          <w:color w:val="auto"/>
          <w:sz w:val="32"/>
          <w:szCs w:val="32"/>
        </w:rPr>
        <w:t>本次项目支出绩效自评采用</w:t>
      </w:r>
      <w:r>
        <w:rPr>
          <w:rFonts w:hint="eastAsia"/>
          <w:bCs/>
          <w:color w:val="auto"/>
          <w:sz w:val="30"/>
          <w:szCs w:val="30"/>
        </w:rPr>
        <w:t>计划标准</w:t>
      </w:r>
      <w:r>
        <w:rPr>
          <w:rFonts w:hint="eastAsia"/>
          <w:bCs/>
          <w:color w:val="auto"/>
          <w:sz w:val="32"/>
          <w:szCs w:val="32"/>
        </w:rPr>
        <w:t>，原因是：</w:t>
      </w:r>
      <w:r>
        <w:rPr>
          <w:rFonts w:hint="eastAsia"/>
          <w:bCs/>
          <w:color w:val="auto"/>
          <w:sz w:val="32"/>
          <w:szCs w:val="32"/>
          <w:lang w:eastAsia="zh-CN"/>
        </w:rPr>
        <w:t>此项目预先已制定了明确的目标、计划和预算，并根据预算进行定额。</w:t>
      </w:r>
    </w:p>
    <w:p>
      <w:pPr>
        <w:pStyle w:val="4"/>
        <w:spacing w:line="360" w:lineRule="auto"/>
        <w:rPr>
          <w:rFonts w:ascii="仿宋_GB2312" w:eastAsia="仿宋_GB2312"/>
          <w:b w:val="0"/>
          <w:bCs w:val="0"/>
        </w:rPr>
      </w:pPr>
      <w:bookmarkStart w:id="6" w:name="_Toc68703833"/>
      <w:r>
        <w:rPr>
          <w:rFonts w:hint="eastAsia" w:ascii="仿宋_GB2312" w:eastAsia="仿宋_GB2312"/>
          <w:b w:val="0"/>
          <w:bCs w:val="0"/>
        </w:rPr>
        <w:t>（三）绩效评价工作过程。</w:t>
      </w:r>
      <w:bookmarkEnd w:id="6"/>
    </w:p>
    <w:p>
      <w:pPr>
        <w:pStyle w:val="4"/>
        <w:spacing w:line="360" w:lineRule="auto"/>
        <w:rPr>
          <w:rFonts w:ascii="仿宋_GB2312" w:hAnsi="仿宋_GB2312" w:eastAsia="仿宋_GB2312" w:cs="仿宋_GB2312"/>
        </w:rPr>
      </w:pPr>
      <w:r>
        <w:rPr>
          <w:rFonts w:hint="eastAsia" w:ascii="仿宋_GB2312" w:hAnsi="仿宋_GB2312" w:eastAsia="仿宋_GB2312" w:cs="仿宋_GB2312"/>
        </w:rPr>
        <w:t>前期准备：</w:t>
      </w:r>
    </w:p>
    <w:p>
      <w:pPr>
        <w:shd w:val="clear"/>
        <w:spacing w:line="360" w:lineRule="auto"/>
        <w:ind w:firstLine="600" w:firstLineChars="200"/>
        <w:rPr>
          <w:color w:val="auto"/>
          <w:highlight w:val="none"/>
          <w:shd w:val="clear" w:color="auto" w:fill="auto"/>
        </w:rPr>
      </w:pPr>
      <w:bookmarkStart w:id="7" w:name="_Toc68703834"/>
      <w:r>
        <w:rPr>
          <w:rFonts w:hint="eastAsia"/>
          <w:color w:val="auto"/>
          <w:highlight w:val="none"/>
          <w:shd w:val="clear" w:color="auto" w:fill="auto"/>
        </w:rPr>
        <w:t>2</w:t>
      </w:r>
      <w:r>
        <w:rPr>
          <w:color w:val="auto"/>
          <w:highlight w:val="none"/>
          <w:shd w:val="clear" w:color="auto" w:fill="auto"/>
        </w:rPr>
        <w:t>02</w:t>
      </w:r>
      <w:r>
        <w:rPr>
          <w:rFonts w:hint="eastAsia"/>
          <w:color w:val="auto"/>
          <w:highlight w:val="none"/>
          <w:shd w:val="clear" w:color="auto" w:fill="auto"/>
        </w:rPr>
        <w:t>2年</w:t>
      </w:r>
      <w:r>
        <w:rPr>
          <w:rFonts w:hint="eastAsia"/>
          <w:color w:val="auto"/>
          <w:highlight w:val="none"/>
          <w:shd w:val="clear" w:color="auto" w:fill="auto"/>
          <w:lang w:val="en-US" w:eastAsia="zh-CN"/>
        </w:rPr>
        <w:t>3</w:t>
      </w:r>
      <w:r>
        <w:rPr>
          <w:rFonts w:hint="eastAsia"/>
          <w:color w:val="auto"/>
          <w:highlight w:val="none"/>
          <w:shd w:val="clear" w:color="auto" w:fill="auto"/>
        </w:rPr>
        <w:t>月 1日，</w:t>
      </w:r>
      <w:r>
        <w:rPr>
          <w:rFonts w:hint="eastAsia" w:ascii="仿宋_GB2312"/>
          <w:color w:val="auto"/>
          <w:highlight w:val="none"/>
          <w:shd w:val="clear" w:color="auto" w:fill="auto"/>
          <w:lang w:val="zh-CN"/>
        </w:rPr>
        <w:t>开始前期准备工作，评价组通过前期调研</w:t>
      </w:r>
      <w:r>
        <w:rPr>
          <w:rFonts w:hint="eastAsia"/>
          <w:color w:val="auto"/>
          <w:highlight w:val="none"/>
          <w:shd w:val="clear" w:color="auto" w:fill="auto"/>
        </w:rPr>
        <w:t>确定绩效评价对象和范围，</w:t>
      </w:r>
      <w:r>
        <w:rPr>
          <w:rFonts w:hint="eastAsia" w:ascii="仿宋_GB2312"/>
          <w:color w:val="auto"/>
          <w:highlight w:val="none"/>
          <w:shd w:val="clear" w:color="auto" w:fill="auto"/>
          <w:lang w:val="zh-CN"/>
        </w:rPr>
        <w:t>确定了评价的目的、方法以及评价的原则，根据项目的内容和特征制定了评价指标体系及评价标准以及评价实施方案，修正并确定所需资料清单，最终确定</w:t>
      </w:r>
      <w:r>
        <w:rPr>
          <w:rFonts w:hint="eastAsia"/>
          <w:color w:val="auto"/>
          <w:highlight w:val="none"/>
          <w:shd w:val="clear" w:color="auto" w:fill="auto"/>
        </w:rPr>
        <w:t>绩效评价工作方案；</w:t>
      </w:r>
    </w:p>
    <w:p>
      <w:pPr>
        <w:shd w:val="clear"/>
        <w:spacing w:line="360" w:lineRule="auto"/>
        <w:rPr>
          <w:color w:val="auto"/>
          <w:highlight w:val="none"/>
          <w:shd w:val="clear" w:color="auto" w:fill="auto"/>
        </w:rPr>
      </w:pPr>
      <w:r>
        <w:rPr>
          <w:color w:val="auto"/>
          <w:highlight w:val="none"/>
          <w:shd w:val="clear" w:color="auto" w:fill="auto"/>
        </w:rPr>
        <w:t>2</w:t>
      </w:r>
      <w:r>
        <w:rPr>
          <w:rFonts w:hint="eastAsia"/>
          <w:color w:val="auto"/>
          <w:highlight w:val="none"/>
          <w:shd w:val="clear" w:color="auto" w:fill="auto"/>
        </w:rPr>
        <w:t>、组织实施：</w:t>
      </w:r>
    </w:p>
    <w:p>
      <w:pPr>
        <w:shd w:val="clear"/>
        <w:spacing w:line="360" w:lineRule="auto"/>
        <w:ind w:firstLine="600" w:firstLineChars="200"/>
        <w:rPr>
          <w:color w:val="auto"/>
          <w:highlight w:val="none"/>
          <w:shd w:val="clear"/>
        </w:rPr>
      </w:pPr>
      <w:r>
        <w:rPr>
          <w:rFonts w:hint="eastAsia"/>
          <w:color w:val="auto"/>
          <w:highlight w:val="none"/>
          <w:shd w:val="clear" w:color="auto" w:fill="auto"/>
        </w:rPr>
        <w:t>2</w:t>
      </w:r>
      <w:r>
        <w:rPr>
          <w:color w:val="auto"/>
          <w:highlight w:val="none"/>
          <w:shd w:val="clear" w:color="auto" w:fill="auto"/>
        </w:rPr>
        <w:t>022</w:t>
      </w:r>
      <w:r>
        <w:rPr>
          <w:rFonts w:hint="eastAsia"/>
          <w:color w:val="auto"/>
          <w:highlight w:val="none"/>
          <w:shd w:val="clear" w:color="auto" w:fill="auto"/>
        </w:rPr>
        <w:t>年</w:t>
      </w:r>
      <w:r>
        <w:rPr>
          <w:rFonts w:hint="eastAsia"/>
          <w:color w:val="auto"/>
          <w:highlight w:val="none"/>
          <w:shd w:val="clear" w:color="auto" w:fill="auto"/>
          <w:lang w:val="en-US" w:eastAsia="zh-CN"/>
        </w:rPr>
        <w:t>3</w:t>
      </w:r>
      <w:r>
        <w:rPr>
          <w:rFonts w:hint="eastAsia"/>
          <w:color w:val="auto"/>
          <w:highlight w:val="none"/>
          <w:shd w:val="clear" w:color="auto" w:fill="auto"/>
        </w:rPr>
        <w:t xml:space="preserve"> 月</w:t>
      </w:r>
      <w:r>
        <w:rPr>
          <w:rFonts w:hint="eastAsia"/>
          <w:color w:val="auto"/>
          <w:highlight w:val="none"/>
          <w:shd w:val="clear" w:color="auto" w:fill="auto"/>
          <w:lang w:val="en-US" w:eastAsia="zh-CN"/>
        </w:rPr>
        <w:t>10</w:t>
      </w:r>
      <w:r>
        <w:rPr>
          <w:rFonts w:hint="eastAsia"/>
          <w:color w:val="auto"/>
          <w:highlight w:val="none"/>
          <w:shd w:val="clear" w:color="auto" w:fill="auto"/>
        </w:rPr>
        <w:t xml:space="preserve"> 日-</w:t>
      </w:r>
      <w:r>
        <w:rPr>
          <w:rFonts w:hint="eastAsia"/>
          <w:color w:val="auto"/>
          <w:highlight w:val="none"/>
          <w:shd w:val="clear" w:color="auto" w:fill="auto"/>
          <w:lang w:val="en-US" w:eastAsia="zh-CN"/>
        </w:rPr>
        <w:t>3</w:t>
      </w:r>
      <w:r>
        <w:rPr>
          <w:rFonts w:hint="eastAsia"/>
          <w:color w:val="auto"/>
          <w:highlight w:val="none"/>
          <w:shd w:val="clear" w:color="auto" w:fill="auto"/>
        </w:rPr>
        <w:t>月</w:t>
      </w:r>
      <w:r>
        <w:rPr>
          <w:rFonts w:hint="eastAsia"/>
          <w:color w:val="auto"/>
          <w:highlight w:val="none"/>
          <w:shd w:val="clear" w:color="auto" w:fill="auto"/>
          <w:lang w:val="en-US" w:eastAsia="zh-CN"/>
        </w:rPr>
        <w:t>20</w:t>
      </w:r>
      <w:r>
        <w:rPr>
          <w:rFonts w:hint="eastAsia"/>
          <w:color w:val="auto"/>
          <w:highlight w:val="none"/>
          <w:shd w:val="clear" w:color="auto" w:fill="auto"/>
        </w:rPr>
        <w:t xml:space="preserve"> 日，</w:t>
      </w:r>
      <w:r>
        <w:rPr>
          <w:rFonts w:hint="eastAsia" w:ascii="仿宋_GB2312"/>
          <w:color w:val="auto"/>
          <w:highlight w:val="none"/>
          <w:shd w:val="clear" w:color="auto" w:fill="auto"/>
        </w:rPr>
        <w:t>评价工作进入实施阶段，评价组</w:t>
      </w:r>
      <w:r>
        <w:rPr>
          <w:rFonts w:hint="eastAsia"/>
          <w:color w:val="auto"/>
          <w:highlight w:val="none"/>
          <w:shd w:val="clear" w:color="auto" w:fill="auto"/>
        </w:rPr>
        <w:t>收集绩效评价相关数据资料，进行现场调研、座谈；并</w:t>
      </w:r>
      <w:r>
        <w:rPr>
          <w:rFonts w:hint="eastAsia" w:ascii="仿宋_GB2312"/>
          <w:color w:val="auto"/>
          <w:highlight w:val="none"/>
          <w:shd w:val="clear" w:color="auto" w:fill="auto"/>
        </w:rPr>
        <w:t>与项目实施负责人沟通，了解资金的内容、操作流程、管理机制、资金使用</w:t>
      </w:r>
      <w:r>
        <w:rPr>
          <w:rFonts w:hint="eastAsia" w:ascii="仿宋_GB2312"/>
          <w:color w:val="auto"/>
          <w:highlight w:val="none"/>
          <w:shd w:val="clear"/>
        </w:rPr>
        <w:t>方向等情况</w:t>
      </w:r>
      <w:r>
        <w:rPr>
          <w:rFonts w:hint="eastAsia"/>
          <w:color w:val="auto"/>
          <w:highlight w:val="none"/>
          <w:shd w:val="clear"/>
        </w:rPr>
        <w:t>，</w:t>
      </w:r>
      <w:r>
        <w:rPr>
          <w:color w:val="auto"/>
          <w:highlight w:val="none"/>
          <w:shd w:val="clear"/>
        </w:rPr>
        <w:t>分析</w:t>
      </w:r>
      <w:r>
        <w:rPr>
          <w:rFonts w:hint="eastAsia"/>
          <w:color w:val="auto"/>
          <w:highlight w:val="none"/>
          <w:shd w:val="clear"/>
        </w:rPr>
        <w:t>形成初步结论。</w:t>
      </w:r>
    </w:p>
    <w:p>
      <w:pPr>
        <w:shd w:val="clear"/>
        <w:spacing w:line="360" w:lineRule="auto"/>
        <w:rPr>
          <w:color w:val="auto"/>
          <w:highlight w:val="none"/>
          <w:shd w:val="clear"/>
        </w:rPr>
      </w:pPr>
      <w:r>
        <w:rPr>
          <w:rFonts w:hint="eastAsia"/>
          <w:color w:val="auto"/>
          <w:highlight w:val="none"/>
          <w:shd w:val="clear"/>
        </w:rPr>
        <w:t>3、分析评价：</w:t>
      </w:r>
    </w:p>
    <w:p>
      <w:pPr>
        <w:shd w:val="clear"/>
        <w:spacing w:line="360" w:lineRule="auto"/>
        <w:ind w:firstLine="600" w:firstLineChars="200"/>
        <w:jc w:val="both"/>
        <w:rPr>
          <w:rFonts w:ascii="仿宋_GB2312"/>
          <w:color w:val="auto"/>
          <w:highlight w:val="none"/>
          <w:shd w:val="clear"/>
        </w:rPr>
      </w:pPr>
      <w:r>
        <w:rPr>
          <w:rFonts w:hint="eastAsia"/>
          <w:color w:val="auto"/>
          <w:highlight w:val="none"/>
          <w:shd w:val="clear"/>
        </w:rPr>
        <w:t>202</w:t>
      </w:r>
      <w:r>
        <w:rPr>
          <w:color w:val="auto"/>
          <w:highlight w:val="none"/>
          <w:shd w:val="clear"/>
        </w:rPr>
        <w:t>2</w:t>
      </w:r>
      <w:r>
        <w:rPr>
          <w:rFonts w:hint="eastAsia"/>
          <w:color w:val="auto"/>
          <w:highlight w:val="none"/>
          <w:shd w:val="clear"/>
        </w:rPr>
        <w:t>年</w:t>
      </w:r>
      <w:r>
        <w:rPr>
          <w:rFonts w:hint="eastAsia"/>
          <w:color w:val="auto"/>
          <w:highlight w:val="none"/>
          <w:shd w:val="clear"/>
          <w:lang w:val="en-US" w:eastAsia="zh-CN"/>
        </w:rPr>
        <w:t>3</w:t>
      </w:r>
      <w:r>
        <w:rPr>
          <w:rFonts w:hint="eastAsia"/>
          <w:color w:val="auto"/>
          <w:highlight w:val="none"/>
          <w:shd w:val="clear"/>
        </w:rPr>
        <w:t>月</w:t>
      </w:r>
      <w:r>
        <w:rPr>
          <w:rFonts w:hint="eastAsia"/>
          <w:color w:val="auto"/>
          <w:highlight w:val="none"/>
          <w:shd w:val="clear"/>
          <w:lang w:val="en-US" w:eastAsia="zh-CN"/>
        </w:rPr>
        <w:t>21</w:t>
      </w:r>
      <w:r>
        <w:rPr>
          <w:rFonts w:hint="eastAsia"/>
          <w:color w:val="auto"/>
          <w:highlight w:val="none"/>
          <w:shd w:val="clear"/>
        </w:rPr>
        <w:t xml:space="preserve"> 日-</w:t>
      </w:r>
      <w:r>
        <w:rPr>
          <w:rFonts w:hint="eastAsia"/>
          <w:color w:val="auto"/>
          <w:highlight w:val="none"/>
          <w:shd w:val="clear"/>
          <w:lang w:val="en-US" w:eastAsia="zh-CN"/>
        </w:rPr>
        <w:t>3</w:t>
      </w:r>
      <w:r>
        <w:rPr>
          <w:rFonts w:hint="eastAsia"/>
          <w:color w:val="auto"/>
          <w:highlight w:val="none"/>
          <w:shd w:val="clear"/>
        </w:rPr>
        <w:t>月</w:t>
      </w:r>
      <w:r>
        <w:rPr>
          <w:rFonts w:hint="eastAsia"/>
          <w:color w:val="auto"/>
          <w:highlight w:val="none"/>
          <w:shd w:val="clear"/>
          <w:lang w:val="en-US" w:eastAsia="zh-CN"/>
        </w:rPr>
        <w:t>31</w:t>
      </w:r>
      <w:r>
        <w:rPr>
          <w:rFonts w:hint="eastAsia"/>
          <w:color w:val="auto"/>
          <w:highlight w:val="none"/>
          <w:shd w:val="clear"/>
        </w:rPr>
        <w:t xml:space="preserve"> 日，评价组按照绩效评价的原则和规范，对取得的资料进行审查核实，对采集的数据进行分析，按照绩效评价指标评分表逐项进行打分、分析，汇总各方评价结果，综合分析并形成评价结论。</w:t>
      </w:r>
    </w:p>
    <w:p>
      <w:pPr>
        <w:pStyle w:val="3"/>
        <w:spacing w:line="360" w:lineRule="auto"/>
        <w:rPr>
          <w:rFonts w:ascii="宋体" w:hAnsi="宋体" w:eastAsia="宋体"/>
          <w:sz w:val="32"/>
          <w:szCs w:val="32"/>
        </w:rPr>
      </w:pPr>
      <w:r>
        <w:rPr>
          <w:rFonts w:hint="eastAsia" w:ascii="宋体" w:hAnsi="宋体" w:eastAsia="宋体"/>
          <w:sz w:val="32"/>
          <w:szCs w:val="32"/>
        </w:rPr>
        <w:t>三、综合评价情况及评价结论</w:t>
      </w:r>
      <w:bookmarkEnd w:id="7"/>
      <w:bookmarkStart w:id="8" w:name="_Toc68703835"/>
    </w:p>
    <w:p>
      <w:pPr>
        <w:pStyle w:val="3"/>
        <w:spacing w:line="360" w:lineRule="auto"/>
        <w:rPr>
          <w:rFonts w:ascii="仿宋_GB2312"/>
          <w:b w:val="0"/>
          <w:bCs w:val="0"/>
        </w:rPr>
      </w:pPr>
      <w:r>
        <w:rPr>
          <w:rFonts w:hint="eastAsia" w:ascii="仿宋_GB2312"/>
          <w:b w:val="0"/>
          <w:bCs w:val="0"/>
          <w:sz w:val="30"/>
          <w:szCs w:val="30"/>
        </w:rPr>
        <w:t>（一）综合评价情况</w:t>
      </w:r>
      <w:bookmarkEnd w:id="8"/>
    </w:p>
    <w:p>
      <w:pPr>
        <w:spacing w:line="360" w:lineRule="auto"/>
        <w:ind w:firstLine="600" w:firstLineChars="200"/>
      </w:pPr>
      <w:r>
        <w:rPr>
          <w:rFonts w:hint="eastAsia"/>
        </w:rPr>
        <w:t>本项目严格按照</w:t>
      </w:r>
      <w:r>
        <w:rPr>
          <w:rFonts w:hint="eastAsia" w:ascii="仿宋_GB2312"/>
          <w:bCs/>
          <w:kern w:val="0"/>
          <w:sz w:val="32"/>
          <w:szCs w:val="32"/>
        </w:rPr>
        <w:t>科学公正、统筹兼顾、激励约束的</w:t>
      </w:r>
      <w:r>
        <w:rPr>
          <w:rFonts w:hint="eastAsia"/>
        </w:rPr>
        <w:t>绩效评价原则，采用</w:t>
      </w:r>
      <w:r>
        <w:rPr>
          <w:rFonts w:hint="eastAsia" w:ascii="仿宋_GB2312" w:hAnsi="仿宋_GB2312" w:eastAsia="仿宋_GB2312" w:cs="仿宋_GB2312"/>
          <w:bCs/>
          <w:color w:val="auto"/>
          <w:sz w:val="32"/>
          <w:szCs w:val="32"/>
        </w:rPr>
        <w:t>成本效益分</w:t>
      </w:r>
      <w:r>
        <w:rPr>
          <w:rFonts w:hint="eastAsia" w:ascii="仿宋_GB2312" w:hAnsi="仿宋_GB2312" w:eastAsia="仿宋_GB2312" w:cs="仿宋_GB2312"/>
          <w:bCs/>
          <w:color w:val="auto"/>
          <w:sz w:val="32"/>
          <w:szCs w:val="32"/>
          <w:highlight w:val="none"/>
        </w:rPr>
        <w:t>析法</w:t>
      </w:r>
      <w:r>
        <w:rPr>
          <w:rFonts w:hint="eastAsia"/>
          <w:highlight w:val="none"/>
        </w:rPr>
        <w:t>，坚持</w:t>
      </w:r>
      <w:r>
        <w:rPr>
          <w:rFonts w:hint="eastAsia"/>
          <w:bCs/>
          <w:color w:val="auto"/>
          <w:sz w:val="30"/>
          <w:szCs w:val="30"/>
          <w:highlight w:val="none"/>
        </w:rPr>
        <w:t>计</w:t>
      </w:r>
      <w:r>
        <w:rPr>
          <w:rFonts w:hint="eastAsia"/>
          <w:bCs/>
          <w:color w:val="auto"/>
          <w:sz w:val="30"/>
          <w:szCs w:val="30"/>
        </w:rPr>
        <w:t>划标准</w:t>
      </w:r>
      <w:r>
        <w:rPr>
          <w:rFonts w:hint="eastAsia"/>
        </w:rPr>
        <w:t>对本项目的立项、项绩效目标、资金投入、资金管理、组织实施、产出数量、产出质量、产出时效、产出成本、项目效益进行了综合评价。</w:t>
      </w:r>
    </w:p>
    <w:p>
      <w:pPr>
        <w:spacing w:line="360" w:lineRule="auto"/>
        <w:ind w:firstLine="600" w:firstLineChars="200"/>
      </w:pPr>
      <w:r>
        <w:rPr>
          <w:rFonts w:hint="eastAsia"/>
        </w:rPr>
        <w:t>项目评价得分情况</w:t>
      </w:r>
    </w:p>
    <w:tbl>
      <w:tblPr>
        <w:tblStyle w:val="10"/>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25</w:t>
            </w:r>
          </w:p>
        </w:tc>
        <w:tc>
          <w:tcPr>
            <w:tcW w:w="227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15</w:t>
            </w:r>
          </w:p>
        </w:tc>
        <w:tc>
          <w:tcPr>
            <w:tcW w:w="227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lang w:val="en-US" w:eastAsia="zh-CN"/>
              </w:rPr>
              <w:t>15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b/>
                <w:bCs/>
                <w:color w:val="000000"/>
                <w:sz w:val="22"/>
              </w:rPr>
            </w:pPr>
            <w:r>
              <w:rPr>
                <w:rFonts w:hint="eastAsia"/>
                <w:b/>
                <w:bCs/>
                <w:color w:val="000000"/>
                <w:sz w:val="22"/>
              </w:rPr>
              <w:t>100</w:t>
            </w:r>
          </w:p>
        </w:tc>
        <w:tc>
          <w:tcPr>
            <w:tcW w:w="2278" w:type="dxa"/>
            <w:tcBorders>
              <w:top w:val="nil"/>
              <w:left w:val="nil"/>
              <w:bottom w:val="single" w:color="auto" w:sz="4" w:space="0"/>
              <w:right w:val="single" w:color="auto" w:sz="4" w:space="0"/>
            </w:tcBorders>
            <w:shd w:val="clear" w:color="auto" w:fill="auto"/>
            <w:vAlign w:val="center"/>
          </w:tcPr>
          <w:p>
            <w:pPr>
              <w:jc w:val="center"/>
              <w:rPr>
                <w:b/>
                <w:bCs/>
                <w:color w:val="000000"/>
                <w:sz w:val="22"/>
              </w:rPr>
            </w:pPr>
            <w:r>
              <w:rPr>
                <w:rFonts w:hint="eastAsia"/>
                <w:b/>
                <w:bCs/>
                <w:color w:val="000000"/>
                <w:sz w:val="22"/>
              </w:rPr>
              <w:t>100</w:t>
            </w:r>
          </w:p>
        </w:tc>
      </w:tr>
    </w:tbl>
    <w:p>
      <w:pPr>
        <w:pStyle w:val="4"/>
        <w:spacing w:line="360" w:lineRule="auto"/>
        <w:rPr>
          <w:rFonts w:ascii="仿宋_GB2312" w:eastAsia="仿宋_GB2312"/>
          <w:b w:val="0"/>
          <w:bCs w:val="0"/>
        </w:rPr>
      </w:pPr>
      <w:bookmarkStart w:id="9" w:name="_Toc68703836"/>
      <w:r>
        <w:rPr>
          <w:rFonts w:hint="eastAsia" w:ascii="仿宋_GB2312" w:eastAsia="仿宋_GB2312"/>
          <w:b w:val="0"/>
          <w:bCs w:val="0"/>
        </w:rPr>
        <w:t>（二）评价结论</w:t>
      </w:r>
      <w:bookmarkEnd w:id="9"/>
    </w:p>
    <w:p>
      <w:pPr>
        <w:spacing w:line="360" w:lineRule="auto"/>
        <w:ind w:firstLine="600" w:firstLineChars="200"/>
      </w:pPr>
      <w:r>
        <w:rPr>
          <w:rFonts w:hint="eastAsia"/>
        </w:rPr>
        <w:t>本项目的项目决策、项目过程、项目产出、项目效益均达到了预期要求，最终得分为100分，项目达成年度指标.</w:t>
      </w:r>
      <w:bookmarkStart w:id="10" w:name="_Toc68703837"/>
    </w:p>
    <w:p>
      <w:pPr>
        <w:ind w:firstLine="640" w:firstLineChars="200"/>
        <w:rPr>
          <w:rFonts w:ascii="宋体" w:hAnsi="宋体" w:eastAsia="宋体"/>
          <w:sz w:val="32"/>
          <w:szCs w:val="32"/>
        </w:rPr>
      </w:pPr>
      <w:r>
        <w:rPr>
          <w:rFonts w:hint="eastAsia" w:ascii="宋体" w:hAnsi="宋体" w:eastAsia="宋体"/>
          <w:sz w:val="32"/>
          <w:szCs w:val="32"/>
        </w:rPr>
        <w:t>四、绩效评价指标分析</w:t>
      </w:r>
      <w:bookmarkEnd w:id="10"/>
    </w:p>
    <w:p>
      <w:pPr>
        <w:pStyle w:val="4"/>
        <w:spacing w:line="240" w:lineRule="auto"/>
        <w:rPr>
          <w:rFonts w:ascii="仿宋_GB2312" w:eastAsia="仿宋_GB2312"/>
          <w:b w:val="0"/>
          <w:bCs w:val="0"/>
        </w:rPr>
      </w:pPr>
      <w:bookmarkStart w:id="11" w:name="_Toc68703838"/>
      <w:r>
        <w:rPr>
          <w:rFonts w:hint="eastAsia" w:ascii="仿宋_GB2312" w:eastAsia="仿宋_GB2312"/>
          <w:b w:val="0"/>
          <w:bCs w:val="0"/>
        </w:rPr>
        <w:t>（一）项目决策情况。</w:t>
      </w:r>
      <w:bookmarkEnd w:id="11"/>
    </w:p>
    <w:p>
      <w:r>
        <w:rPr>
          <w:rFonts w:hint="eastAsia"/>
        </w:rPr>
        <w:t>1、立项依据充分性:</w:t>
      </w:r>
    </w:p>
    <w:p>
      <w:pPr>
        <w:spacing w:line="360" w:lineRule="auto"/>
        <w:ind w:firstLine="600" w:firstLineChars="200"/>
      </w:pPr>
      <w:r>
        <w:rPr>
          <w:rFonts w:hint="eastAsia"/>
        </w:rPr>
        <w:t>项目立项符合国家法律法规、国民经济发展规划和相关政策；项目立项符合行业发展规划和政策要求；项目立项与部门职责范围相符，属于部门履职所需；项目属于公共财政支持范围，符合中央、地方事权支出责任划分原则；项目</w:t>
      </w:r>
      <w:r>
        <w:rPr>
          <w:rFonts w:hint="eastAsia"/>
          <w:lang w:val="en-US" w:eastAsia="zh-CN"/>
        </w:rPr>
        <w:t>不</w:t>
      </w:r>
      <w:r>
        <w:rPr>
          <w:rFonts w:hint="eastAsia"/>
        </w:rPr>
        <w:t>与相关部门同类项目或部门内部相关项目重复。</w:t>
      </w:r>
    </w:p>
    <w:p>
      <w:pPr>
        <w:spacing w:line="360" w:lineRule="auto"/>
      </w:pPr>
      <w:r>
        <w:rPr>
          <w:rFonts w:hint="eastAsia"/>
        </w:rPr>
        <w:t>2、立项程序规范性:</w:t>
      </w:r>
    </w:p>
    <w:p>
      <w:pPr>
        <w:spacing w:line="360" w:lineRule="auto"/>
        <w:ind w:firstLine="600" w:firstLineChars="200"/>
      </w:pPr>
      <w:r>
        <w:rPr>
          <w:rFonts w:hint="eastAsia"/>
        </w:rPr>
        <w:t>项目按照规定的程序申请设立；审批文件、材料符合相关要求；</w:t>
      </w:r>
    </w:p>
    <w:p>
      <w:pPr>
        <w:spacing w:line="360" w:lineRule="auto"/>
      </w:pPr>
      <w:r>
        <w:rPr>
          <w:rFonts w:hint="eastAsia"/>
        </w:rPr>
        <w:t>事前已经过必要的可行性研究、专家论证、风险评估、绩效评估、集体决策。</w:t>
      </w:r>
    </w:p>
    <w:p>
      <w:pPr>
        <w:spacing w:line="360" w:lineRule="auto"/>
      </w:pPr>
      <w:r>
        <w:rPr>
          <w:rFonts w:hint="eastAsia"/>
        </w:rPr>
        <w:t>3、绩效目标合理性</w:t>
      </w:r>
    </w:p>
    <w:p>
      <w:pPr>
        <w:spacing w:line="360" w:lineRule="auto"/>
        <w:ind w:firstLine="600" w:firstLineChars="200"/>
      </w:pPr>
      <w:r>
        <w:rPr>
          <w:rFonts w:hint="eastAsia"/>
        </w:rPr>
        <w:t>统战业务专项经费项目设立了项目绩效目标，与驻村管寺管委会工作经费及人员补助、宗教人士生活补助具有相关性，项目的预期产出效益和效果也均能符合正常的业绩水平，并且与预算确定的项目投资额或资金量相匹配。</w:t>
      </w:r>
    </w:p>
    <w:p>
      <w:pPr>
        <w:spacing w:line="360" w:lineRule="auto"/>
      </w:pPr>
      <w:r>
        <w:rPr>
          <w:rFonts w:hint="eastAsia"/>
        </w:rPr>
        <w:t>4、绩效指标明确性</w:t>
      </w:r>
    </w:p>
    <w:p>
      <w:pPr>
        <w:spacing w:line="360" w:lineRule="auto"/>
        <w:ind w:firstLine="600" w:firstLineChars="200"/>
      </w:pPr>
      <w:bookmarkStart w:id="12" w:name="_Hlk68699917"/>
      <w:r>
        <w:rPr>
          <w:rFonts w:hint="eastAsia"/>
        </w:rPr>
        <w:t>统战业务专项经费项目将项目绩效目标细化分解为具体的绩效指标，一级指标共3条，二级指标共7条，三级指标共</w:t>
      </w:r>
      <w:r>
        <w:rPr>
          <w:rFonts w:hint="eastAsia"/>
          <w:lang w:val="en-US" w:eastAsia="zh-CN"/>
        </w:rPr>
        <w:t>21</w:t>
      </w:r>
      <w:r>
        <w:rPr>
          <w:rFonts w:hint="eastAsia"/>
        </w:rPr>
        <w:t>条，其中量化指标条数共1</w:t>
      </w:r>
      <w:r>
        <w:rPr>
          <w:rFonts w:hint="eastAsia"/>
          <w:lang w:val="en-US" w:eastAsia="zh-CN"/>
        </w:rPr>
        <w:t>7</w:t>
      </w:r>
      <w:r>
        <w:rPr>
          <w:rFonts w:hint="eastAsia"/>
        </w:rPr>
        <w:t>条，所有绩效指标均通过清晰、可衡量的指标值予以体现，并且做到了与项目目标任务数或计划数相对应。</w:t>
      </w:r>
      <w:bookmarkEnd w:id="12"/>
    </w:p>
    <w:p>
      <w:pPr>
        <w:spacing w:line="360" w:lineRule="auto"/>
      </w:pPr>
      <w:r>
        <w:rPr>
          <w:rFonts w:hint="eastAsia"/>
        </w:rPr>
        <w:t>5、预算编制科学性</w:t>
      </w:r>
    </w:p>
    <w:p>
      <w:pPr>
        <w:spacing w:line="360" w:lineRule="auto"/>
        <w:ind w:firstLine="600" w:firstLineChars="200"/>
      </w:pPr>
      <w:r>
        <w:rPr>
          <w:rFonts w:hint="eastAsia"/>
        </w:rPr>
        <w:t>预算编制是经过科学论证；预算内容与项目内容匹配；预算额度测算依据充分，按照标准编制；预算确定的项目投资额或资金量与工作任务相匹配。</w:t>
      </w:r>
    </w:p>
    <w:p>
      <w:pPr>
        <w:spacing w:line="360" w:lineRule="auto"/>
      </w:pPr>
      <w:r>
        <w:rPr>
          <w:rFonts w:hint="eastAsia"/>
        </w:rPr>
        <w:t>6、资金分配合理性</w:t>
      </w:r>
    </w:p>
    <w:p>
      <w:pPr>
        <w:spacing w:line="360" w:lineRule="auto"/>
        <w:ind w:firstLine="600" w:firstLineChars="200"/>
        <w:rPr>
          <w:color w:val="FF0000"/>
        </w:rPr>
      </w:pPr>
      <w:r>
        <w:rPr>
          <w:rFonts w:hint="eastAsia"/>
        </w:rPr>
        <w:t>预算资金分配依据充分；资金分配额度合理，与项目单位或地方实际相适应。</w:t>
      </w:r>
    </w:p>
    <w:p>
      <w:pPr>
        <w:pStyle w:val="4"/>
        <w:spacing w:line="360" w:lineRule="auto"/>
        <w:rPr>
          <w:rFonts w:ascii="仿宋_GB2312" w:eastAsia="仿宋_GB2312"/>
          <w:b w:val="0"/>
          <w:bCs w:val="0"/>
        </w:rPr>
      </w:pPr>
      <w:bookmarkStart w:id="13" w:name="_Toc68703839"/>
      <w:r>
        <w:rPr>
          <w:rFonts w:hint="eastAsia" w:ascii="仿宋_GB2312" w:eastAsia="仿宋_GB2312"/>
          <w:b w:val="0"/>
          <w:bCs w:val="0"/>
        </w:rPr>
        <w:t>（二）项目过程情况。</w:t>
      </w:r>
      <w:bookmarkEnd w:id="13"/>
    </w:p>
    <w:p>
      <w:pPr>
        <w:spacing w:line="360" w:lineRule="auto"/>
      </w:pPr>
      <w:r>
        <w:rPr>
          <w:rFonts w:hint="eastAsia"/>
        </w:rPr>
        <w:t>1、资金到位率：</w:t>
      </w:r>
    </w:p>
    <w:p>
      <w:pPr>
        <w:spacing w:line="360" w:lineRule="auto"/>
        <w:ind w:firstLine="600" w:firstLineChars="200"/>
      </w:pPr>
      <w:r>
        <w:rPr>
          <w:rFonts w:hint="eastAsia"/>
        </w:rPr>
        <w:t>预算资金74.86万元，实际到位资金74.86万元，资金到位率100%。</w:t>
      </w:r>
    </w:p>
    <w:p>
      <w:pPr>
        <w:spacing w:line="360" w:lineRule="auto"/>
      </w:pPr>
      <w:r>
        <w:rPr>
          <w:rFonts w:hint="eastAsia"/>
        </w:rPr>
        <w:t>2、预算执行率</w:t>
      </w:r>
    </w:p>
    <w:p>
      <w:pPr>
        <w:spacing w:line="360" w:lineRule="auto"/>
        <w:ind w:firstLine="600" w:firstLineChars="200"/>
        <w:rPr>
          <w:rFonts w:hint="eastAsia" w:eastAsia="仿宋_GB2312"/>
          <w:lang w:eastAsia="zh-CN"/>
        </w:rPr>
      </w:pPr>
      <w:r>
        <w:rPr>
          <w:rFonts w:hint="eastAsia"/>
        </w:rPr>
        <w:t>年初预算数74.86万元，全年预算数 74.86万元，全年执行数74.86万元，预算执行率为100%</w:t>
      </w:r>
      <w:r>
        <w:rPr>
          <w:rFonts w:hint="eastAsia"/>
          <w:lang w:eastAsia="zh-CN"/>
        </w:rPr>
        <w:t>。</w:t>
      </w:r>
    </w:p>
    <w:p>
      <w:pPr>
        <w:spacing w:line="360" w:lineRule="auto"/>
      </w:pPr>
      <w:r>
        <w:rPr>
          <w:rFonts w:hint="eastAsia"/>
        </w:rPr>
        <w:t>3、资金使用合规性</w:t>
      </w:r>
    </w:p>
    <w:p>
      <w:pPr>
        <w:spacing w:line="360" w:lineRule="auto"/>
        <w:ind w:firstLine="600" w:firstLineChars="200"/>
      </w:pPr>
      <w:r>
        <w:rPr>
          <w:rFonts w:hint="eastAsia"/>
        </w:rPr>
        <w:t>符合国家财经法规和财务管理制度以及有关专项资金管理办法的规定；资金的拨付有完整的审批程序和手续；符合项目预算批复或合同规定的用途；</w:t>
      </w:r>
      <w:r>
        <w:rPr>
          <w:rFonts w:hint="eastAsia"/>
          <w:lang w:val="en-US" w:eastAsia="zh-CN"/>
        </w:rPr>
        <w:t>不</w:t>
      </w:r>
      <w:r>
        <w:rPr>
          <w:rFonts w:hint="eastAsia"/>
        </w:rPr>
        <w:t>存在截留、挤占、挪用、虚列支出等情况。</w:t>
      </w:r>
    </w:p>
    <w:p>
      <w:pPr>
        <w:spacing w:line="360" w:lineRule="auto"/>
      </w:pPr>
      <w:r>
        <w:rPr>
          <w:rFonts w:hint="eastAsia"/>
        </w:rPr>
        <w:t>4、管理制度健全性</w:t>
      </w:r>
    </w:p>
    <w:p>
      <w:pPr>
        <w:spacing w:line="360" w:lineRule="auto"/>
        <w:ind w:firstLine="600" w:firstLineChars="200"/>
        <w:rPr>
          <w:color w:val="FF0000"/>
        </w:rPr>
      </w:pPr>
      <w:r>
        <w:rPr>
          <w:rFonts w:hint="eastAsia"/>
        </w:rPr>
        <w:t>已制定或具有相应的财务和业务管理制度；财务和业务管理制度合法、合规、完整。</w:t>
      </w:r>
    </w:p>
    <w:p>
      <w:pPr>
        <w:spacing w:line="360" w:lineRule="auto"/>
      </w:pPr>
      <w:r>
        <w:rPr>
          <w:rFonts w:hint="eastAsia"/>
        </w:rPr>
        <w:t>5、制度执行有效性</w:t>
      </w:r>
    </w:p>
    <w:p>
      <w:pPr>
        <w:spacing w:line="360" w:lineRule="auto"/>
        <w:ind w:firstLine="600" w:firstLineChars="200"/>
      </w:pPr>
      <w:r>
        <w:rPr>
          <w:rFonts w:hint="eastAsia"/>
        </w:rPr>
        <w:t>遵守相关法律法规和相关管理规定</w:t>
      </w:r>
      <w:r>
        <w:rPr>
          <w:rFonts w:hint="eastAsia"/>
          <w:lang w:eastAsia="zh-CN"/>
        </w:rPr>
        <w:t>；</w:t>
      </w:r>
      <w:r>
        <w:rPr>
          <w:rFonts w:hint="eastAsia"/>
        </w:rPr>
        <w:t>项目调整及支出调整手续完备；项目合同书、验收报告、技术鉴定等资料齐全并及时归档；项目实施的人员条件、场地设备、信息支撑等落实到位。</w:t>
      </w:r>
    </w:p>
    <w:p>
      <w:pPr>
        <w:pStyle w:val="4"/>
        <w:spacing w:line="360" w:lineRule="auto"/>
        <w:rPr>
          <w:color w:val="FF0000"/>
        </w:rPr>
      </w:pPr>
      <w:bookmarkStart w:id="14" w:name="_Toc68703840"/>
      <w:r>
        <w:rPr>
          <w:rFonts w:hint="eastAsia" w:ascii="仿宋_GB2312" w:eastAsia="仿宋_GB2312"/>
          <w:b w:val="0"/>
          <w:bCs w:val="0"/>
        </w:rPr>
        <w:t>（三）项目产出情况。</w:t>
      </w:r>
      <w:bookmarkEnd w:id="14"/>
    </w:p>
    <w:p>
      <w:pPr>
        <w:spacing w:line="360" w:lineRule="auto"/>
        <w:ind w:firstLine="600" w:firstLineChars="200"/>
        <w:rPr>
          <w:rFonts w:hint="eastAsia" w:eastAsia="仿宋_GB2312"/>
          <w:highlight w:val="none"/>
          <w:lang w:eastAsia="zh-CN"/>
        </w:rPr>
      </w:pPr>
      <w:bookmarkStart w:id="15" w:name="_Toc68703842"/>
      <w:r>
        <w:rPr>
          <w:rFonts w:hint="eastAsia"/>
          <w:highlight w:val="none"/>
        </w:rPr>
        <w:t>1、数量指标：指标1：宗教教职人员生活补助人数，指标值：</w:t>
      </w:r>
      <w:r>
        <w:rPr>
          <w:rFonts w:hint="eastAsia"/>
          <w:highlight w:val="none"/>
          <w:lang w:val="en-US" w:eastAsia="zh-CN"/>
        </w:rPr>
        <w:t>=</w:t>
      </w:r>
      <w:r>
        <w:rPr>
          <w:rFonts w:hint="eastAsia"/>
          <w:highlight w:val="none"/>
        </w:rPr>
        <w:t>50人，实际完成值 50人，指标完成率100%；指标2：驻村管寺管委会干部生活补助人数，指标值：</w:t>
      </w:r>
      <w:r>
        <w:rPr>
          <w:rFonts w:hint="eastAsia"/>
          <w:highlight w:val="none"/>
          <w:lang w:val="en-US" w:eastAsia="zh-CN"/>
        </w:rPr>
        <w:t>=</w:t>
      </w:r>
      <w:r>
        <w:rPr>
          <w:rFonts w:hint="eastAsia"/>
          <w:highlight w:val="none"/>
        </w:rPr>
        <w:t>50人，实际完成值 50人，指标完成率100%</w:t>
      </w:r>
      <w:r>
        <w:rPr>
          <w:rFonts w:hint="eastAsia"/>
          <w:highlight w:val="none"/>
          <w:lang w:val="en-US" w:eastAsia="zh-CN"/>
        </w:rPr>
        <w:t>;指标3：</w:t>
      </w:r>
      <w:r>
        <w:rPr>
          <w:rFonts w:hint="eastAsia"/>
          <w:highlight w:val="none"/>
        </w:rPr>
        <w:t>生活补助发放次数指标值：</w:t>
      </w:r>
      <w:r>
        <w:rPr>
          <w:rFonts w:hint="eastAsia"/>
          <w:highlight w:val="none"/>
          <w:lang w:val="en-US" w:eastAsia="zh-CN"/>
        </w:rPr>
        <w:t>:=</w:t>
      </w:r>
      <w:r>
        <w:rPr>
          <w:rFonts w:hint="eastAsia"/>
          <w:highlight w:val="none"/>
        </w:rPr>
        <w:t>12次，实际完成值12次，指标完成率100%；指标</w:t>
      </w:r>
      <w:r>
        <w:rPr>
          <w:rFonts w:hint="eastAsia"/>
          <w:highlight w:val="none"/>
          <w:lang w:val="en-US" w:eastAsia="zh-CN"/>
        </w:rPr>
        <w:t>4：</w:t>
      </w:r>
      <w:r>
        <w:rPr>
          <w:rFonts w:hint="eastAsia"/>
          <w:highlight w:val="none"/>
        </w:rPr>
        <w:t>驻村管寺管委会干部经费补助数量，指标值：</w:t>
      </w:r>
      <w:r>
        <w:rPr>
          <w:rFonts w:hint="eastAsia"/>
          <w:highlight w:val="none"/>
          <w:lang w:val="en-US" w:eastAsia="zh-CN"/>
        </w:rPr>
        <w:t>=</w:t>
      </w:r>
      <w:r>
        <w:rPr>
          <w:rFonts w:hint="eastAsia"/>
          <w:highlight w:val="none"/>
        </w:rPr>
        <w:t>10个，实际完成值 10个，指标完成率100%</w:t>
      </w:r>
      <w:r>
        <w:rPr>
          <w:rFonts w:hint="eastAsia"/>
          <w:highlight w:val="none"/>
          <w:lang w:eastAsia="zh-CN"/>
        </w:rPr>
        <w:t>。</w:t>
      </w:r>
    </w:p>
    <w:p>
      <w:pPr>
        <w:spacing w:line="360" w:lineRule="auto"/>
        <w:ind w:firstLine="600" w:firstLineChars="200"/>
        <w:rPr>
          <w:rFonts w:hint="eastAsia" w:eastAsia="仿宋_GB2312"/>
          <w:highlight w:val="none"/>
          <w:lang w:eastAsia="zh-CN"/>
        </w:rPr>
      </w:pPr>
      <w:r>
        <w:rPr>
          <w:highlight w:val="none"/>
        </w:rPr>
        <w:t>2</w:t>
      </w:r>
      <w:r>
        <w:rPr>
          <w:rFonts w:hint="eastAsia"/>
          <w:highlight w:val="none"/>
        </w:rPr>
        <w:t>、质量指标：指标1：宗教教职人员生活补助覆盖率，指标值：</w:t>
      </w:r>
      <w:r>
        <w:rPr>
          <w:rFonts w:hint="eastAsia"/>
          <w:highlight w:val="none"/>
          <w:lang w:val="en-US" w:eastAsia="zh-CN"/>
        </w:rPr>
        <w:t>=100</w:t>
      </w:r>
      <w:r>
        <w:rPr>
          <w:rFonts w:hint="eastAsia"/>
          <w:highlight w:val="none"/>
        </w:rPr>
        <w:t xml:space="preserve">%，实际完成值 </w:t>
      </w:r>
      <w:r>
        <w:rPr>
          <w:rFonts w:hint="eastAsia"/>
          <w:highlight w:val="none"/>
          <w:lang w:val="en-US" w:eastAsia="zh-CN"/>
        </w:rPr>
        <w:t>100</w:t>
      </w:r>
      <w:r>
        <w:rPr>
          <w:rFonts w:hint="eastAsia"/>
          <w:highlight w:val="none"/>
        </w:rPr>
        <w:t>%，指标完成率100%</w:t>
      </w:r>
      <w:r>
        <w:rPr>
          <w:rFonts w:hint="eastAsia"/>
          <w:highlight w:val="none"/>
          <w:lang w:eastAsia="zh-CN"/>
        </w:rPr>
        <w:t>；</w:t>
      </w:r>
      <w:r>
        <w:rPr>
          <w:rFonts w:hint="eastAsia"/>
          <w:highlight w:val="none"/>
        </w:rPr>
        <w:t>指标2：驻村管寺管委会工作经费覆盖率</w:t>
      </w:r>
      <w:r>
        <w:rPr>
          <w:rFonts w:hint="eastAsia"/>
          <w:highlight w:val="none"/>
          <w:lang w:eastAsia="zh-CN"/>
        </w:rPr>
        <w:t>，</w:t>
      </w:r>
      <w:r>
        <w:rPr>
          <w:rFonts w:hint="eastAsia"/>
          <w:highlight w:val="none"/>
        </w:rPr>
        <w:t>指标值：</w:t>
      </w:r>
      <w:r>
        <w:rPr>
          <w:rFonts w:hint="eastAsia"/>
          <w:highlight w:val="none"/>
          <w:lang w:val="en-US" w:eastAsia="zh-CN"/>
        </w:rPr>
        <w:t>=100</w:t>
      </w:r>
      <w:r>
        <w:rPr>
          <w:rFonts w:hint="eastAsia"/>
          <w:highlight w:val="none"/>
        </w:rPr>
        <w:t xml:space="preserve">%，实际完成值 </w:t>
      </w:r>
      <w:r>
        <w:rPr>
          <w:rFonts w:hint="eastAsia"/>
          <w:highlight w:val="none"/>
          <w:lang w:val="en-US" w:eastAsia="zh-CN"/>
        </w:rPr>
        <w:t>100</w:t>
      </w:r>
      <w:r>
        <w:rPr>
          <w:rFonts w:hint="eastAsia"/>
          <w:highlight w:val="none"/>
        </w:rPr>
        <w:t>%，指标完成率100%</w:t>
      </w:r>
      <w:r>
        <w:rPr>
          <w:rFonts w:hint="eastAsia"/>
          <w:highlight w:val="none"/>
          <w:lang w:eastAsia="zh-CN"/>
        </w:rPr>
        <w:t>；</w:t>
      </w:r>
      <w:r>
        <w:rPr>
          <w:rFonts w:hint="eastAsia"/>
          <w:highlight w:val="none"/>
          <w:lang w:val="en-US" w:eastAsia="zh-CN"/>
        </w:rPr>
        <w:t>指标3：驻村管寺管委会干部生活补助覆盖率，</w:t>
      </w:r>
      <w:r>
        <w:rPr>
          <w:rFonts w:hint="eastAsia"/>
          <w:highlight w:val="none"/>
        </w:rPr>
        <w:t>指标值：</w:t>
      </w:r>
      <w:r>
        <w:rPr>
          <w:rFonts w:hint="eastAsia"/>
          <w:highlight w:val="none"/>
          <w:lang w:val="en-US" w:eastAsia="zh-CN"/>
        </w:rPr>
        <w:t>=100</w:t>
      </w:r>
      <w:r>
        <w:rPr>
          <w:rFonts w:hint="eastAsia"/>
          <w:highlight w:val="none"/>
        </w:rPr>
        <w:t xml:space="preserve">%，实际完成值 </w:t>
      </w:r>
      <w:r>
        <w:rPr>
          <w:rFonts w:hint="eastAsia"/>
          <w:highlight w:val="none"/>
          <w:lang w:val="en-US" w:eastAsia="zh-CN"/>
        </w:rPr>
        <w:t>100</w:t>
      </w:r>
      <w:r>
        <w:rPr>
          <w:rFonts w:hint="eastAsia"/>
          <w:highlight w:val="none"/>
        </w:rPr>
        <w:t>%，指标完成率100%</w:t>
      </w:r>
      <w:r>
        <w:rPr>
          <w:rFonts w:hint="eastAsia"/>
          <w:highlight w:val="none"/>
          <w:lang w:eastAsia="zh-CN"/>
        </w:rPr>
        <w:t>。</w:t>
      </w:r>
    </w:p>
    <w:p>
      <w:pPr>
        <w:spacing w:line="360" w:lineRule="auto"/>
        <w:ind w:firstLine="600" w:firstLineChars="200"/>
        <w:rPr>
          <w:rFonts w:hint="eastAsia" w:eastAsia="仿宋_GB2312"/>
          <w:highlight w:val="none"/>
          <w:lang w:val="en-US" w:eastAsia="zh-CN"/>
        </w:rPr>
      </w:pPr>
      <w:r>
        <w:rPr>
          <w:rFonts w:hint="eastAsia"/>
          <w:highlight w:val="none"/>
        </w:rPr>
        <w:t>3、时效指标：指标1：宗教教职人员生活补助发放及时性</w:t>
      </w:r>
      <w:r>
        <w:rPr>
          <w:rFonts w:hint="eastAsia"/>
          <w:highlight w:val="none"/>
          <w:lang w:eastAsia="zh-CN"/>
        </w:rPr>
        <w:t>，</w:t>
      </w:r>
      <w:r>
        <w:rPr>
          <w:rFonts w:hint="eastAsia"/>
          <w:highlight w:val="none"/>
        </w:rPr>
        <w:t>指标值：</w:t>
      </w:r>
      <w:r>
        <w:rPr>
          <w:rFonts w:hint="eastAsia"/>
          <w:highlight w:val="none"/>
          <w:lang w:val="en-US" w:eastAsia="zh-CN"/>
        </w:rPr>
        <w:t>=100</w:t>
      </w:r>
      <w:r>
        <w:rPr>
          <w:rFonts w:hint="eastAsia"/>
          <w:highlight w:val="none"/>
        </w:rPr>
        <w:t xml:space="preserve">%，实际完成值 </w:t>
      </w:r>
      <w:r>
        <w:rPr>
          <w:rFonts w:hint="eastAsia"/>
          <w:highlight w:val="none"/>
          <w:lang w:val="en-US" w:eastAsia="zh-CN"/>
        </w:rPr>
        <w:t>100</w:t>
      </w:r>
      <w:r>
        <w:rPr>
          <w:rFonts w:hint="eastAsia"/>
          <w:highlight w:val="none"/>
        </w:rPr>
        <w:t>%，指标完成率100%</w:t>
      </w:r>
      <w:r>
        <w:rPr>
          <w:rFonts w:hint="eastAsia"/>
          <w:highlight w:val="none"/>
          <w:lang w:eastAsia="zh-CN"/>
        </w:rPr>
        <w:t>；指标</w:t>
      </w:r>
      <w:r>
        <w:rPr>
          <w:rFonts w:hint="eastAsia"/>
          <w:highlight w:val="none"/>
          <w:lang w:val="en-US" w:eastAsia="zh-CN"/>
        </w:rPr>
        <w:t>2：</w:t>
      </w:r>
      <w:r>
        <w:rPr>
          <w:rFonts w:hint="eastAsia"/>
          <w:highlight w:val="none"/>
          <w:lang w:eastAsia="zh-CN"/>
        </w:rPr>
        <w:t>驻村管寺管委会干部生活补助发放及时性，</w:t>
      </w:r>
      <w:r>
        <w:rPr>
          <w:rFonts w:hint="eastAsia"/>
          <w:highlight w:val="none"/>
        </w:rPr>
        <w:t>指标值：</w:t>
      </w:r>
      <w:r>
        <w:rPr>
          <w:rFonts w:hint="eastAsia"/>
          <w:highlight w:val="none"/>
          <w:lang w:val="en-US" w:eastAsia="zh-CN"/>
        </w:rPr>
        <w:t>=100</w:t>
      </w:r>
      <w:r>
        <w:rPr>
          <w:rFonts w:hint="eastAsia"/>
          <w:highlight w:val="none"/>
        </w:rPr>
        <w:t xml:space="preserve">%，实际完成值 </w:t>
      </w:r>
      <w:r>
        <w:rPr>
          <w:rFonts w:hint="eastAsia"/>
          <w:highlight w:val="none"/>
          <w:lang w:val="en-US" w:eastAsia="zh-CN"/>
        </w:rPr>
        <w:t>100</w:t>
      </w:r>
      <w:r>
        <w:rPr>
          <w:rFonts w:hint="eastAsia"/>
          <w:highlight w:val="none"/>
        </w:rPr>
        <w:t>%，指标完成率100%</w:t>
      </w:r>
      <w:r>
        <w:rPr>
          <w:rFonts w:hint="eastAsia"/>
          <w:highlight w:val="none"/>
          <w:lang w:eastAsia="zh-CN"/>
        </w:rPr>
        <w:t>；指标</w:t>
      </w:r>
      <w:r>
        <w:rPr>
          <w:rFonts w:hint="eastAsia"/>
          <w:highlight w:val="none"/>
          <w:lang w:val="en-US" w:eastAsia="zh-CN"/>
        </w:rPr>
        <w:t>3：驻村管寺管委会工作经费发放及时性，</w:t>
      </w:r>
      <w:r>
        <w:rPr>
          <w:rFonts w:hint="eastAsia"/>
          <w:highlight w:val="none"/>
        </w:rPr>
        <w:t>指标值：</w:t>
      </w:r>
      <w:r>
        <w:rPr>
          <w:rFonts w:hint="eastAsia"/>
          <w:highlight w:val="none"/>
          <w:lang w:val="en-US" w:eastAsia="zh-CN"/>
        </w:rPr>
        <w:t>=100</w:t>
      </w:r>
      <w:r>
        <w:rPr>
          <w:rFonts w:hint="eastAsia"/>
          <w:highlight w:val="none"/>
        </w:rPr>
        <w:t xml:space="preserve">%，实际完成值 </w:t>
      </w:r>
      <w:r>
        <w:rPr>
          <w:rFonts w:hint="eastAsia"/>
          <w:highlight w:val="none"/>
          <w:lang w:val="en-US" w:eastAsia="zh-CN"/>
        </w:rPr>
        <w:t>100</w:t>
      </w:r>
      <w:r>
        <w:rPr>
          <w:rFonts w:hint="eastAsia"/>
          <w:highlight w:val="none"/>
        </w:rPr>
        <w:t>%，指标完成率100%</w:t>
      </w:r>
      <w:r>
        <w:rPr>
          <w:rFonts w:hint="eastAsia"/>
          <w:highlight w:val="none"/>
          <w:lang w:eastAsia="zh-CN"/>
        </w:rPr>
        <w:t>。</w:t>
      </w:r>
    </w:p>
    <w:p>
      <w:pPr>
        <w:spacing w:line="360" w:lineRule="auto"/>
        <w:ind w:firstLine="600" w:firstLineChars="200"/>
        <w:rPr>
          <w:highlight w:val="none"/>
        </w:rPr>
      </w:pPr>
      <w:r>
        <w:rPr>
          <w:rFonts w:hint="eastAsia"/>
          <w:highlight w:val="none"/>
        </w:rPr>
        <w:t>4、成本指标：指标1：财政承担宗教教职人员生活补助发放总额，指标值：</w:t>
      </w:r>
      <w:r>
        <w:rPr>
          <w:rFonts w:hint="eastAsia"/>
          <w:highlight w:val="none"/>
          <w:lang w:val="en-US" w:eastAsia="zh-CN"/>
        </w:rPr>
        <w:t>=</w:t>
      </w:r>
      <w:r>
        <w:rPr>
          <w:rFonts w:hint="eastAsia"/>
          <w:highlight w:val="none"/>
        </w:rPr>
        <w:t>43.96万元，实际完成值43.96万元，指标完成率100%；</w:t>
      </w:r>
    </w:p>
    <w:p>
      <w:pPr>
        <w:rPr>
          <w:highlight w:val="none"/>
        </w:rPr>
      </w:pPr>
      <w:r>
        <w:rPr>
          <w:rFonts w:hint="eastAsia"/>
          <w:highlight w:val="none"/>
        </w:rPr>
        <w:t>指标2：驻村管寺管委会生活补助标准，指标值：</w:t>
      </w:r>
      <w:r>
        <w:rPr>
          <w:rFonts w:hint="eastAsia" w:ascii="Arial" w:hAnsi="Arial" w:cs="Arial"/>
          <w:highlight w:val="none"/>
          <w:lang w:val="en-US" w:eastAsia="zh-CN"/>
        </w:rPr>
        <w:t>=</w:t>
      </w:r>
      <w:r>
        <w:rPr>
          <w:rFonts w:hint="eastAsia"/>
          <w:highlight w:val="none"/>
        </w:rPr>
        <w:t>300元/人/月，实际完成值300元/人/月，指标完成率100%；指标3：宗教教职人员缴纳保险费用，指标值：</w:t>
      </w:r>
      <w:r>
        <w:rPr>
          <w:rFonts w:hint="eastAsia"/>
          <w:highlight w:val="none"/>
          <w:lang w:val="en-US" w:eastAsia="zh-CN"/>
        </w:rPr>
        <w:t>=</w:t>
      </w:r>
      <w:r>
        <w:rPr>
          <w:rFonts w:hint="eastAsia"/>
          <w:highlight w:val="none"/>
        </w:rPr>
        <w:t>1.4万元，实际完成值：1.4万元，指标完成率100%；指标4：驻村管寺管委会缴纳保险费用，指标值：</w:t>
      </w:r>
      <w:r>
        <w:rPr>
          <w:rFonts w:hint="eastAsia"/>
          <w:highlight w:val="none"/>
          <w:lang w:val="en-US" w:eastAsia="zh-CN"/>
        </w:rPr>
        <w:t>=</w:t>
      </w:r>
      <w:r>
        <w:rPr>
          <w:rFonts w:hint="eastAsia"/>
          <w:highlight w:val="none"/>
        </w:rPr>
        <w:t>1.5万元，实际完成值：1.5万元，指标完成率:100%；指标5：驻村管寺管委会补助金额，指标值：</w:t>
      </w:r>
      <w:r>
        <w:rPr>
          <w:rFonts w:hint="eastAsia"/>
          <w:highlight w:val="none"/>
          <w:lang w:val="en-US" w:eastAsia="zh-CN"/>
        </w:rPr>
        <w:t>=</w:t>
      </w:r>
      <w:r>
        <w:rPr>
          <w:rFonts w:hint="eastAsia"/>
          <w:highlight w:val="none"/>
        </w:rPr>
        <w:t>10万元，实际完成值：10万元，指标完成率:100%。</w:t>
      </w:r>
    </w:p>
    <w:p>
      <w:pPr>
        <w:pStyle w:val="4"/>
        <w:spacing w:line="240" w:lineRule="auto"/>
        <w:rPr>
          <w:rFonts w:ascii="仿宋_GB2312" w:eastAsia="仿宋_GB2312"/>
          <w:b w:val="0"/>
          <w:bCs w:val="0"/>
          <w:highlight w:val="none"/>
        </w:rPr>
      </w:pPr>
      <w:bookmarkStart w:id="16" w:name="_Toc68703841"/>
      <w:r>
        <w:rPr>
          <w:rFonts w:hint="eastAsia" w:ascii="仿宋_GB2312" w:eastAsia="仿宋_GB2312"/>
          <w:b w:val="0"/>
          <w:bCs w:val="0"/>
          <w:highlight w:val="none"/>
        </w:rPr>
        <w:t>（四）项目效益情况。</w:t>
      </w:r>
      <w:bookmarkEnd w:id="16"/>
    </w:p>
    <w:p>
      <w:pPr>
        <w:ind w:firstLine="600" w:firstLineChars="200"/>
        <w:rPr>
          <w:highlight w:val="none"/>
        </w:rPr>
      </w:pPr>
      <w:r>
        <w:rPr>
          <w:rFonts w:hint="eastAsia"/>
          <w:highlight w:val="none"/>
        </w:rPr>
        <w:t>1、社会效益指标：指标1：改善宗教教职人员和驻村管寺管委会干部的生活质量，指标值：</w:t>
      </w:r>
      <w:r>
        <w:rPr>
          <w:rFonts w:hint="eastAsia"/>
          <w:highlight w:val="none"/>
          <w:lang w:eastAsia="zh-CN"/>
        </w:rPr>
        <w:t>有效改善</w:t>
      </w:r>
      <w:r>
        <w:rPr>
          <w:rFonts w:hint="eastAsia"/>
          <w:highlight w:val="none"/>
        </w:rPr>
        <w:t>，实际完成值：</w:t>
      </w:r>
      <w:r>
        <w:rPr>
          <w:rFonts w:hint="eastAsia"/>
          <w:highlight w:val="none"/>
          <w:lang w:eastAsia="zh-CN"/>
        </w:rPr>
        <w:t>有效改善</w:t>
      </w:r>
      <w:r>
        <w:rPr>
          <w:rFonts w:hint="eastAsia"/>
          <w:highlight w:val="none"/>
        </w:rPr>
        <w:t>，指标完成率:100%；指标2：保障驻村管寺管委会工作顺利开展，指标值：有效保障，实际完成值：有效保障，指标完成率:100%。</w:t>
      </w:r>
    </w:p>
    <w:p>
      <w:pPr>
        <w:ind w:firstLine="600" w:firstLineChars="200"/>
        <w:rPr>
          <w:highlight w:val="none"/>
        </w:rPr>
      </w:pPr>
      <w:r>
        <w:rPr>
          <w:rFonts w:hint="eastAsia"/>
          <w:highlight w:val="none"/>
        </w:rPr>
        <w:t>2、可持续影响指标：指标1：促进宗教教职人员队伍持续稳步发展，指标值：持续促进，实际完成值：持续促进，指标完成率:100%；</w:t>
      </w:r>
    </w:p>
    <w:p>
      <w:pPr>
        <w:rPr>
          <w:rFonts w:hint="eastAsia" w:eastAsia="仿宋_GB2312"/>
          <w:highlight w:val="none"/>
          <w:lang w:eastAsia="zh-CN"/>
        </w:rPr>
      </w:pPr>
      <w:r>
        <w:rPr>
          <w:rFonts w:hint="eastAsia"/>
          <w:highlight w:val="none"/>
        </w:rPr>
        <w:t>指标2：引导宗教与社会主义社会相适应，指标值：积极引导，实际完成值：积极引导，指标完成率:100%</w:t>
      </w:r>
      <w:r>
        <w:rPr>
          <w:rFonts w:hint="eastAsia"/>
          <w:highlight w:val="none"/>
          <w:lang w:eastAsia="zh-CN"/>
        </w:rPr>
        <w:t>。</w:t>
      </w:r>
    </w:p>
    <w:p>
      <w:pPr>
        <w:ind w:firstLine="600" w:firstLineChars="200"/>
        <w:rPr>
          <w:rFonts w:hint="eastAsia" w:eastAsia="仿宋_GB2312"/>
          <w:highlight w:val="none"/>
          <w:lang w:eastAsia="zh-CN"/>
        </w:rPr>
      </w:pPr>
      <w:r>
        <w:rPr>
          <w:rFonts w:hint="eastAsia"/>
          <w:highlight w:val="none"/>
        </w:rPr>
        <w:t>3、满意度指标：指标1：宗教教职人员满意度，指标值：</w:t>
      </w:r>
      <w:r>
        <w:rPr>
          <w:rFonts w:hint="default" w:ascii="Arial" w:hAnsi="Arial" w:cs="Arial"/>
          <w:highlight w:val="none"/>
        </w:rPr>
        <w:t>≤</w:t>
      </w:r>
      <w:r>
        <w:rPr>
          <w:rFonts w:hint="eastAsia"/>
          <w:highlight w:val="none"/>
        </w:rPr>
        <w:t>95%，实际完成值：95%，指标完成率:100%；指标2：驻村管寺干部满意度</w:t>
      </w:r>
      <w:r>
        <w:rPr>
          <w:rFonts w:hint="eastAsia"/>
          <w:highlight w:val="none"/>
          <w:lang w:eastAsia="zh-CN"/>
        </w:rPr>
        <w:t>，</w:t>
      </w:r>
      <w:r>
        <w:rPr>
          <w:rFonts w:hint="eastAsia"/>
          <w:highlight w:val="none"/>
        </w:rPr>
        <w:t>度指标值：</w:t>
      </w:r>
      <w:r>
        <w:rPr>
          <w:rFonts w:hint="default" w:ascii="Arial" w:hAnsi="Arial" w:cs="Arial"/>
          <w:highlight w:val="none"/>
        </w:rPr>
        <w:t>≤</w:t>
      </w:r>
      <w:r>
        <w:rPr>
          <w:rFonts w:hint="eastAsia"/>
          <w:highlight w:val="none"/>
        </w:rPr>
        <w:t>95%，实际完成值：95%，指标完成率:100%</w:t>
      </w:r>
      <w:r>
        <w:rPr>
          <w:rFonts w:hint="eastAsia"/>
          <w:highlight w:val="none"/>
          <w:lang w:eastAsia="zh-CN"/>
        </w:rPr>
        <w:t>。</w:t>
      </w:r>
    </w:p>
    <w:p>
      <w:pPr>
        <w:pStyle w:val="3"/>
        <w:spacing w:line="240" w:lineRule="auto"/>
        <w:rPr>
          <w:rFonts w:ascii="宋体" w:hAnsi="宋体" w:eastAsia="宋体"/>
          <w:sz w:val="32"/>
          <w:szCs w:val="32"/>
        </w:rPr>
      </w:pPr>
      <w:r>
        <w:rPr>
          <w:rFonts w:hint="eastAsia" w:ascii="宋体" w:hAnsi="宋体" w:eastAsia="宋体"/>
          <w:sz w:val="32"/>
          <w:szCs w:val="32"/>
        </w:rPr>
        <w:t>五、主要经验及做法、存在的问题及原因分析</w:t>
      </w:r>
      <w:bookmarkEnd w:id="15"/>
    </w:p>
    <w:p>
      <w:pPr>
        <w:pStyle w:val="4"/>
        <w:spacing w:line="240" w:lineRule="auto"/>
        <w:rPr>
          <w:rFonts w:hint="eastAsia" w:ascii="仿宋_GB2312" w:eastAsia="仿宋_GB2312"/>
          <w:b w:val="0"/>
          <w:bCs w:val="0"/>
          <w:lang w:eastAsia="zh-CN"/>
        </w:rPr>
      </w:pPr>
      <w:bookmarkStart w:id="17" w:name="_Toc68703843"/>
      <w:r>
        <w:rPr>
          <w:rFonts w:hint="eastAsia" w:ascii="仿宋_GB2312" w:eastAsia="仿宋_GB2312"/>
          <w:b w:val="0"/>
          <w:bCs w:val="0"/>
        </w:rPr>
        <w:t>（一）主要经验及做法</w:t>
      </w:r>
      <w:bookmarkEnd w:id="17"/>
      <w:r>
        <w:rPr>
          <w:rFonts w:hint="eastAsia" w:ascii="仿宋_GB2312" w:eastAsia="仿宋_GB2312"/>
          <w:b w:val="0"/>
          <w:bCs w:val="0"/>
          <w:lang w:eastAsia="zh-CN"/>
        </w:rPr>
        <w:t>：</w:t>
      </w:r>
    </w:p>
    <w:p>
      <w:pPr>
        <w:pStyle w:val="4"/>
        <w:spacing w:line="240" w:lineRule="auto"/>
        <w:rPr>
          <w:rFonts w:hint="eastAsia" w:ascii="仿宋_GB2312" w:eastAsia="仿宋_GB2312"/>
          <w:b w:val="0"/>
          <w:bCs w:val="0"/>
          <w:lang w:eastAsia="zh-CN"/>
        </w:rPr>
      </w:pPr>
      <w:r>
        <w:rPr>
          <w:rFonts w:hint="eastAsia" w:ascii="仿宋_GB2312" w:eastAsia="仿宋_GB2312"/>
          <w:b w:val="0"/>
          <w:bCs w:val="0"/>
          <w:lang w:eastAsia="zh-CN"/>
        </w:rPr>
        <w:t>深入进行宣传教育，在信教群众中广泛开展党的各项方针政策，因地制宜抓好引导，充分发挥宗教团体的积极性，加强调研，积极建言献策，建立和完善谈心沟通。制定细致的考核量化指标，做到责任明确。</w:t>
      </w:r>
    </w:p>
    <w:p>
      <w:pPr>
        <w:jc w:val="left"/>
        <w:rPr>
          <w:rFonts w:hint="eastAsia" w:ascii="仿宋_GB2312"/>
          <w:lang w:eastAsia="zh-CN"/>
        </w:rPr>
      </w:pPr>
      <w:bookmarkStart w:id="18" w:name="_Toc68703844"/>
      <w:r>
        <w:rPr>
          <w:rFonts w:hint="eastAsia" w:ascii="仿宋_GB2312"/>
        </w:rPr>
        <w:t>（二）存在的问题及原因分析</w:t>
      </w:r>
      <w:bookmarkEnd w:id="18"/>
      <w:r>
        <w:rPr>
          <w:rFonts w:hint="eastAsia" w:ascii="仿宋_GB2312"/>
          <w:lang w:eastAsia="zh-CN"/>
        </w:rPr>
        <w:t>：</w:t>
      </w:r>
    </w:p>
    <w:p>
      <w:pPr>
        <w:jc w:val="left"/>
        <w:rPr>
          <w:rFonts w:ascii="仿宋_GB2312" w:hAnsi="仿宋" w:cs="宋体"/>
          <w:color w:val="333333"/>
          <w:sz w:val="32"/>
          <w:szCs w:val="32"/>
        </w:rPr>
      </w:pPr>
      <w:r>
        <w:rPr>
          <w:rFonts w:hint="eastAsia" w:ascii="仿宋_GB2312" w:hAnsi="仿宋_GB2312" w:cs="仿宋_GB2312"/>
          <w:szCs w:val="30"/>
        </w:rPr>
        <w:t>驻村管寺工作在取得一定成绩的同时，也存在着一些问题。干部基础工作经验缺少，工作新局面还有待打开。有些管委会地处偏远、交通不便，有些自养清真寺安保设施、运行维护费用存在困难。</w:t>
      </w:r>
      <w:r>
        <w:rPr>
          <w:rFonts w:hint="eastAsia" w:ascii="仿宋_GB2312" w:hAnsi="仿宋" w:cs="宋体"/>
          <w:color w:val="333333"/>
          <w:sz w:val="32"/>
          <w:szCs w:val="32"/>
        </w:rPr>
        <w:t>本次项目绩效评价所采集的数据因为驻村管寺日常工作经费及人员经费拨付至各乡镇财政所实施等因素的影响，可能会出现一定的偏差，进而对评价结果存在影响。</w:t>
      </w:r>
    </w:p>
    <w:p>
      <w:pPr>
        <w:pStyle w:val="3"/>
        <w:spacing w:line="240" w:lineRule="auto"/>
        <w:rPr>
          <w:rFonts w:ascii="宋体" w:hAnsi="宋体" w:eastAsia="宋体"/>
          <w:sz w:val="32"/>
          <w:szCs w:val="32"/>
        </w:rPr>
      </w:pPr>
      <w:bookmarkStart w:id="19" w:name="_Toc68703845"/>
      <w:r>
        <w:rPr>
          <w:rFonts w:hint="eastAsia" w:ascii="宋体" w:hAnsi="宋体" w:eastAsia="宋体"/>
          <w:sz w:val="32"/>
          <w:szCs w:val="32"/>
        </w:rPr>
        <w:t>六、有关建议</w:t>
      </w:r>
      <w:bookmarkEnd w:id="19"/>
    </w:p>
    <w:p>
      <w:pPr>
        <w:pStyle w:val="3"/>
        <w:spacing w:line="240" w:lineRule="auto"/>
        <w:rPr>
          <w:rFonts w:ascii="仿宋_GB2312" w:hAnsi="仿宋" w:cs="宋体"/>
          <w:color w:val="333333"/>
          <w:sz w:val="32"/>
          <w:szCs w:val="32"/>
        </w:rPr>
      </w:pPr>
      <w:r>
        <w:rPr>
          <w:rFonts w:hint="eastAsia" w:ascii="仿宋_GB2312" w:hAnsi="仿宋_GB2312" w:cs="仿宋_GB2312"/>
          <w:sz w:val="30"/>
          <w:szCs w:val="30"/>
        </w:rPr>
        <w:t>（</w:t>
      </w:r>
      <w:r>
        <w:rPr>
          <w:rFonts w:hint="eastAsia" w:ascii="仿宋_GB2312" w:hAnsi="仿宋" w:cs="宋体"/>
          <w:color w:val="333333"/>
          <w:sz w:val="32"/>
          <w:szCs w:val="32"/>
        </w:rPr>
        <w:t>一）科学管理驻村管寺工作经费，提高经费运行质量。</w:t>
      </w:r>
    </w:p>
    <w:p>
      <w:pPr>
        <w:ind w:firstLine="640" w:firstLineChars="200"/>
        <w:jc w:val="left"/>
        <w:rPr>
          <w:rFonts w:ascii="仿宋_GB2312" w:hAnsi="仿宋" w:cs="宋体"/>
          <w:color w:val="333333"/>
          <w:sz w:val="32"/>
          <w:szCs w:val="32"/>
        </w:rPr>
      </w:pPr>
      <w:r>
        <w:rPr>
          <w:rFonts w:hint="eastAsia" w:ascii="仿宋_GB2312" w:hAnsi="仿宋" w:cs="宋体"/>
          <w:color w:val="333333"/>
          <w:sz w:val="32"/>
          <w:szCs w:val="32"/>
        </w:rPr>
        <w:t xml:space="preserve">科学的管理驻村管寺工作经费应该保证经费运行预算和目标相匹配。应在合理测算工作量的基础上保证工作经费和人员经费的准确性。 </w:t>
      </w:r>
    </w:p>
    <w:p>
      <w:pPr>
        <w:ind w:firstLine="640" w:firstLineChars="200"/>
        <w:jc w:val="left"/>
        <w:rPr>
          <w:rFonts w:ascii="仿宋_GB2312" w:hAnsi="仿宋" w:cs="宋体"/>
          <w:color w:val="333333"/>
          <w:sz w:val="32"/>
          <w:szCs w:val="32"/>
        </w:rPr>
      </w:pPr>
      <w:r>
        <w:rPr>
          <w:rFonts w:hint="eastAsia" w:ascii="仿宋_GB2312" w:hAnsi="仿宋" w:cs="宋体"/>
          <w:color w:val="333333"/>
          <w:sz w:val="32"/>
          <w:szCs w:val="32"/>
        </w:rPr>
        <w:t>对此，建议预算单位会同财政部门共同梳理项目绩效目标，合理测算2021年项目工作量，科学编制预算。</w:t>
      </w:r>
    </w:p>
    <w:p>
      <w:pPr>
        <w:ind w:firstLine="640" w:firstLineChars="200"/>
        <w:jc w:val="left"/>
        <w:rPr>
          <w:rFonts w:ascii="仿宋_GB2312" w:hAnsi="仿宋" w:cs="宋体"/>
          <w:color w:val="333333"/>
          <w:sz w:val="32"/>
          <w:szCs w:val="32"/>
        </w:rPr>
      </w:pPr>
      <w:r>
        <w:rPr>
          <w:rFonts w:hint="eastAsia" w:ascii="仿宋_GB2312" w:hAnsi="仿宋" w:cs="宋体"/>
          <w:color w:val="333333"/>
          <w:sz w:val="32"/>
          <w:szCs w:val="32"/>
        </w:rPr>
        <w:t>（二）制定明确的验收标准，加强绩效管理，完善年度绩效目标，保证项目实施效果。</w:t>
      </w:r>
    </w:p>
    <w:p>
      <w:pPr>
        <w:ind w:firstLine="640" w:firstLineChars="200"/>
        <w:jc w:val="left"/>
        <w:rPr>
          <w:rFonts w:hint="eastAsia" w:ascii="仿宋_GB2312" w:hAnsi="仿宋" w:eastAsia="仿宋_GB2312" w:cs="宋体"/>
          <w:color w:val="333333"/>
          <w:sz w:val="32"/>
          <w:szCs w:val="32"/>
          <w:lang w:eastAsia="zh-CN"/>
        </w:rPr>
      </w:pPr>
      <w:r>
        <w:rPr>
          <w:rFonts w:hint="eastAsia" w:ascii="仿宋_GB2312" w:hAnsi="仿宋" w:cs="宋体"/>
          <w:color w:val="333333"/>
          <w:sz w:val="32"/>
          <w:szCs w:val="32"/>
        </w:rPr>
        <w:t>项目预算部门应根据项目的相关管理制度或预申报资金情况，制定明确的验收标准，同时，完善绩效管理系统，对于项目的实施，根据年度实施项目内容，设置合理的绩效指标，严格按照指向明确、具体细化和合理可行这三个标准，设定项目绩效目标，从而能更有利的推动项目实施效果</w:t>
      </w:r>
      <w:r>
        <w:rPr>
          <w:rFonts w:hint="eastAsia" w:ascii="仿宋_GB2312" w:hAnsi="仿宋" w:cs="宋体"/>
          <w:color w:val="333333"/>
          <w:sz w:val="32"/>
          <w:szCs w:val="32"/>
          <w:lang w:eastAsia="zh-CN"/>
        </w:rPr>
        <w:t>。</w:t>
      </w:r>
    </w:p>
    <w:p/>
    <w:p/>
    <w:p>
      <w:pPr>
        <w:pStyle w:val="3"/>
        <w:spacing w:line="240" w:lineRule="auto"/>
        <w:rPr>
          <w:rFonts w:ascii="宋体" w:hAnsi="宋体" w:eastAsia="宋体"/>
          <w:sz w:val="32"/>
          <w:szCs w:val="32"/>
        </w:rPr>
      </w:pPr>
      <w:bookmarkStart w:id="20" w:name="_Toc68703846"/>
      <w:r>
        <w:rPr>
          <w:rFonts w:hint="eastAsia" w:ascii="宋体" w:hAnsi="宋体" w:eastAsia="宋体"/>
          <w:sz w:val="32"/>
          <w:szCs w:val="32"/>
        </w:rPr>
        <w:t>七、其他需要说明的问题</w:t>
      </w:r>
      <w:bookmarkEnd w:id="20"/>
    </w:p>
    <w:p>
      <w:r>
        <w:rPr>
          <w:rFonts w:hint="eastAsia"/>
        </w:rPr>
        <w:t>无</w:t>
      </w:r>
    </w:p>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简体">
    <w:altName w:val="方正舒体"/>
    <w:panose1 w:val="02010601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思源黑体 CN Medium">
    <w:altName w:val="黑体"/>
    <w:panose1 w:val="00000000000000000000"/>
    <w:charset w:val="86"/>
    <w:family w:val="auto"/>
    <w:pitch w:val="default"/>
    <w:sig w:usb0="00000000" w:usb1="00000000" w:usb2="00000016" w:usb3="00000000" w:csb0="6006010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F5D1B3"/>
    <w:multiLevelType w:val="singleLevel"/>
    <w:tmpl w:val="52F5D1B3"/>
    <w:lvl w:ilvl="0" w:tentative="0">
      <w:start w:val="2"/>
      <w:numFmt w:val="decimal"/>
      <w:suff w:val="nothing"/>
      <w:lvlText w:val="%1、"/>
      <w:lvlJc w:val="left"/>
      <w:rPr>
        <w:rFonts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TI1MDZlYmI5MDk0MTg0NGQ5YjU3MzZhZWMwZGE3NjIifQ=="/>
  </w:docVars>
  <w:rsids>
    <w:rsidRoot w:val="007D49C5"/>
    <w:rsid w:val="004D27F6"/>
    <w:rsid w:val="005B64E8"/>
    <w:rsid w:val="00614288"/>
    <w:rsid w:val="00792CFE"/>
    <w:rsid w:val="007D49C5"/>
    <w:rsid w:val="008C631D"/>
    <w:rsid w:val="00B24331"/>
    <w:rsid w:val="00CF7465"/>
    <w:rsid w:val="00D24438"/>
    <w:rsid w:val="01C51DEB"/>
    <w:rsid w:val="06B0495B"/>
    <w:rsid w:val="09864F10"/>
    <w:rsid w:val="12EE2148"/>
    <w:rsid w:val="16951127"/>
    <w:rsid w:val="21F74E80"/>
    <w:rsid w:val="24E6452A"/>
    <w:rsid w:val="25B36233"/>
    <w:rsid w:val="3D5F7C2D"/>
    <w:rsid w:val="419D7C26"/>
    <w:rsid w:val="447A3E3A"/>
    <w:rsid w:val="45EF756E"/>
    <w:rsid w:val="521B1B76"/>
    <w:rsid w:val="53885E26"/>
    <w:rsid w:val="5C12167F"/>
    <w:rsid w:val="615434E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szCs w:val="18"/>
    </w:rPr>
  </w:style>
  <w:style w:type="paragraph" w:styleId="5">
    <w:name w:val="Plain Text"/>
    <w:basedOn w:val="1"/>
    <w:qFormat/>
    <w:uiPriority w:val="0"/>
    <w:rPr>
      <w:rFonts w:ascii="宋体" w:hAnsi="Courier New"/>
    </w:rPr>
  </w:style>
  <w:style w:type="paragraph" w:styleId="6">
    <w:name w:val="footer"/>
    <w:basedOn w:val="1"/>
    <w:qFormat/>
    <w:uiPriority w:val="99"/>
    <w:pPr>
      <w:tabs>
        <w:tab w:val="center" w:pos="4153"/>
        <w:tab w:val="right" w:pos="8306"/>
      </w:tabs>
      <w:snapToGrid w:val="0"/>
      <w:jc w:val="left"/>
    </w:pPr>
    <w:rPr>
      <w:rFonts w:eastAsia="黑体" w:asciiTheme="minorHAnsi" w:hAnsiTheme="minorHAnsi" w:cstheme="minorBidi"/>
      <w:sz w:val="18"/>
      <w:szCs w:val="18"/>
    </w:rPr>
  </w:style>
  <w:style w:type="paragraph" w:styleId="7">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2">
    <w:name w:val="Strong"/>
    <w:basedOn w:val="11"/>
    <w:qFormat/>
    <w:uiPriority w:val="0"/>
    <w:rPr>
      <w:b/>
      <w:bCs/>
    </w:rPr>
  </w:style>
  <w:style w:type="character" w:styleId="13">
    <w:name w:val="Hyperlink"/>
    <w:basedOn w:val="11"/>
    <w:unhideWhenUsed/>
    <w:qFormat/>
    <w:uiPriority w:val="99"/>
    <w:rPr>
      <w:color w:val="0563C1" w:themeColor="hyperlink"/>
      <w:u w:val="single"/>
    </w:rPr>
  </w:style>
  <w:style w:type="character" w:customStyle="1" w:styleId="14">
    <w:name w:val="标题 1 Char"/>
    <w:basedOn w:val="11"/>
    <w:link w:val="3"/>
    <w:qFormat/>
    <w:uiPriority w:val="9"/>
    <w:rPr>
      <w:rFonts w:ascii="Times New Roman" w:hAnsi="Times New Roman" w:eastAsia="仿宋_GB2312" w:cs="Times New Roman"/>
      <w:b/>
      <w:bCs/>
      <w:kern w:val="44"/>
      <w:sz w:val="44"/>
      <w:szCs w:val="44"/>
    </w:rPr>
  </w:style>
  <w:style w:type="character" w:customStyle="1" w:styleId="15">
    <w:name w:val="标题 2 Char"/>
    <w:basedOn w:val="11"/>
    <w:link w:val="4"/>
    <w:qFormat/>
    <w:uiPriority w:val="9"/>
    <w:rPr>
      <w:rFonts w:asciiTheme="majorHAnsi" w:hAnsiTheme="majorHAnsi" w:eastAsiaTheme="majorEastAsia" w:cstheme="majorBidi"/>
      <w:b/>
      <w:bCs/>
      <w:sz w:val="32"/>
      <w:szCs w:val="32"/>
    </w:rPr>
  </w:style>
  <w:style w:type="paragraph" w:customStyle="1" w:styleId="16">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 w:type="character" w:customStyle="1" w:styleId="17">
    <w:name w:val="页眉 Char"/>
    <w:basedOn w:val="11"/>
    <w:link w:val="7"/>
    <w:semiHidden/>
    <w:qFormat/>
    <w:uiPriority w:val="99"/>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5948</Words>
  <Characters>6248</Characters>
  <Lines>48</Lines>
  <Paragraphs>13</Paragraphs>
  <TotalTime>0</TotalTime>
  <ScaleCrop>false</ScaleCrop>
  <LinksUpToDate>false</LinksUpToDate>
  <CharactersWithSpaces>6279</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A.X</cp:lastModifiedBy>
  <dcterms:modified xsi:type="dcterms:W3CDTF">2022-04-26T04:19:48Z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CF969539F621483594775CEF055FAA27</vt:lpwstr>
  </property>
</Properties>
</file>