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hint="eastAsia" w:ascii="宋体" w:hAnsi="宋体" w:cs="宋体"/>
          <w:b/>
          <w:kern w:val="0"/>
          <w:sz w:val="48"/>
          <w:szCs w:val="48"/>
          <w:lang w:val="en-US" w:eastAsia="zh-CN"/>
        </w:rPr>
      </w:pPr>
    </w:p>
    <w:p>
      <w:pPr>
        <w:spacing w:line="540" w:lineRule="exact"/>
        <w:jc w:val="center"/>
        <w:rPr>
          <w:rFonts w:hint="eastAsia" w:ascii="方正小标宋简体" w:hAnsi="方正小标宋简体" w:eastAsia="方正小标宋简体" w:cs="方正小标宋简体"/>
          <w:b/>
          <w:bCs w:val="0"/>
          <w:kern w:val="0"/>
          <w:sz w:val="44"/>
          <w:szCs w:val="44"/>
          <w:lang w:val="en-US" w:eastAsia="zh-CN"/>
        </w:rPr>
      </w:pPr>
      <w:r>
        <w:rPr>
          <w:rFonts w:hint="eastAsia" w:ascii="方正小标宋简体" w:hAnsi="方正小标宋简体" w:eastAsia="方正小标宋简体" w:cs="方正小标宋简体"/>
          <w:b/>
          <w:bCs w:val="0"/>
          <w:kern w:val="0"/>
          <w:sz w:val="44"/>
          <w:szCs w:val="44"/>
          <w:lang w:val="en-US" w:eastAsia="zh-CN"/>
        </w:rPr>
        <w:t>特克斯县马场中学整体支出绩效自评报告</w:t>
      </w:r>
    </w:p>
    <w:p>
      <w:pPr>
        <w:spacing w:line="540" w:lineRule="exact"/>
        <w:jc w:val="center"/>
        <w:rPr>
          <w:rFonts w:hint="eastAsia" w:ascii="宋体" w:hAnsi="宋体" w:cs="宋体"/>
          <w:b/>
          <w:kern w:val="0"/>
          <w:sz w:val="48"/>
          <w:szCs w:val="48"/>
          <w:lang w:val="en-US" w:eastAsia="zh-CN"/>
        </w:rPr>
      </w:pPr>
    </w:p>
    <w:p>
      <w:pPr>
        <w:spacing w:line="540" w:lineRule="exact"/>
        <w:jc w:val="center"/>
        <w:rPr>
          <w:rFonts w:hint="eastAsia" w:ascii="仿宋_GB2312" w:hAnsi="仿宋_GB2312" w:eastAsia="仿宋_GB2312" w:cs="仿宋_GB2312"/>
          <w:b w:val="0"/>
          <w:bCs/>
          <w:kern w:val="0"/>
          <w:sz w:val="36"/>
          <w:szCs w:val="36"/>
          <w:lang w:val="en-US" w:eastAsia="zh-CN"/>
        </w:rPr>
      </w:pPr>
      <w:r>
        <w:rPr>
          <w:rFonts w:hint="eastAsia" w:ascii="仿宋_GB2312" w:hAnsi="仿宋_GB2312" w:eastAsia="仿宋_GB2312" w:cs="仿宋_GB2312"/>
          <w:b w:val="0"/>
          <w:bCs/>
          <w:kern w:val="0"/>
          <w:sz w:val="36"/>
          <w:szCs w:val="36"/>
          <w:lang w:val="en-US" w:eastAsia="zh-CN"/>
        </w:rPr>
        <w:t>（2024年度）</w:t>
      </w:r>
    </w:p>
    <w:p>
      <w:pPr>
        <w:spacing w:line="540" w:lineRule="exact"/>
        <w:jc w:val="center"/>
        <w:rPr>
          <w:rFonts w:hint="eastAsia" w:ascii="宋体" w:hAnsi="宋体" w:cs="宋体"/>
          <w:b/>
          <w:kern w:val="0"/>
          <w:sz w:val="48"/>
          <w:szCs w:val="48"/>
          <w:lang w:val="en-US" w:eastAsia="zh-CN"/>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ind w:firstLine="1388" w:firstLineChars="434"/>
        <w:jc w:val="left"/>
        <w:rPr>
          <w:rFonts w:hint="eastAsia" w:hAnsi="宋体" w:eastAsia="仿宋_GB2312" w:cs="宋体"/>
          <w:kern w:val="0"/>
          <w:sz w:val="32"/>
          <w:szCs w:val="32"/>
        </w:rPr>
      </w:pPr>
      <w:r>
        <w:rPr>
          <w:rFonts w:hint="eastAsia" w:hAnsi="宋体" w:eastAsia="仿宋_GB2312" w:cs="宋体"/>
          <w:kern w:val="0"/>
          <w:sz w:val="32"/>
          <w:szCs w:val="32"/>
        </w:rPr>
        <w:t>部门单位名称（公章）：马场中学</w:t>
      </w:r>
    </w:p>
    <w:p>
      <w:pPr>
        <w:spacing w:line="700" w:lineRule="exact"/>
        <w:ind w:firstLine="1388" w:firstLineChars="434"/>
        <w:jc w:val="left"/>
        <w:rPr>
          <w:rFonts w:hAnsi="宋体" w:eastAsia="仿宋_GB2312" w:cs="宋体"/>
          <w:kern w:val="0"/>
          <w:sz w:val="36"/>
          <w:szCs w:val="36"/>
        </w:rPr>
      </w:pPr>
      <w:r>
        <w:rPr>
          <w:rFonts w:hint="eastAsia" w:hAnsi="宋体" w:eastAsia="仿宋_GB2312" w:cs="宋体"/>
          <w:kern w:val="0"/>
          <w:sz w:val="32"/>
          <w:szCs w:val="32"/>
        </w:rPr>
        <w:t>填报时间：2025年04月</w:t>
      </w:r>
      <w:r>
        <w:rPr>
          <w:rFonts w:hint="eastAsia" w:hAnsi="宋体" w:eastAsia="仿宋_GB2312" w:cs="宋体"/>
          <w:kern w:val="0"/>
          <w:sz w:val="32"/>
          <w:szCs w:val="32"/>
          <w:lang w:val="en-US" w:eastAsia="zh-CN"/>
        </w:rPr>
        <w:t>16</w:t>
      </w:r>
      <w:r>
        <w:rPr>
          <w:rFonts w:hint="eastAsia" w:hAnsi="宋体" w:eastAsia="仿宋_GB2312" w:cs="宋体"/>
          <w:kern w:val="0"/>
          <w:sz w:val="32"/>
          <w:szCs w:val="32"/>
        </w:rPr>
        <w:t>日</w:t>
      </w:r>
    </w:p>
    <w:p>
      <w:pPr>
        <w:numPr>
          <w:numId w:val="0"/>
        </w:numPr>
        <w:snapToGrid w:val="0"/>
        <w:spacing w:line="540" w:lineRule="exact"/>
        <w:ind w:left="648" w:leftChars="0"/>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一、</w:t>
      </w: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楷体_GB2312" w:hAnsi="楷体_GB2312" w:eastAsia="楷体_GB2312" w:cs="楷体_GB2312"/>
          <w:b/>
          <w:bCs/>
          <w:color w:val="333333"/>
          <w:sz w:val="32"/>
          <w:szCs w:val="32"/>
        </w:rPr>
      </w:pPr>
      <w:r>
        <w:rPr>
          <w:rFonts w:hint="eastAsia" w:ascii="楷体_GB2312" w:hAnsi="楷体_GB2312" w:eastAsia="楷体_GB2312" w:cs="楷体_GB2312"/>
          <w:b/>
          <w:bCs w:val="0"/>
          <w:color w:val="000000" w:themeColor="text1"/>
          <w:sz w:val="32"/>
          <w:szCs w:val="32"/>
          <w:lang w:bidi="ar"/>
          <w14:textFill>
            <w14:solidFill>
              <w14:schemeClr w14:val="tx1"/>
            </w14:solidFill>
          </w14:textFill>
        </w:rPr>
        <w:t>（一）部门单位基本情况</w:t>
      </w:r>
      <w:r>
        <w:rPr>
          <w:rFonts w:hint="eastAsia" w:ascii="楷体_GB2312" w:hAnsi="楷体_GB2312" w:eastAsia="楷体_GB2312" w:cs="楷体_GB2312"/>
          <w:b/>
          <w:bCs w:val="0"/>
          <w:color w:val="333333"/>
          <w:sz w:val="32"/>
          <w:szCs w:val="32"/>
        </w:rPr>
        <w:t>：</w:t>
      </w:r>
    </w:p>
    <w:p>
      <w:pPr>
        <w:spacing w:line="600" w:lineRule="exact"/>
        <w:ind w:left="958" w:leftChars="304" w:hanging="320" w:hangingChars="100"/>
        <w:jc w:val="left"/>
        <w:rPr>
          <w:rFonts w:hint="eastAsia" w:ascii="仿宋_GB2312" w:hAnsi="宋体" w:eastAsia="仿宋_GB2312"/>
          <w:bCs/>
          <w:sz w:val="32"/>
          <w:szCs w:val="32"/>
        </w:rPr>
      </w:pPr>
      <w:r>
        <w:rPr>
          <w:rFonts w:hint="eastAsia" w:ascii="仿宋_GB2312" w:hAnsi="宋体" w:eastAsia="仿宋_GB2312"/>
          <w:bCs/>
          <w:sz w:val="32"/>
          <w:szCs w:val="32"/>
        </w:rPr>
        <w:t>1.主要职能</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一、认真贯彻落实党的教育方针，积极配合教育行政部门做好教育教学指导回工作。</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二、培养德智体全面发展的社会主义接班人。</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三、坚持以教学为中心，领导教学工作;坚持兼课深入课堂，抓好教学工作。了解教师教学和学生学习情况。指导教导处搞好教学实验和教改工作。积极引导教师进行教育科学研究，不断改进教学方法。</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四、坚持勤俭办学的原则，努力改善办学条件。校长对学校的财产开支认真管理，定时审批和检查，引导后勤人员树立为教学服务、为师生服务的思想，管理好学校的校舍和一切校产、经费，开展勤工俭学活动，搞好创收工作，逐步改善教师的福利待遇，关心职工生活，善于为教职工排忧解难。五、完成全校交办的其他工作。</w:t>
      </w:r>
    </w:p>
    <w:p>
      <w:pPr>
        <w:spacing w:line="600" w:lineRule="exact"/>
        <w:ind w:left="638" w:leftChars="304" w:firstLine="0" w:firstLineChars="0"/>
        <w:jc w:val="left"/>
        <w:rPr>
          <w:rFonts w:hint="eastAsia" w:ascii="仿宋_GB2312" w:hAnsi="宋体" w:eastAsia="仿宋_GB2312"/>
          <w:bCs/>
          <w:sz w:val="32"/>
          <w:szCs w:val="32"/>
        </w:rPr>
      </w:pPr>
      <w:r>
        <w:rPr>
          <w:rFonts w:hint="eastAsia" w:ascii="仿宋_GB2312" w:hAnsi="宋体" w:eastAsia="仿宋_GB2312"/>
          <w:bCs/>
          <w:sz w:val="32"/>
          <w:szCs w:val="32"/>
        </w:rPr>
        <w:t>2.机构设置及人员情况</w:t>
      </w:r>
      <w:bookmarkStart w:id="2" w:name="_GoBack"/>
      <w:bookmarkEnd w:id="2"/>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特克斯县马场寄宿制小学无下属预算单位，下设5个科室，分别是：办公室、教务处、德育处、工会、党建办。</w:t>
      </w:r>
    </w:p>
    <w:p>
      <w:pPr>
        <w:spacing w:line="600" w:lineRule="exact"/>
        <w:ind w:firstLine="640" w:firstLineChars="200"/>
        <w:jc w:val="left"/>
      </w:pPr>
      <w:r>
        <w:rPr>
          <w:rFonts w:hint="eastAsia" w:ascii="仿宋_GB2312" w:hAnsi="宋体" w:eastAsia="仿宋_GB2312"/>
          <w:bCs/>
          <w:sz w:val="32"/>
          <w:szCs w:val="32"/>
        </w:rPr>
        <w:t>特克斯县马场寄宿制小学编制数62，实有人员135人，其中：在职人员83人，退休52人，离休0人。</w:t>
      </w:r>
      <w:bookmarkStart w:id="0" w:name="_Hlk43849111"/>
      <w:bookmarkEnd w:id="0"/>
    </w:p>
    <w:p>
      <w:pPr>
        <w:spacing w:line="600" w:lineRule="exact"/>
        <w:ind w:firstLine="964" w:firstLineChars="300"/>
        <w:jc w:val="left"/>
        <w:rPr>
          <w:rFonts w:hint="eastAsia" w:ascii="楷体_GB2312" w:hAnsi="楷体_GB2312" w:eastAsia="楷体_GB2312" w:cs="楷体_GB2312"/>
          <w:b/>
          <w:bCs w:val="0"/>
          <w:color w:val="000000" w:themeColor="text1"/>
          <w:sz w:val="32"/>
          <w:szCs w:val="32"/>
          <w:lang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bidi="ar"/>
          <w14:textFill>
            <w14:solidFill>
              <w14:schemeClr w14:val="tx1"/>
            </w14:solidFill>
          </w14:textFill>
        </w:rPr>
        <w:t>（二）部门单位年度重点工作：</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1.年度总体目标</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2.重点工作计划</w:t>
      </w:r>
    </w:p>
    <w:p>
      <w:pPr>
        <w:spacing w:line="60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一是消除义务教育大班额，二是义务教育巩固率，三是义务教育优质均衡率，四是实现信息化教学覆盖率，五是创建平安校园活动举办次数，六是国家通用语言文字教育教学。</w:t>
      </w:r>
    </w:p>
    <w:p>
      <w:pPr>
        <w:spacing w:line="600" w:lineRule="exact"/>
        <w:ind w:firstLine="964" w:firstLineChars="300"/>
        <w:jc w:val="left"/>
        <w:rPr>
          <w:rFonts w:hint="eastAsia" w:ascii="楷体_GB2312" w:hAnsi="楷体_GB2312" w:eastAsia="楷体_GB2312" w:cs="楷体_GB2312"/>
          <w:b/>
          <w:bCs w:val="0"/>
          <w:color w:val="000000" w:themeColor="text1"/>
          <w:sz w:val="32"/>
          <w:szCs w:val="32"/>
          <w:lang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bidi="ar"/>
          <w14:textFill>
            <w14:solidFill>
              <w14:schemeClr w14:val="tx1"/>
            </w14:solidFill>
          </w14:textFill>
        </w:rPr>
        <w:t>（三）部门单位整体预算规模及安排情况：</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2024年我单位年初预算安排1654.45万元，其中财政拨款1654.45万元，其他资金0万元，主要用于:</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lang w:val="en-US" w:eastAsia="zh-CN"/>
        </w:rPr>
        <w:t>1.</w:t>
      </w:r>
      <w:r>
        <w:rPr>
          <w:rFonts w:hint="eastAsia" w:ascii="仿宋_GB2312" w:hAnsi="宋体" w:eastAsia="仿宋_GB2312"/>
          <w:bCs/>
          <w:sz w:val="32"/>
          <w:szCs w:val="32"/>
        </w:rPr>
        <w:t>确保人员经费的合理分配。</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lang w:val="en-US" w:eastAsia="zh-CN"/>
        </w:rPr>
        <w:t>2.</w:t>
      </w:r>
      <w:r>
        <w:rPr>
          <w:rFonts w:hint="eastAsia" w:ascii="仿宋_GB2312" w:hAnsi="宋体" w:eastAsia="仿宋_GB2312"/>
          <w:bCs/>
          <w:sz w:val="32"/>
          <w:szCs w:val="32"/>
        </w:rPr>
        <w:t>完成在职教师工资发放、按时完成社保、公积金缴纳。</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lang w:val="en-US" w:eastAsia="zh-CN"/>
        </w:rPr>
        <w:t>3.</w:t>
      </w:r>
      <w:r>
        <w:rPr>
          <w:rFonts w:hint="eastAsia" w:ascii="仿宋_GB2312" w:hAnsi="宋体" w:eastAsia="仿宋_GB2312"/>
          <w:bCs/>
          <w:sz w:val="32"/>
          <w:szCs w:val="32"/>
        </w:rPr>
        <w:t>及时完成退休教师取暖费、计生奖励金按时发放。</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lang w:val="en-US" w:eastAsia="zh-CN"/>
        </w:rPr>
        <w:t>4.</w:t>
      </w:r>
      <w:r>
        <w:rPr>
          <w:rFonts w:hint="eastAsia" w:ascii="仿宋_GB2312" w:hAnsi="宋体" w:eastAsia="仿宋_GB2312"/>
          <w:bCs/>
          <w:sz w:val="32"/>
          <w:szCs w:val="32"/>
        </w:rPr>
        <w:t>完成每年教学任务。全面推进各类教师能力提升培训，加强教师队伍建设。完成好教育教学管理工作。</w:t>
      </w:r>
    </w:p>
    <w:p>
      <w:p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lang w:val="en-US" w:eastAsia="zh-CN"/>
        </w:rPr>
        <w:t>5.</w:t>
      </w:r>
      <w:r>
        <w:rPr>
          <w:rFonts w:hint="eastAsia" w:ascii="仿宋_GB2312" w:hAnsi="宋体" w:eastAsia="仿宋_GB2312"/>
          <w:bCs/>
          <w:sz w:val="32"/>
          <w:szCs w:val="32"/>
        </w:rPr>
        <w:t>年中调减5.31万元，调整后全年预算1649.14万元，预算调减率0.32%，调减预算的主要原因为人员减少。</w:t>
      </w:r>
    </w:p>
    <w:p>
      <w:pPr>
        <w:numPr>
          <w:numId w:val="0"/>
        </w:numPr>
        <w:snapToGrid w:val="0"/>
        <w:spacing w:line="540" w:lineRule="exact"/>
        <w:ind w:left="648" w:leftChars="0"/>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二、部门单位整体支出管理及使用情况：</w:t>
      </w:r>
    </w:p>
    <w:p>
      <w:pPr>
        <w:numPr>
          <w:numId w:val="0"/>
        </w:numPr>
        <w:spacing w:line="600" w:lineRule="exact"/>
        <w:ind w:left="640" w:leftChars="305" w:firstLine="0" w:firstLineChars="0"/>
        <w:jc w:val="left"/>
        <w:rPr>
          <w:rFonts w:hint="eastAsia" w:ascii="楷体_GB2312" w:hAnsi="楷体_GB2312" w:eastAsia="楷体_GB2312" w:cs="楷体_GB2312"/>
          <w:b/>
          <w:bCs w:val="0"/>
          <w:color w:val="000000" w:themeColor="text1"/>
          <w:sz w:val="32"/>
          <w:szCs w:val="32"/>
          <w:lang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t>(一)</w:t>
      </w:r>
      <w:r>
        <w:rPr>
          <w:rFonts w:hint="eastAsia" w:ascii="楷体_GB2312" w:hAnsi="楷体_GB2312" w:eastAsia="楷体_GB2312" w:cs="楷体_GB2312"/>
          <w:b/>
          <w:bCs w:val="0"/>
          <w:color w:val="000000" w:themeColor="text1"/>
          <w:sz w:val="32"/>
          <w:szCs w:val="32"/>
          <w:lang w:bidi="ar"/>
          <w14:textFill>
            <w14:solidFill>
              <w14:schemeClr w14:val="tx1"/>
            </w14:solidFill>
          </w14:textFill>
        </w:rPr>
        <w:t>部门单位整体支出管理情况</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1.预算编制</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我单位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p>
    <w:p>
      <w:pPr>
        <w:numPr>
          <w:numId w:val="0"/>
        </w:numPr>
        <w:spacing w:line="600" w:lineRule="exact"/>
        <w:ind w:leftChars="304"/>
        <w:jc w:val="left"/>
        <w:rPr>
          <w:rFonts w:hint="eastAsia" w:ascii="仿宋_GB2312" w:hAnsi="宋体" w:eastAsia="仿宋_GB2312"/>
          <w:bCs/>
          <w:sz w:val="32"/>
          <w:szCs w:val="32"/>
        </w:rPr>
      </w:pPr>
      <w:r>
        <w:rPr>
          <w:rFonts w:hint="eastAsia" w:ascii="仿宋_GB2312" w:hAnsi="宋体" w:eastAsia="仿宋_GB2312"/>
          <w:bCs/>
          <w:sz w:val="32"/>
          <w:szCs w:val="32"/>
          <w:lang w:val="en-US" w:eastAsia="zh-CN"/>
        </w:rPr>
        <w:t>2.</w:t>
      </w:r>
      <w:r>
        <w:rPr>
          <w:rFonts w:hint="eastAsia" w:ascii="仿宋_GB2312" w:hAnsi="宋体" w:eastAsia="仿宋_GB2312"/>
          <w:bCs/>
          <w:sz w:val="32"/>
          <w:szCs w:val="32"/>
        </w:rPr>
        <w:t>预算执行</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财政批复预算后，我单位按要求及时制定并报批部门预算支出计划，严格落实预算执行定期分析机制，靠前抓好支出执行，坚持严肃财经纪律，硬化预算约束，持续树牢厉行节约理念，严控一般性支出，努力降低行政运行成本。</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3.绩效管理</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我单位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5月、8月对预算执行动态进行实时监控，发现问题及时纠偏，确保绩效目标落地落实。③扎实开展自评工作，年度终了，扎实开展预算绩效目标完成情况部门审核和自评工作。</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lang w:val="en-US" w:eastAsia="zh-CN"/>
        </w:rPr>
        <w:t>4.</w:t>
      </w:r>
      <w:r>
        <w:rPr>
          <w:rFonts w:hint="eastAsia" w:ascii="仿宋_GB2312" w:hAnsi="宋体" w:eastAsia="仿宋_GB2312"/>
          <w:bCs/>
          <w:sz w:val="32"/>
          <w:szCs w:val="32"/>
        </w:rPr>
        <w:t>信息公开</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我单位已按要求在特克斯县人民政府门户网站公开部门预算信息，同步公开绩效目标表；在特克斯县人民政府门户网站公开部门决算信息，同步公开自评表及自评报告。</w:t>
      </w:r>
    </w:p>
    <w:p>
      <w:pPr>
        <w:numPr>
          <w:ilvl w:val="0"/>
          <w:numId w:val="0"/>
        </w:numPr>
        <w:spacing w:line="600" w:lineRule="exact"/>
        <w:ind w:firstLine="643" w:firstLineChars="200"/>
        <w:jc w:val="left"/>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t>（二）部门单位整体支出使用情况</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1.基本支出情况</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基本支出支出1649.14万元，包括工资福利支出1568.5万元，商品和服务支出27.65万元，对个人和家庭的补助52.99万元，资本性支出0万元。其中：“三公”经费支出0万元，比上年增加0万元，主要原因是本单位未安排三公经费支出；会议费支出0万元，比上年增加0万元，主要原因是本单位未安排会议支出；培训费支出1.41万元，比上年减少2.03万元，主要原因是本单位学生数减少经费减少。</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2.专项资金支出情况</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2024年专项项目支出0万元，占总支出的0％。</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3.部门单位专项组织实施情况</w:t>
      </w:r>
    </w:p>
    <w:p>
      <w:pPr>
        <w:numPr>
          <w:ilvl w:val="0"/>
          <w:numId w:val="0"/>
        </w:numPr>
        <w:spacing w:line="60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本单位2024年度未安排专项项目支出预算。</w:t>
      </w:r>
    </w:p>
    <w:p>
      <w:pPr>
        <w:numPr>
          <w:ilvl w:val="0"/>
          <w:numId w:val="0"/>
        </w:numPr>
        <w:snapToGrid w:val="0"/>
        <w:spacing w:line="540" w:lineRule="exact"/>
        <w:ind w:left="648" w:leftChars="0"/>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三、</w:t>
      </w: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numPr>
          <w:ilvl w:val="0"/>
          <w:numId w:val="0"/>
        </w:numPr>
        <w:spacing w:line="600" w:lineRule="exact"/>
        <w:ind w:firstLine="643" w:firstLineChars="200"/>
        <w:jc w:val="left"/>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t>（一）预算执行情况</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2024年我单位总支出1649.14万元，预算执行率100%，教育支出1356.53万元，社会保障和就业支出158.16万元，卫生健康支出14.84万元，住房保障支出117.61万元。</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1.基本支出使用情况</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我单位基本支出1649.14万元，占总支出的100％，其中：教育支出1356.53万元，机关事业单位基本养老保险缴费支出95.57万元，机关事业单位职业年金缴费支出64.59万元，事业单位医疗14.60万元，其他行政事业单位医疗支出0.24万元，住房公积金117.61万元。</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2.项目支出使用情况</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2024年，本单位未安排项目支出。</w:t>
      </w:r>
    </w:p>
    <w:p>
      <w:pPr>
        <w:numPr>
          <w:ilvl w:val="0"/>
          <w:numId w:val="0"/>
        </w:numPr>
        <w:spacing w:line="600" w:lineRule="exact"/>
        <w:ind w:firstLine="643" w:firstLineChars="200"/>
        <w:jc w:val="left"/>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t>（二）部门单位整体支出绩效指标完成情况</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年初我单位设置部门整体绩效目标中包括一级指标1个（履职效能）二级指标</w:t>
      </w:r>
      <w:r>
        <w:rPr>
          <w:rFonts w:hint="eastAsia" w:ascii="仿宋_GB2312" w:hAnsi="宋体" w:eastAsia="仿宋_GB2312"/>
          <w:bCs/>
          <w:sz w:val="32"/>
          <w:szCs w:val="32"/>
          <w:lang w:val="en-US" w:eastAsia="zh-CN"/>
        </w:rPr>
        <w:t>2</w:t>
      </w:r>
      <w:r>
        <w:rPr>
          <w:rFonts w:hint="eastAsia" w:ascii="仿宋_GB2312" w:hAnsi="宋体" w:eastAsia="仿宋_GB2312"/>
          <w:bCs/>
          <w:sz w:val="32"/>
          <w:szCs w:val="32"/>
        </w:rPr>
        <w:t>个，三级指标6个，指标完成情况分析如下：</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1.运行成本：本单位未涉及本条指标。</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2.管理效率：本单位未涉及本条指标。</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3.履职效能：</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（1）数量指标</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指标1： 消除义务教育大班额，指标值：&gt;=95% ，年中监控完成值：95%，自评完成值：95%，指标完成率100%，偏差0%，指标成效分析，通过消除义务教育大班额现象，完成小学每班学生数不超过45人，达到教师能够更好地关注每一位学生，提高教学效果和教育质量，有利于保障学生安全，促进学生心理健康，促进教育公平。</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2：义务教育巩固率，指标值：&gt;=98%，年中监控完成值：98%，自评完成值：98%，指标完成率100%，偏差0%，指标成效分析，通过义务教育巩固率，完成国家和地方义务教育发展规划，达到让更多的孩子都有平等接受教育的权力，提高国民整体文化素质，为国家培养更多的有知识、有技能的新世纪人才。</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3实现信息化教学覆盖率，指标值：&gt;=85%，年中监控完成值：85%，自评完成值：85%，指标完成率100%，偏差0%，指标成效分析，通过构建教育公共服务教学平台，完成优质数字教育资源，覆盖课程资源，教学课件，达到让更多的教师能够使用优秀的教学资源，实现资源共享。</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4：创建平安校园活动举办次数，指标值：&gt;=6次，年中监控完成值：4次，自评完成值：6次，指标完成率100%，指标成效分析，偏差0%，通过平安校园的举办和开展，完成学校交通安全、消防安全、法制教育等等活动，达到师生对平安校园创建活动的知晓率和参与率，师生能够掌握基本安全知识，将安全防范变成习惯，应急逃生成为技能。</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（2）质量指标</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指标1：国家通用语言文字教育教学 ，指标值：=100%，年中监控完成值：100%，自评完成值：100%，指标完成率100 %，偏差0%，指标成效分析，通过学校全面开设国家通用语言文字课程，完成教师使用国家通用语言教学能力，教师熟悉相关政策法规和规范标准，持教师资格证和普通话证教学，达到提升学生语言文字应用能力和语言文化素养，为国家培养高素质人才。</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指标2： 义务教育均衡验收率，指标值：&gt;=95%，年中监控完成值：95%，自评完成值：95%，指标完成率100%，偏差0%，指标成效分析，通过义务教育优质均衡，完成国家和地方义务教育发展规划，达到让更多的孩子都有平等接受教育的权力，提高国民整体文化素质，为国家培养更多的有知识、有技能的新世纪人才。</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4.社会效益：本单位未涉及本条指标。</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5.可持续发展能力：本单位未涉及本条指标。</w:t>
      </w:r>
    </w:p>
    <w:p>
      <w:pPr>
        <w:numPr>
          <w:ilvl w:val="0"/>
          <w:numId w:val="0"/>
        </w:numPr>
        <w:spacing w:line="600" w:lineRule="exact"/>
        <w:ind w:firstLine="640" w:firstLineChars="200"/>
        <w:jc w:val="left"/>
        <w:rPr>
          <w:rFonts w:ascii="仿宋_GB2312" w:hAnsi="宋体" w:eastAsia="仿宋_GB2312"/>
          <w:b/>
          <w:sz w:val="32"/>
          <w:szCs w:val="32"/>
        </w:rPr>
      </w:pPr>
      <w:r>
        <w:rPr>
          <w:rFonts w:hint="eastAsia" w:ascii="仿宋_GB2312" w:hAnsi="宋体" w:eastAsia="仿宋_GB2312"/>
          <w:bCs/>
          <w:sz w:val="32"/>
          <w:szCs w:val="32"/>
        </w:rPr>
        <w:t>6.服务对象满意度：本单位未涉及本条指标。</w:t>
      </w:r>
    </w:p>
    <w:p>
      <w:pPr>
        <w:numPr>
          <w:numId w:val="0"/>
        </w:numPr>
        <w:snapToGrid w:val="0"/>
        <w:spacing w:line="540" w:lineRule="exact"/>
        <w:ind w:left="648" w:leftChars="0"/>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四、</w:t>
      </w: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2024年度部门整体支出绩效评价综合得分97分，评价结果为“优”。</w:t>
      </w:r>
    </w:p>
    <w:p>
      <w:pPr>
        <w:numPr>
          <w:numId w:val="0"/>
        </w:numPr>
        <w:snapToGrid w:val="0"/>
        <w:spacing w:line="540" w:lineRule="exact"/>
        <w:ind w:left="648" w:leftChars="0"/>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五、</w:t>
      </w: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numPr>
          <w:ilvl w:val="0"/>
          <w:numId w:val="0"/>
        </w:numPr>
        <w:spacing w:line="600" w:lineRule="exact"/>
        <w:ind w:firstLine="640" w:firstLineChars="200"/>
        <w:jc w:val="left"/>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pPr>
      <w:r>
        <w:rPr>
          <w:rFonts w:hint="eastAsia" w:ascii="楷体_GB2312" w:hAnsi="楷体_GB2312" w:eastAsia="楷体_GB2312" w:cs="楷体_GB2312"/>
          <w:b w:val="0"/>
          <w:bCs/>
          <w:color w:val="000000" w:themeColor="text1"/>
          <w:sz w:val="32"/>
          <w:szCs w:val="32"/>
          <w:lang w:val="en-US" w:eastAsia="zh-CN" w:bidi="ar"/>
          <w14:textFill>
            <w14:solidFill>
              <w14:schemeClr w14:val="tx1"/>
            </w14:solidFill>
          </w14:textFill>
        </w:rPr>
        <w:t>(一)</w:t>
      </w:r>
      <w:r>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t>绩效指标设置不够明确</w:t>
      </w:r>
    </w:p>
    <w:p>
      <w:pPr>
        <w:numPr>
          <w:ilvl w:val="0"/>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我单位部分绩效指标设置存在不够精简、指标数据无法统计和指标值设置过低等问题，部分项目绩效指标值设定为定性的指标，指标设置的科学性、合理性有待进一步提高。</w:t>
      </w:r>
    </w:p>
    <w:p>
      <w:pPr>
        <w:numPr>
          <w:ilvl w:val="0"/>
          <w:numId w:val="1"/>
        </w:numPr>
        <w:spacing w:line="600" w:lineRule="exact"/>
        <w:ind w:left="638" w:leftChars="304" w:firstLine="0" w:firstLineChars="0"/>
        <w:jc w:val="left"/>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t>固定资产账务管理不够细致、严谨</w:t>
      </w:r>
    </w:p>
    <w:p>
      <w:pPr>
        <w:numPr>
          <w:numId w:val="0"/>
        </w:numPr>
        <w:spacing w:line="600" w:lineRule="exact"/>
        <w:ind w:firstLine="640" w:firstLineChars="200"/>
        <w:jc w:val="left"/>
        <w:rPr>
          <w:rFonts w:ascii="仿宋_GB2312" w:hAnsi="宋体" w:eastAsia="仿宋_GB2312"/>
          <w:bCs/>
          <w:sz w:val="32"/>
          <w:szCs w:val="32"/>
        </w:rPr>
      </w:pPr>
      <w:r>
        <w:rPr>
          <w:rFonts w:hint="eastAsia" w:ascii="仿宋_GB2312" w:hAnsi="宋体" w:eastAsia="仿宋_GB2312"/>
          <w:bCs/>
          <w:sz w:val="32"/>
          <w:szCs w:val="32"/>
        </w:rPr>
        <w:t>固定资产管理水平有待提高，固定资产台账未及时与账面资产金额对账且末与实物进行清点及及时清理处置报废资产导致资产台账与账面资产金额存在差异,固定资产管理继续加强中。</w:t>
      </w:r>
    </w:p>
    <w:p>
      <w:pPr>
        <w:numPr>
          <w:numId w:val="0"/>
        </w:numPr>
        <w:snapToGrid w:val="0"/>
        <w:spacing w:line="540" w:lineRule="exact"/>
        <w:ind w:left="648" w:leftChars="0"/>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val="en-US" w:eastAsia="zh-CN" w:bidi="ar"/>
          <w14:textFill>
            <w14:solidFill>
              <w14:schemeClr w14:val="tx1"/>
            </w14:solidFill>
          </w14:textFill>
        </w:rPr>
        <w:t>六、</w:t>
      </w:r>
      <w:r>
        <w:rPr>
          <w:rFonts w:hint="eastAsia" w:ascii="黑体" w:hAnsi="黑体" w:eastAsia="黑体" w:cs="宋体"/>
          <w:b/>
          <w:color w:val="000000" w:themeColor="text1"/>
          <w:sz w:val="32"/>
          <w:szCs w:val="32"/>
          <w:lang w:bidi="ar"/>
          <w14:textFill>
            <w14:solidFill>
              <w14:schemeClr w14:val="tx1"/>
            </w14:solidFill>
          </w14:textFill>
        </w:rPr>
        <w:t>改进措施和建议：</w:t>
      </w:r>
    </w:p>
    <w:p>
      <w:pPr>
        <w:numPr>
          <w:numId w:val="0"/>
        </w:numPr>
        <w:spacing w:line="600" w:lineRule="exact"/>
        <w:ind w:firstLine="643" w:firstLineChars="200"/>
        <w:jc w:val="left"/>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t>（一）强化部门绩效管理体系建设</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一是建议以规章规则的形式，出台绩效管理制度，对绩效管理的目的、意义、性质和特点，以及组织实施绩效管理的程序、步骤、方法、原则和要求进行统一的规定。二是合理设置年度任务。提高各处室对部门中长期规划的重视程度，增强相关规划的落地性、导向性。三是探索符合部门工作特点的评价指标体系。在设定绩效目标时选取相关性强的量化指标，并注重选取符合实际工作情况的指标值。</w:t>
      </w:r>
    </w:p>
    <w:p>
      <w:pPr>
        <w:numPr>
          <w:numId w:val="0"/>
        </w:numPr>
        <w:spacing w:line="600" w:lineRule="exact"/>
        <w:ind w:firstLine="643" w:firstLineChars="200"/>
        <w:jc w:val="left"/>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t>（二）加强固定资产账务管理，确保账实相符</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针对抽查发现的问题，查找根源并改进，建议：一是加强年度政府采购台账和固定资产台账信息的比对，避免资产漏入、少入或录入不及时，二是资产领用应尽可能明确到具体使用人。三是资产入账时相关人员应再次确认发票、合同信息，避免基础信息录入错误</w:t>
      </w:r>
    </w:p>
    <w:p>
      <w:pPr>
        <w:numPr>
          <w:ilvl w:val="0"/>
          <w:numId w:val="1"/>
        </w:numPr>
        <w:spacing w:line="600" w:lineRule="exact"/>
        <w:ind w:left="638" w:leftChars="304" w:firstLine="0" w:firstLineChars="0"/>
        <w:jc w:val="left"/>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pPr>
      <w:r>
        <w:rPr>
          <w:rFonts w:hint="eastAsia" w:ascii="楷体_GB2312" w:hAnsi="楷体_GB2312" w:eastAsia="楷体_GB2312" w:cs="楷体_GB2312"/>
          <w:b/>
          <w:bCs w:val="0"/>
          <w:color w:val="000000" w:themeColor="text1"/>
          <w:sz w:val="32"/>
          <w:szCs w:val="32"/>
          <w:lang w:val="en-US" w:eastAsia="zh-CN" w:bidi="ar"/>
          <w14:textFill>
            <w14:solidFill>
              <w14:schemeClr w14:val="tx1"/>
            </w14:solidFill>
          </w14:textFill>
        </w:rPr>
        <w:t>建立动态分析管理机制，提高项目监管主动性</w:t>
      </w:r>
    </w:p>
    <w:p>
      <w:pPr>
        <w:numPr>
          <w:numId w:val="0"/>
        </w:numPr>
        <w:spacing w:line="600" w:lineRule="exact"/>
        <w:ind w:firstLine="640" w:firstLineChars="200"/>
        <w:jc w:val="left"/>
        <w:rPr>
          <w:rFonts w:hint="eastAsia" w:ascii="仿宋_GB2312" w:hAnsi="宋体" w:eastAsia="仿宋_GB2312"/>
          <w:bCs/>
          <w:sz w:val="32"/>
          <w:szCs w:val="32"/>
        </w:rPr>
      </w:pPr>
      <w:r>
        <w:rPr>
          <w:rFonts w:hint="eastAsia" w:ascii="仿宋_GB2312" w:hAnsi="宋体" w:eastAsia="仿宋_GB2312"/>
          <w:bCs/>
          <w:sz w:val="32"/>
          <w:szCs w:val="32"/>
        </w:rPr>
        <w:t>业务部门进行指导、监督和检查时进一步加强主动性，积极探索更有效和积极主动的监管方式。一方面要建立重点项目实施过程的反馈机制，依托相关信息平台，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p>
    <w:p>
      <w:pPr>
        <w:pStyle w:val="10"/>
        <w:keepNext w:val="0"/>
        <w:keepLines w:val="0"/>
        <w:pageBreakBefore w:val="0"/>
        <w:numPr>
          <w:ilvl w:val="0"/>
          <w:numId w:val="0"/>
        </w:numPr>
        <w:kinsoku/>
        <w:wordWrap/>
        <w:overflowPunct/>
        <w:topLinePunct w:val="0"/>
        <w:autoSpaceDE/>
        <w:autoSpaceDN/>
        <w:bidi w:val="0"/>
        <w:adjustRightInd/>
        <w:snapToGrid w:val="0"/>
        <w:spacing w:line="560" w:lineRule="exact"/>
        <w:ind w:left="1360" w:leftChars="0" w:hanging="720" w:firstLineChars="0"/>
        <w:textAlignment w:val="auto"/>
        <w:outlineLvl w:val="0"/>
        <w:rPr>
          <w:rFonts w:hint="eastAsia" w:ascii="仿宋_GB2312" w:hAnsi="宋体" w:eastAsia="仿宋_GB2312"/>
          <w:bCs/>
          <w:sz w:val="32"/>
          <w:szCs w:val="32"/>
        </w:rPr>
      </w:pPr>
      <w:bookmarkStart w:id="1" w:name="_Toc26203"/>
      <w:r>
        <w:rPr>
          <w:rFonts w:hint="eastAsia" w:ascii="黑体" w:hAnsi="黑体" w:eastAsia="黑体" w:cs="Times New Roman"/>
          <w:b w:val="0"/>
          <w:bCs/>
          <w:spacing w:val="-4"/>
          <w:kern w:val="2"/>
          <w:sz w:val="32"/>
          <w:szCs w:val="32"/>
          <w:lang w:val="en-US" w:eastAsia="zh-CN" w:bidi="ar-SA"/>
        </w:rPr>
        <w:t>七</w:t>
      </w:r>
      <w:r>
        <w:rPr>
          <w:rFonts w:hint="default" w:ascii="黑体" w:hAnsi="黑体" w:eastAsia="黑体" w:cs="Times New Roman"/>
          <w:b w:val="0"/>
          <w:bCs/>
          <w:spacing w:val="-4"/>
          <w:kern w:val="2"/>
          <w:sz w:val="32"/>
          <w:szCs w:val="32"/>
          <w:lang w:val="en-US" w:eastAsia="zh-CN" w:bidi="ar-SA"/>
        </w:rPr>
        <w:t>、</w:t>
      </w:r>
      <w:r>
        <w:rPr>
          <w:rStyle w:val="7"/>
          <w:rFonts w:hint="eastAsia" w:ascii="黑体" w:hAnsi="黑体" w:eastAsia="黑体"/>
          <w:b w:val="0"/>
          <w:bCs w:val="0"/>
          <w:spacing w:val="-4"/>
          <w:sz w:val="32"/>
          <w:szCs w:val="32"/>
        </w:rPr>
        <w:t>附表：</w:t>
      </w:r>
      <w:r>
        <w:rPr>
          <w:rStyle w:val="7"/>
          <w:rFonts w:hint="eastAsia" w:ascii="仿宋_GB2312" w:hAnsi="仿宋" w:eastAsia="仿宋_GB2312"/>
          <w:b w:val="0"/>
          <w:spacing w:val="-4"/>
          <w:sz w:val="32"/>
          <w:szCs w:val="32"/>
        </w:rPr>
        <w:t>《</w:t>
      </w:r>
      <w:r>
        <w:rPr>
          <w:rStyle w:val="7"/>
          <w:rFonts w:hint="eastAsia" w:ascii="仿宋_GB2312" w:hAnsi="楷体" w:eastAsia="仿宋_GB2312"/>
          <w:b w:val="0"/>
          <w:bCs w:val="0"/>
          <w:spacing w:val="-4"/>
          <w:sz w:val="32"/>
          <w:szCs w:val="32"/>
        </w:rPr>
        <w:t>部门整体支出绩效目标自评表</w:t>
      </w:r>
      <w:r>
        <w:rPr>
          <w:rStyle w:val="7"/>
          <w:rFonts w:hint="eastAsia" w:ascii="仿宋_GB2312" w:hAnsi="仿宋" w:eastAsia="仿宋_GB2312"/>
          <w:b w:val="0"/>
          <w:spacing w:val="-4"/>
          <w:sz w:val="32"/>
          <w:szCs w:val="32"/>
        </w:rPr>
        <w:t>》</w:t>
      </w:r>
      <w:bookmarkEnd w:id="1"/>
    </w:p>
    <w:tbl>
      <w:tblPr>
        <w:tblStyle w:val="5"/>
        <w:tblW w:w="1006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62"/>
        <w:gridCol w:w="1150"/>
        <w:gridCol w:w="2103"/>
        <w:gridCol w:w="992"/>
        <w:gridCol w:w="1525"/>
        <w:gridCol w:w="800"/>
        <w:gridCol w:w="933"/>
        <w:gridCol w:w="8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1006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部门（单位）整体支出绩效目标自评表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trPr>
        <w:tc>
          <w:tcPr>
            <w:tcW w:w="1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部门（单位）名称</w:t>
            </w:r>
          </w:p>
        </w:tc>
        <w:tc>
          <w:tcPr>
            <w:tcW w:w="8398"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马场中学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部门资金（万元）</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资金来源</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分值权重</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7"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年度总资金</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1654.45</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1649.14</w:t>
            </w:r>
          </w:p>
        </w:tc>
        <w:tc>
          <w:tcPr>
            <w:tcW w:w="1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1649.14</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7"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上级资金：</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1646.15</w:t>
            </w:r>
          </w:p>
        </w:tc>
        <w:tc>
          <w:tcPr>
            <w:tcW w:w="1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1646.15</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7"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本级资金：</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1654.45</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7"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w:t>
            </w:r>
          </w:p>
        </w:tc>
        <w:tc>
          <w:tcPr>
            <w:tcW w:w="9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2.99</w:t>
            </w:r>
          </w:p>
        </w:tc>
        <w:tc>
          <w:tcPr>
            <w:tcW w:w="1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2.99</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1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42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4153"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39"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2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1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1、认真按照制定的教学计划完成规范备课、上课。以“上好课”为主题，扎实开展教研活动3次。 本学期，我校以解决课堂的常态问题为教研活动的目标，开展以了“上好课”为主题的教研活动3次，帮助教师进一步提升课堂教学能力。2.积极开展相关主题班会2次，进一步增进学生的法制知识和守法意识，懂得珍爱生命、崇尚科学、拒绝宗教毒品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预期指标值</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分值权重</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实际完成指标值</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1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履职效能</w:t>
            </w:r>
          </w:p>
        </w:tc>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消除义务教育大班额</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伊犁哈萨克自治州十四五规划</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义务教育巩固率</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&gt;=98%</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伊犁哈萨克自治州十四五规划</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实现信息化教学覆盖率</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&gt;=85%</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伊犁哈萨克自治州十四五规划</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创建平安校园活动举办次数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&gt;=6次</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工作计划</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6次</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8"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义务教育优质均衡率</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伊犁哈萨克自治州十四五规划</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国家通用语言文字教育教学</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伊犁哈萨克自治州十四五规划</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r>
    </w:tbl>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F6A9E6"/>
    <w:multiLevelType w:val="singleLevel"/>
    <w:tmpl w:val="3CF6A9E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4391C09"/>
    <w:rsid w:val="06696209"/>
    <w:rsid w:val="0D1922F1"/>
    <w:rsid w:val="10DF6E84"/>
    <w:rsid w:val="135D2DA2"/>
    <w:rsid w:val="1438599A"/>
    <w:rsid w:val="200F4073"/>
    <w:rsid w:val="24357A81"/>
    <w:rsid w:val="24B86128"/>
    <w:rsid w:val="32264E6A"/>
    <w:rsid w:val="51C70EA9"/>
    <w:rsid w:val="51D851E5"/>
    <w:rsid w:val="54F842B6"/>
    <w:rsid w:val="5A7A7E76"/>
    <w:rsid w:val="64F5745B"/>
    <w:rsid w:val="656071F2"/>
    <w:rsid w:val="661A688D"/>
    <w:rsid w:val="6BF1756B"/>
    <w:rsid w:val="6D7C2AC4"/>
    <w:rsid w:val="6F5E1AA3"/>
    <w:rsid w:val="7B946224"/>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bCs/>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3937</Words>
  <Characters>4184</Characters>
  <Lines>2</Lines>
  <Paragraphs>1</Paragraphs>
  <TotalTime>47</TotalTime>
  <ScaleCrop>false</ScaleCrop>
  <LinksUpToDate>false</LinksUpToDate>
  <CharactersWithSpaces>4391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2025-05-14T11:22:27Z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1988573262A14A0187DE1D23E0FAA9E7_13</vt:lpwstr>
  </property>
  <property fmtid="{D5CDD505-2E9C-101B-9397-08002B2CF9AE}" pid="4" name="KSOTemplateDocerSaveRecord">
    <vt:lpwstr>eyJoZGlkIjoiNjIzYTc3ZjAxOWFkNDNjZmQ1ODVhM2EwZjQ2YTNjNzAiLCJ1c2VySWQiOiI2MTQ1NDg4ODUifQ==</vt:lpwstr>
  </property>
</Properties>
</file>