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方正小标宋简体" w:eastAsia="方正小标宋简体" w:cs="方正小标宋简体"/>
          <w:b/>
          <w:kern w:val="0"/>
          <w:sz w:val="44"/>
          <w:szCs w:val="44"/>
        </w:rPr>
      </w:pPr>
    </w:p>
    <w:p>
      <w:pPr>
        <w:spacing w:line="540" w:lineRule="exact"/>
        <w:jc w:val="center"/>
        <w:rPr>
          <w:rFonts w:hint="eastAsia" w:ascii="方正小标宋简体" w:hAnsi="方正小标宋简体" w:eastAsia="方正小标宋简体" w:cs="方正小标宋简体"/>
          <w:b/>
          <w:kern w:val="0"/>
          <w:sz w:val="44"/>
          <w:szCs w:val="44"/>
        </w:rPr>
      </w:pPr>
    </w:p>
    <w:p>
      <w:pPr>
        <w:spacing w:line="540" w:lineRule="exact"/>
        <w:jc w:val="center"/>
        <w:rPr>
          <w:rFonts w:hint="eastAsia" w:ascii="方正小标宋简体" w:hAnsi="方正小标宋简体" w:eastAsia="方正小标宋简体" w:cs="方正小标宋简体"/>
          <w:b/>
          <w:kern w:val="0"/>
          <w:sz w:val="44"/>
          <w:szCs w:val="44"/>
        </w:rPr>
      </w:pPr>
    </w:p>
    <w:p>
      <w:pPr>
        <w:spacing w:line="540" w:lineRule="exact"/>
        <w:jc w:val="center"/>
        <w:rPr>
          <w:rFonts w:hint="eastAsia" w:ascii="方正小标宋简体" w:hAnsi="方正小标宋简体" w:eastAsia="方正小标宋简体" w:cs="方正小标宋简体"/>
          <w:b/>
          <w:kern w:val="0"/>
          <w:sz w:val="44"/>
          <w:szCs w:val="44"/>
        </w:rPr>
      </w:pPr>
    </w:p>
    <w:p>
      <w:pPr>
        <w:spacing w:line="540" w:lineRule="exact"/>
        <w:jc w:val="center"/>
        <w:rPr>
          <w:rFonts w:hint="eastAsia" w:ascii="方正小标宋简体" w:hAnsi="方正小标宋简体" w:eastAsia="方正小标宋简体" w:cs="方正小标宋简体"/>
          <w:b/>
          <w:kern w:val="0"/>
          <w:sz w:val="44"/>
          <w:szCs w:val="44"/>
        </w:rPr>
      </w:pPr>
    </w:p>
    <w:p>
      <w:pPr>
        <w:spacing w:line="540" w:lineRule="exact"/>
        <w:jc w:val="center"/>
        <w:rPr>
          <w:rFonts w:hint="eastAsia" w:ascii="方正小标宋简体" w:hAnsi="方正小标宋简体" w:eastAsia="方正小标宋简体" w:cs="方正小标宋简体"/>
          <w:b/>
          <w:kern w:val="0"/>
          <w:sz w:val="44"/>
          <w:szCs w:val="44"/>
        </w:rPr>
      </w:pPr>
      <w:bookmarkStart w:id="25" w:name="_GoBack"/>
      <w:bookmarkEnd w:id="25"/>
      <w:r>
        <w:rPr>
          <w:rFonts w:hint="eastAsia" w:ascii="方正小标宋简体" w:hAnsi="方正小标宋简体" w:eastAsia="方正小标宋简体" w:cs="方正小标宋简体"/>
          <w:b/>
          <w:kern w:val="0"/>
          <w:sz w:val="44"/>
          <w:szCs w:val="44"/>
        </w:rPr>
        <w:t>特克斯县现代农业生态示范园区管委会整体支出绩效自评报告</w:t>
      </w:r>
    </w:p>
    <w:p>
      <w:pPr>
        <w:spacing w:line="540" w:lineRule="exact"/>
        <w:jc w:val="center"/>
        <w:rPr>
          <w:rFonts w:hint="eastAsia" w:ascii="华文中宋" w:hAnsi="华文中宋" w:eastAsia="华文中宋" w:cs="宋体"/>
          <w:b/>
          <w:kern w:val="0"/>
          <w:sz w:val="44"/>
          <w:szCs w:val="44"/>
        </w:rPr>
      </w:pPr>
    </w:p>
    <w:p>
      <w:pPr>
        <w:spacing w:line="54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2024</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年度）</w:t>
      </w:r>
    </w:p>
    <w:p>
      <w:pPr>
        <w:spacing w:line="540" w:lineRule="exact"/>
        <w:jc w:val="center"/>
        <w:rPr>
          <w:rFonts w:hint="eastAsia" w:ascii="仿宋_GB2312" w:hAnsi="仿宋_GB2312" w:eastAsia="仿宋_GB2312" w:cs="仿宋_GB2312"/>
          <w:kern w:val="0"/>
          <w:sz w:val="32"/>
          <w:szCs w:val="32"/>
        </w:rPr>
      </w:pPr>
    </w:p>
    <w:p>
      <w:pPr>
        <w:spacing w:line="540" w:lineRule="exact"/>
        <w:jc w:val="center"/>
        <w:rPr>
          <w:rFonts w:hint="eastAsia" w:ascii="仿宋_GB2312" w:hAnsi="仿宋_GB2312" w:eastAsia="仿宋_GB2312" w:cs="仿宋_GB2312"/>
          <w:kern w:val="0"/>
          <w:sz w:val="32"/>
          <w:szCs w:val="32"/>
        </w:rPr>
      </w:pPr>
    </w:p>
    <w:p>
      <w:pPr>
        <w:spacing w:line="540" w:lineRule="exact"/>
        <w:jc w:val="center"/>
        <w:rPr>
          <w:rFonts w:hint="eastAsia" w:ascii="仿宋_GB2312" w:hAnsi="仿宋_GB2312" w:eastAsia="仿宋_GB2312" w:cs="仿宋_GB2312"/>
          <w:kern w:val="0"/>
          <w:sz w:val="32"/>
          <w:szCs w:val="32"/>
        </w:rPr>
      </w:pPr>
    </w:p>
    <w:p>
      <w:pPr>
        <w:spacing w:line="540" w:lineRule="exact"/>
        <w:jc w:val="center"/>
        <w:rPr>
          <w:rFonts w:hint="eastAsia" w:ascii="仿宋_GB2312" w:hAnsi="仿宋_GB2312" w:eastAsia="仿宋_GB2312" w:cs="仿宋_GB2312"/>
          <w:kern w:val="0"/>
          <w:sz w:val="32"/>
          <w:szCs w:val="32"/>
        </w:rPr>
      </w:pPr>
    </w:p>
    <w:p>
      <w:pPr>
        <w:spacing w:line="700" w:lineRule="exact"/>
        <w:jc w:val="left"/>
        <w:rPr>
          <w:rFonts w:hint="eastAsia" w:ascii="仿宋_GB2312" w:hAnsi="仿宋_GB2312" w:eastAsia="仿宋_GB2312" w:cs="仿宋_GB2312"/>
          <w:kern w:val="0"/>
          <w:sz w:val="32"/>
          <w:szCs w:val="32"/>
        </w:rPr>
      </w:pPr>
    </w:p>
    <w:p>
      <w:pPr>
        <w:spacing w:line="700" w:lineRule="exact"/>
        <w:ind w:left="3296" w:leftChars="284" w:hanging="2700" w:hangingChars="900"/>
        <w:jc w:val="left"/>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单位名称（公章）：特克斯县特克斯县现代农业生态示范园区管委会</w:t>
      </w:r>
    </w:p>
    <w:p>
      <w:pPr>
        <w:spacing w:line="700" w:lineRule="exact"/>
        <w:ind w:firstLine="60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0"/>
          <w:szCs w:val="30"/>
        </w:rPr>
        <w:t>填报时间：2025年4月10日</w:t>
      </w:r>
    </w:p>
    <w:p>
      <w:pPr>
        <w:spacing w:line="700" w:lineRule="exact"/>
        <w:jc w:val="left"/>
        <w:rPr>
          <w:rFonts w:hint="eastAsia" w:ascii="仿宋_GB2312" w:hAnsi="仿宋_GB2312" w:eastAsia="仿宋_GB2312" w:cs="仿宋_GB2312"/>
          <w:kern w:val="0"/>
          <w:sz w:val="32"/>
          <w:szCs w:val="32"/>
        </w:rPr>
        <w:sectPr>
          <w:pgSz w:w="11906" w:h="16838"/>
          <w:pgMar w:top="1440" w:right="1800" w:bottom="1440" w:left="1800" w:header="851" w:footer="992" w:gutter="0"/>
          <w:cols w:space="720" w:num="1"/>
          <w:docGrid w:type="lines" w:linePitch="312" w:charSpace="0"/>
        </w:sectPr>
      </w:pPr>
    </w:p>
    <w:p>
      <w:pPr>
        <w:snapToGrid w:val="0"/>
        <w:spacing w:line="560" w:lineRule="exact"/>
        <w:ind w:firstLine="640" w:firstLineChars="200"/>
        <w:outlineLvl w:val="0"/>
        <w:rPr>
          <w:rFonts w:hint="eastAsia" w:ascii="黑体" w:hAnsi="黑体" w:eastAsia="黑体" w:cs="宋体"/>
          <w:bCs/>
          <w:color w:val="333333"/>
          <w:sz w:val="32"/>
          <w:szCs w:val="32"/>
          <w:lang w:bidi="ar"/>
        </w:rPr>
      </w:pPr>
      <w:bookmarkStart w:id="0" w:name="_Toc17212"/>
      <w:r>
        <w:rPr>
          <w:rFonts w:hint="eastAsia" w:ascii="黑体" w:hAnsi="黑体" w:eastAsia="黑体" w:cs="宋体"/>
          <w:bCs/>
          <w:color w:val="333333"/>
          <w:sz w:val="32"/>
          <w:szCs w:val="32"/>
          <w:lang w:bidi="ar"/>
        </w:rPr>
        <w:t>一、基本概况</w:t>
      </w:r>
      <w:bookmarkEnd w:id="0"/>
    </w:p>
    <w:p>
      <w:pPr>
        <w:snapToGrid w:val="0"/>
        <w:spacing w:line="560" w:lineRule="exact"/>
        <w:ind w:left="638" w:leftChars="304"/>
        <w:outlineLvl w:val="1"/>
        <w:rPr>
          <w:rFonts w:hint="eastAsia" w:ascii="楷体" w:hAnsi="楷体" w:eastAsia="楷体" w:cs="楷体"/>
          <w:b/>
          <w:sz w:val="32"/>
          <w:szCs w:val="32"/>
        </w:rPr>
      </w:pPr>
      <w:bookmarkStart w:id="1" w:name="_Toc18380"/>
      <w:r>
        <w:rPr>
          <w:rFonts w:hint="eastAsia" w:ascii="楷体" w:hAnsi="楷体" w:eastAsia="楷体" w:cs="楷体"/>
          <w:b/>
          <w:sz w:val="32"/>
          <w:szCs w:val="32"/>
        </w:rPr>
        <w:t>（一）单位基本情况</w:t>
      </w:r>
      <w:bookmarkEnd w:id="1"/>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一、负责组织编制和实施现代农业生态示范园区总体规划，控制性详细规划、修建性详细规划等工作；</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二、负责协调落实城乡统筹政策、产业扶持政策等入驻企业的优惠政策工作；</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三、负责统筹协调相关项目、资金进入现代农业生态示范园区工作；</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四、负责现代农业生态示范园区项目的策划、包装，参与项目申报、实施和检查验收工作；</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五、负责组织实施现代农业生态示范园区基础设施、农民新村及工作服务设施等建设；</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六、负责现代农业生态示范园区招商引资工作；</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七、负责协调指导现代农业生态示范园区土地的流转工作；</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八、负责入驻企业的服务工作，为现代农业生态示范园区业主代办相关行政审批手续，促进项目落地和加快建设；</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九、负责对示范园区内农业科技实验、示范、推广、观光旅游等活动，依法进行管理、服务指导，监督示范园区农产品质量安全。</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十、负责组织协调相关部门，解决现代农业生态示范园区建设中的相关问题；</w:t>
      </w:r>
    </w:p>
    <w:p>
      <w:pPr>
        <w:snapToGrid w:val="0"/>
        <w:spacing w:line="560" w:lineRule="exact"/>
        <w:ind w:left="638" w:leftChars="304"/>
        <w:outlineLvl w:val="1"/>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2.机构设置及人员情况</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特克斯县现代农业生态示范园区管委会单位无下属预算单位，下设</w:t>
      </w:r>
      <w:r>
        <w:rPr>
          <w:rFonts w:eastAsia="仿宋_GB2312"/>
          <w:sz w:val="32"/>
          <w:szCs w:val="32"/>
        </w:rPr>
        <w:t>1</w:t>
      </w:r>
      <w:r>
        <w:rPr>
          <w:rFonts w:hint="eastAsia" w:ascii="仿宋_GB2312" w:hAnsi="仿宋" w:eastAsia="仿宋_GB2312"/>
          <w:sz w:val="32"/>
          <w:szCs w:val="32"/>
        </w:rPr>
        <w:t>个处室，分别是：综合业务科。</w:t>
      </w:r>
    </w:p>
    <w:p>
      <w:pPr>
        <w:widowControl/>
        <w:spacing w:line="560" w:lineRule="exact"/>
        <w:ind w:firstLine="640"/>
        <w:rPr>
          <w:rFonts w:hint="eastAsia" w:ascii="仿宋_GB2312" w:hAnsi="宋体" w:eastAsia="仿宋_GB2312" w:cs="宋体"/>
          <w:color w:val="000000"/>
          <w:kern w:val="0"/>
          <w:sz w:val="32"/>
          <w:szCs w:val="32"/>
        </w:rPr>
      </w:pPr>
      <w:r>
        <w:rPr>
          <w:rFonts w:hint="eastAsia" w:ascii="仿宋_GB2312" w:hAnsi="仿宋" w:eastAsia="仿宋_GB2312"/>
          <w:sz w:val="32"/>
          <w:szCs w:val="32"/>
        </w:rPr>
        <w:t>特克斯县现代农业生态示范园区管理委员会定编制</w:t>
      </w:r>
      <w:r>
        <w:rPr>
          <w:rFonts w:eastAsia="仿宋_GB2312"/>
          <w:sz w:val="32"/>
          <w:szCs w:val="32"/>
        </w:rPr>
        <w:t>12</w:t>
      </w:r>
      <w:r>
        <w:rPr>
          <w:rFonts w:hint="eastAsia" w:ascii="仿宋_GB2312" w:hAnsi="仿宋" w:eastAsia="仿宋_GB2312"/>
          <w:sz w:val="32"/>
          <w:szCs w:val="32"/>
        </w:rPr>
        <w:t>名，</w:t>
      </w:r>
      <w:r>
        <w:rPr>
          <w:rFonts w:hint="eastAsia" w:ascii="仿宋_GB2312" w:hAnsi="宋体" w:eastAsia="仿宋_GB2312" w:cs="宋体"/>
          <w:color w:val="000000"/>
          <w:kern w:val="0"/>
          <w:sz w:val="32"/>
          <w:szCs w:val="32"/>
        </w:rPr>
        <w:t>实有人数</w:t>
      </w:r>
      <w:r>
        <w:rPr>
          <w:rFonts w:eastAsia="仿宋_GB2312"/>
          <w:color w:val="000000"/>
          <w:kern w:val="0"/>
          <w:sz w:val="32"/>
          <w:szCs w:val="32"/>
        </w:rPr>
        <w:t>13</w:t>
      </w:r>
      <w:r>
        <w:rPr>
          <w:rFonts w:hint="eastAsia" w:ascii="仿宋_GB2312" w:hAnsi="宋体" w:eastAsia="仿宋_GB2312" w:cs="宋体"/>
          <w:color w:val="000000"/>
          <w:kern w:val="0"/>
          <w:sz w:val="32"/>
          <w:szCs w:val="32"/>
        </w:rPr>
        <w:t>人，其中：在职</w:t>
      </w:r>
      <w:r>
        <w:rPr>
          <w:rFonts w:eastAsia="仿宋_GB2312"/>
          <w:color w:val="000000"/>
          <w:kern w:val="0"/>
          <w:sz w:val="32"/>
          <w:szCs w:val="32"/>
        </w:rPr>
        <w:t>13</w:t>
      </w:r>
      <w:r>
        <w:rPr>
          <w:rFonts w:hint="eastAsia" w:ascii="仿宋_GB2312" w:hAnsi="宋体" w:eastAsia="仿宋_GB2312" w:cs="宋体"/>
          <w:color w:val="000000"/>
          <w:kern w:val="0"/>
          <w:sz w:val="32"/>
          <w:szCs w:val="32"/>
        </w:rPr>
        <w:t>人，减少</w:t>
      </w:r>
      <w:r>
        <w:rPr>
          <w:rFonts w:eastAsia="仿宋_GB2312"/>
          <w:color w:val="000000"/>
          <w:kern w:val="0"/>
          <w:sz w:val="32"/>
          <w:szCs w:val="32"/>
        </w:rPr>
        <w:t>0</w:t>
      </w:r>
      <w:r>
        <w:rPr>
          <w:rFonts w:hint="eastAsia" w:ascii="仿宋_GB2312" w:hAnsi="宋体" w:eastAsia="仿宋_GB2312" w:cs="宋体"/>
          <w:color w:val="000000"/>
          <w:kern w:val="0"/>
          <w:sz w:val="32"/>
          <w:szCs w:val="32"/>
        </w:rPr>
        <w:t>人；退休</w:t>
      </w:r>
      <w:r>
        <w:rPr>
          <w:rFonts w:eastAsia="仿宋_GB2312"/>
          <w:color w:val="000000"/>
          <w:kern w:val="0"/>
          <w:sz w:val="32"/>
          <w:szCs w:val="32"/>
        </w:rPr>
        <w:t>0</w:t>
      </w:r>
      <w:r>
        <w:rPr>
          <w:rFonts w:hint="eastAsia" w:ascii="仿宋_GB2312" w:hAnsi="宋体" w:eastAsia="仿宋_GB2312" w:cs="宋体"/>
          <w:color w:val="000000"/>
          <w:kern w:val="0"/>
          <w:sz w:val="32"/>
          <w:szCs w:val="32"/>
        </w:rPr>
        <w:t>人，减少</w:t>
      </w:r>
      <w:r>
        <w:rPr>
          <w:rFonts w:eastAsia="仿宋_GB2312"/>
          <w:color w:val="000000"/>
          <w:kern w:val="0"/>
          <w:sz w:val="32"/>
          <w:szCs w:val="32"/>
        </w:rPr>
        <w:t>0</w:t>
      </w:r>
      <w:r>
        <w:rPr>
          <w:rFonts w:hint="eastAsia" w:ascii="仿宋_GB2312" w:hAnsi="宋体" w:eastAsia="仿宋_GB2312" w:cs="宋体"/>
          <w:color w:val="000000"/>
          <w:kern w:val="0"/>
          <w:sz w:val="32"/>
          <w:szCs w:val="32"/>
        </w:rPr>
        <w:t>人；离休</w:t>
      </w:r>
      <w:r>
        <w:rPr>
          <w:rFonts w:eastAsia="仿宋_GB2312"/>
          <w:color w:val="000000"/>
          <w:kern w:val="0"/>
          <w:sz w:val="32"/>
          <w:szCs w:val="32"/>
        </w:rPr>
        <w:t>0</w:t>
      </w:r>
      <w:r>
        <w:rPr>
          <w:rFonts w:hint="eastAsia" w:ascii="仿宋_GB2312" w:hAnsi="宋体" w:eastAsia="仿宋_GB2312" w:cs="宋体"/>
          <w:color w:val="000000"/>
          <w:kern w:val="0"/>
          <w:sz w:val="32"/>
          <w:szCs w:val="32"/>
        </w:rPr>
        <w:t>人，增加</w:t>
      </w:r>
      <w:r>
        <w:rPr>
          <w:rFonts w:eastAsia="仿宋_GB2312"/>
          <w:color w:val="000000"/>
          <w:kern w:val="0"/>
          <w:sz w:val="32"/>
          <w:szCs w:val="32"/>
        </w:rPr>
        <w:t>1</w:t>
      </w:r>
      <w:r>
        <w:rPr>
          <w:rFonts w:hint="eastAsia" w:ascii="仿宋_GB2312" w:hAnsi="宋体" w:eastAsia="仿宋_GB2312" w:cs="宋体"/>
          <w:color w:val="000000"/>
          <w:kern w:val="0"/>
          <w:sz w:val="32"/>
          <w:szCs w:val="32"/>
        </w:rPr>
        <w:t>人。</w:t>
      </w:r>
    </w:p>
    <w:p>
      <w:pPr>
        <w:snapToGrid w:val="0"/>
        <w:spacing w:line="560" w:lineRule="exact"/>
        <w:ind w:left="638" w:leftChars="304"/>
        <w:outlineLvl w:val="1"/>
        <w:rPr>
          <w:rFonts w:hint="eastAsia" w:ascii="楷体" w:hAnsi="楷体" w:eastAsia="楷体" w:cs="楷体"/>
          <w:b/>
          <w:sz w:val="32"/>
          <w:szCs w:val="32"/>
        </w:rPr>
      </w:pPr>
      <w:bookmarkStart w:id="2" w:name="_Toc801"/>
      <w:r>
        <w:rPr>
          <w:rFonts w:hint="eastAsia" w:ascii="楷体" w:hAnsi="楷体" w:eastAsia="楷体" w:cs="楷体"/>
          <w:b/>
          <w:sz w:val="32"/>
          <w:szCs w:val="32"/>
        </w:rPr>
        <w:t>（二）单位年度重点工作</w:t>
      </w:r>
      <w:bookmarkEnd w:id="2"/>
    </w:p>
    <w:p>
      <w:pPr>
        <w:spacing w:line="560" w:lineRule="exact"/>
        <w:ind w:firstLine="627" w:firstLineChars="200"/>
        <w:outlineLvl w:val="2"/>
        <w:rPr>
          <w:rFonts w:hint="eastAsia" w:ascii="仿宋_GB2312" w:hAnsi="仿宋_GB2312" w:eastAsia="仿宋_GB2312" w:cs="仿宋_GB2312"/>
          <w:b/>
          <w:spacing w:val="-4"/>
          <w:sz w:val="32"/>
          <w:szCs w:val="32"/>
        </w:rPr>
      </w:pPr>
      <w:bookmarkStart w:id="3" w:name="_Toc8260"/>
      <w:r>
        <w:rPr>
          <w:rFonts w:hint="eastAsia" w:ascii="仿宋_GB2312" w:hAnsi="仿宋_GB2312" w:eastAsia="仿宋_GB2312" w:cs="仿宋_GB2312"/>
          <w:b/>
          <w:spacing w:val="-4"/>
          <w:sz w:val="32"/>
          <w:szCs w:val="32"/>
        </w:rPr>
        <w:t>1.年度总体目标</w:t>
      </w:r>
      <w:bookmarkEnd w:id="3"/>
    </w:p>
    <w:p>
      <w:pPr>
        <w:spacing w:line="560" w:lineRule="exact"/>
        <w:ind w:firstLine="640" w:firstLineChars="200"/>
        <w:rPr>
          <w:rFonts w:hint="eastAsia" w:ascii="仿宋_GB2312" w:hAnsi="仿宋" w:eastAsia="仿宋_GB2312"/>
          <w:sz w:val="32"/>
          <w:szCs w:val="32"/>
        </w:rPr>
      </w:pPr>
      <w:r>
        <w:rPr>
          <w:rFonts w:eastAsia="仿宋_GB2312"/>
          <w:sz w:val="32"/>
          <w:szCs w:val="32"/>
          <w:lang w:val="en"/>
        </w:rPr>
        <w:t>今年以来，</w:t>
      </w:r>
      <w:r>
        <w:rPr>
          <w:rFonts w:hint="eastAsia" w:eastAsia="仿宋_GB2312"/>
          <w:sz w:val="32"/>
          <w:szCs w:val="32"/>
        </w:rPr>
        <w:t>特克斯县农业园区管委会</w:t>
      </w:r>
      <w:r>
        <w:rPr>
          <w:rFonts w:eastAsia="仿宋_GB2312"/>
          <w:sz w:val="32"/>
          <w:szCs w:val="32"/>
          <w:lang w:val="en"/>
        </w:rPr>
        <w:t>坚持以习近平新时代中国特色社会主义思想为指导，全面贯彻落实党的二十大</w:t>
      </w:r>
      <w:r>
        <w:rPr>
          <w:rFonts w:hint="eastAsia" w:eastAsia="仿宋_GB2312"/>
          <w:sz w:val="32"/>
          <w:szCs w:val="32"/>
        </w:rPr>
        <w:t>和二十届三中全会</w:t>
      </w:r>
      <w:r>
        <w:rPr>
          <w:rFonts w:eastAsia="仿宋_GB2312"/>
          <w:sz w:val="32"/>
          <w:szCs w:val="32"/>
          <w:lang w:val="en"/>
        </w:rPr>
        <w:t>精神，</w:t>
      </w:r>
      <w:r>
        <w:rPr>
          <w:rFonts w:hint="eastAsia" w:eastAsia="仿宋_GB2312"/>
          <w:sz w:val="32"/>
          <w:szCs w:val="32"/>
        </w:rPr>
        <w:t>深入学习贯彻落实11月3日自治区党委在新疆准东经济技术开发区召开的推动开发区高质量发展工作会议精神，聚力聚焦</w:t>
      </w:r>
      <w:r>
        <w:rPr>
          <w:rFonts w:eastAsia="仿宋_GB2312"/>
          <w:sz w:val="32"/>
          <w:szCs w:val="32"/>
        </w:rPr>
        <w:t>自治区“</w:t>
      </w:r>
      <w:r>
        <w:rPr>
          <w:rFonts w:hint="eastAsia" w:eastAsia="仿宋_GB2312"/>
          <w:sz w:val="32"/>
          <w:szCs w:val="32"/>
        </w:rPr>
        <w:t>十</w:t>
      </w:r>
      <w:r>
        <w:rPr>
          <w:rFonts w:eastAsia="仿宋_GB2312"/>
          <w:sz w:val="32"/>
          <w:szCs w:val="32"/>
        </w:rPr>
        <w:t>大产业集群”和自治州“1+10+X+N”产业体系建设</w:t>
      </w:r>
      <w:r>
        <w:rPr>
          <w:rFonts w:hint="eastAsia" w:eastAsia="仿宋_GB2312"/>
          <w:sz w:val="32"/>
          <w:szCs w:val="32"/>
        </w:rPr>
        <w:t>，紧紧围绕县委、县人民政府关于园区工作的部署要求。2024年，各小微园区共计入驻企业152家，其中：商贸、物流、房地产、建筑等各类企业62家，个体工商户90家，预计完成总产值6.2亿元，提供间接或直接从业6000余人。</w:t>
      </w:r>
    </w:p>
    <w:p>
      <w:pPr>
        <w:autoSpaceDE w:val="0"/>
        <w:spacing w:after="0" w:line="560" w:lineRule="exact"/>
        <w:ind w:firstLine="627" w:firstLineChars="200"/>
        <w:outlineLvl w:val="2"/>
        <w:rPr>
          <w:rFonts w:ascii="仿宋_GB2312" w:eastAsia="仿宋_GB2312" w:cs="仿宋_GB2312"/>
          <w:b/>
          <w:spacing w:val="-4"/>
          <w:sz w:val="32"/>
          <w:szCs w:val="32"/>
        </w:rPr>
      </w:pPr>
      <w:r>
        <w:rPr>
          <w:rFonts w:hint="eastAsia" w:ascii="仿宋_GB2312" w:eastAsia="仿宋_GB2312" w:cs="仿宋_GB2312"/>
          <w:b/>
          <w:spacing w:val="-4"/>
          <w:sz w:val="32"/>
          <w:szCs w:val="32"/>
          <w:lang w:bidi="ar"/>
        </w:rPr>
        <w:t>2.重点工作计划</w:t>
      </w:r>
    </w:p>
    <w:p>
      <w:pPr>
        <w:pStyle w:val="3"/>
        <w:kinsoku w:val="0"/>
        <w:overflowPunct w:val="0"/>
        <w:autoSpaceDE w:val="0"/>
        <w:autoSpaceDN w:val="0"/>
        <w:spacing w:line="560" w:lineRule="exact"/>
        <w:ind w:firstLine="651" w:firstLineChars="200"/>
        <w:rPr>
          <w:rFonts w:ascii="仿宋_GB2312" w:eastAsia="仿宋_GB2312" w:cs="仿宋_GB2312"/>
          <w:spacing w:val="5"/>
          <w:sz w:val="32"/>
          <w:szCs w:val="32"/>
        </w:rPr>
      </w:pPr>
      <w:r>
        <w:rPr>
          <w:rFonts w:ascii="仿宋_GB2312" w:eastAsia="仿宋_GB2312" w:cs="仿宋_GB2312"/>
          <w:b/>
          <w:bCs/>
          <w:spacing w:val="2"/>
          <w:sz w:val="32"/>
          <w:szCs w:val="32"/>
        </w:rPr>
        <w:t>（一）党建引领持续深入。</w:t>
      </w:r>
      <w:r>
        <w:rPr>
          <w:rFonts w:ascii="仿宋_GB2312" w:eastAsia="仿宋_GB2312" w:cs="仿宋_GB2312"/>
          <w:spacing w:val="2"/>
          <w:sz w:val="32"/>
          <w:szCs w:val="32"/>
        </w:rPr>
        <w:t>园区党支部坚持把抓好党建工作</w:t>
      </w:r>
      <w:r>
        <w:rPr>
          <w:rFonts w:ascii="仿宋_GB2312" w:eastAsia="仿宋_GB2312" w:cs="仿宋_GB2312"/>
          <w:spacing w:val="15"/>
          <w:sz w:val="32"/>
          <w:szCs w:val="32"/>
        </w:rPr>
        <w:t xml:space="preserve"> </w:t>
      </w:r>
      <w:r>
        <w:rPr>
          <w:rFonts w:ascii="仿宋_GB2312" w:eastAsia="仿宋_GB2312" w:cs="仿宋_GB2312"/>
          <w:spacing w:val="5"/>
          <w:sz w:val="32"/>
          <w:szCs w:val="32"/>
        </w:rPr>
        <w:t>做为引领园区各项事业高质量发展的第一要务，深入贯彻党中央</w:t>
      </w:r>
      <w:r>
        <w:rPr>
          <w:rFonts w:ascii="仿宋_GB2312" w:eastAsia="仿宋_GB2312" w:cs="仿宋_GB2312"/>
          <w:spacing w:val="1"/>
          <w:sz w:val="32"/>
          <w:szCs w:val="32"/>
        </w:rPr>
        <w:t xml:space="preserve"> </w:t>
      </w:r>
      <w:r>
        <w:rPr>
          <w:rFonts w:ascii="仿宋_GB2312" w:eastAsia="仿宋_GB2312" w:cs="仿宋_GB2312"/>
          <w:spacing w:val="5"/>
          <w:sz w:val="32"/>
          <w:szCs w:val="32"/>
        </w:rPr>
        <w:t>决策部署和自治区、自治州党委和县委的有关要求，围绕中心工作，聚焦主责主业，以党的政治建设为统领，以争创机关级“五 个好”党支部示范点为目标，扎实推动支部建设和全面从严治党 向纵深拓展，推进党的各项工作与中心工作互融互促，为园区高 质量发展夯实基础。2024年共计开展集中学习42次，支部委员 会 3次，召开党员大会 13次，讲党课 4次，观看警示教育片 3 场次、召开 2024年度党风廉政建设和反腐败工作会议 1 次，结合单位工作实际，成立支部委员会新选出 3名委员，发展入党积极分子 1名。坚持每季度评选工作标兵和学习标兵，提高党员积 极性和主动性。严格落实党员到社区报道工作，更好地为群众办 实事，全面提升园区企业服务。</w:t>
      </w:r>
    </w:p>
    <w:p>
      <w:pPr>
        <w:kinsoku w:val="0"/>
        <w:overflowPunct w:val="0"/>
        <w:autoSpaceDE w:val="0"/>
        <w:autoSpaceDN w:val="0"/>
        <w:spacing w:line="560" w:lineRule="exact"/>
        <w:ind w:firstLine="660" w:firstLineChars="200"/>
        <w:rPr>
          <w:rFonts w:ascii="仿宋_GB2312" w:eastAsia="仿宋_GB2312" w:cs="仿宋_GB2312"/>
          <w:spacing w:val="5"/>
          <w:sz w:val="32"/>
          <w:szCs w:val="32"/>
        </w:rPr>
      </w:pPr>
      <w:r>
        <w:rPr>
          <w:rFonts w:hint="eastAsia" w:ascii="仿宋_GB2312" w:eastAsia="仿宋_GB2312" w:cs="仿宋_GB2312"/>
          <w:spacing w:val="5"/>
          <w:sz w:val="32"/>
          <w:szCs w:val="32"/>
        </w:rPr>
        <w:t>（二）基础设施不断完善。加快推进园区项目建设，截止目 前，综合服务中心、黑小麦加工厂房、脱水蔬菜成品库、园区市 政基础设施建设已完成，鑫泽脱水蔬菜生产车间建设项目计划投 资 1 亿元，10000 平方米加工车间厂房建设已完成 85% ，设备安 装已完成 100%；众原果业果品深加工项目3700 平方米果品加工 车间已建设完成，果品分选预冷及恒温设备已安装运行；新疆森 万添生态农业科技有限责任公司鲜食玉米精深加工项目已投产， 正在进行车间升级改造。综合物流园二期、再生资源循环经济回 收利用园办公楼、天麓旅游综合示范园、八卦城国家 4A 级景区 特色文化街区基础设施建设、大麦青汁全产业链、特克斯县有机 肉牛畜牧屠宰加工一体化建设项目等一批重点项目快速推进。各 园区配套服务功能不断完善，承载产业项目能力明显增强。</w:t>
      </w:r>
    </w:p>
    <w:p>
      <w:pPr>
        <w:pStyle w:val="3"/>
        <w:spacing w:before="101" w:line="560" w:lineRule="exact"/>
        <w:ind w:firstLine="627" w:firstLineChars="200"/>
        <w:rPr>
          <w:rFonts w:ascii="仿宋_GB2312" w:hAnsi="仿宋_GB2312" w:eastAsia="仿宋_GB2312" w:cs="仿宋_GB2312"/>
          <w:sz w:val="32"/>
          <w:szCs w:val="32"/>
        </w:rPr>
      </w:pPr>
      <w:r>
        <w:rPr>
          <w:rFonts w:ascii="仿宋_GB2312" w:hAnsi="仿宋_GB2312" w:eastAsia="仿宋_GB2312" w:cs="仿宋_GB2312"/>
          <w:b/>
          <w:bCs/>
          <w:spacing w:val="-4"/>
          <w:sz w:val="32"/>
          <w:szCs w:val="32"/>
        </w:rPr>
        <w:t>（三）优质项目加快聚集。</w:t>
      </w:r>
      <w:r>
        <w:rPr>
          <w:rFonts w:ascii="仿宋_GB2312" w:hAnsi="仿宋_GB2312" w:eastAsia="仿宋_GB2312" w:cs="仿宋_GB2312"/>
          <w:spacing w:val="-4"/>
          <w:sz w:val="32"/>
          <w:szCs w:val="32"/>
        </w:rPr>
        <w:t>紧紧围绕自治区“十大产业集群”、</w:t>
      </w:r>
      <w:r>
        <w:rPr>
          <w:rFonts w:ascii="仿宋_GB2312" w:hAnsi="仿宋_GB2312" w:eastAsia="仿宋_GB2312" w:cs="仿宋_GB2312"/>
          <w:spacing w:val="1"/>
          <w:sz w:val="32"/>
          <w:szCs w:val="32"/>
        </w:rPr>
        <w:t>自治州“9+1产业集群”和“1+10+X+N”产业体系建设，按照“优一、</w:t>
      </w:r>
      <w:r>
        <w:rPr>
          <w:rFonts w:ascii="仿宋_GB2312" w:hAnsi="仿宋_GB2312" w:eastAsia="仿宋_GB2312" w:cs="仿宋_GB2312"/>
          <w:spacing w:val="11"/>
          <w:sz w:val="32"/>
          <w:szCs w:val="32"/>
        </w:rPr>
        <w:t>增二、稳三”的总体思路推进产业结构调整优化，培育了众原果</w:t>
      </w:r>
      <w:r>
        <w:rPr>
          <w:rFonts w:ascii="仿宋_GB2312" w:hAnsi="仿宋_GB2312" w:eastAsia="仿宋_GB2312" w:cs="仿宋_GB2312"/>
          <w:spacing w:val="5"/>
          <w:sz w:val="32"/>
          <w:szCs w:val="32"/>
        </w:rPr>
        <w:t>业、鲜食玉米、鑫泽食品、易乾黑小麦、葵花籽油等一批农产品精深加工企业，逐步完成农业企业标准化、专业化、科技化和品牌化。农业产业现代化步伐逐步加快。通过招商引资引进鲜食玉</w:t>
      </w:r>
      <w:r>
        <w:rPr>
          <w:rFonts w:ascii="仿宋_GB2312" w:hAnsi="仿宋_GB2312" w:eastAsia="仿宋_GB2312" w:cs="仿宋_GB2312"/>
          <w:spacing w:val="9"/>
          <w:sz w:val="32"/>
          <w:szCs w:val="32"/>
        </w:rPr>
        <w:t>米种植加工建设项目、鑫泽脱水蔬菜加工、大麦种植</w:t>
      </w:r>
      <w:r>
        <w:rPr>
          <w:rFonts w:ascii="仿宋_GB2312" w:hAnsi="仿宋_GB2312" w:eastAsia="仿宋_GB2312" w:cs="仿宋_GB2312"/>
          <w:spacing w:val="8"/>
          <w:sz w:val="32"/>
          <w:szCs w:val="32"/>
        </w:rPr>
        <w:t>植物工厂、大麦青汁线和草业公司等产业项目。</w:t>
      </w:r>
    </w:p>
    <w:p>
      <w:pPr>
        <w:pStyle w:val="3"/>
        <w:spacing w:before="181" w:line="560" w:lineRule="exact"/>
        <w:ind w:right="102" w:firstLine="679" w:firstLineChars="200"/>
        <w:rPr>
          <w:rFonts w:ascii="仿宋_GB2312" w:hAnsi="仿宋_GB2312" w:eastAsia="仿宋_GB2312" w:cs="仿宋_GB2312"/>
          <w:sz w:val="32"/>
          <w:szCs w:val="32"/>
        </w:rPr>
      </w:pPr>
      <w:r>
        <w:rPr>
          <w:rFonts w:ascii="仿宋_GB2312" w:hAnsi="仿宋_GB2312" w:eastAsia="仿宋_GB2312" w:cs="仿宋_GB2312"/>
          <w:b/>
          <w:bCs/>
          <w:spacing w:val="9"/>
          <w:sz w:val="32"/>
          <w:szCs w:val="32"/>
        </w:rPr>
        <w:t>（四）招商引资力度持续加大。</w:t>
      </w:r>
      <w:r>
        <w:rPr>
          <w:rFonts w:ascii="仿宋_GB2312" w:hAnsi="仿宋_GB2312" w:eastAsia="仿宋_GB2312" w:cs="仿宋_GB2312"/>
          <w:spacing w:val="9"/>
          <w:sz w:val="32"/>
          <w:szCs w:val="32"/>
        </w:rPr>
        <w:t>2024年各小微园区共执行</w:t>
      </w:r>
      <w:r>
        <w:rPr>
          <w:rFonts w:ascii="仿宋_GB2312" w:hAnsi="仿宋_GB2312" w:eastAsia="仿宋_GB2312" w:cs="仿宋_GB2312"/>
          <w:spacing w:val="4"/>
          <w:sz w:val="32"/>
          <w:szCs w:val="32"/>
        </w:rPr>
        <w:t>招商引资项目12个，预计完成招商引资到位资金4.44亿元。众原果业年产</w:t>
      </w:r>
      <w:r>
        <w:rPr>
          <w:rFonts w:hint="eastAsia" w:ascii="仿宋_GB2312" w:hAnsi="仿宋_GB2312" w:eastAsia="仿宋_GB2312" w:cs="仿宋_GB2312"/>
          <w:spacing w:val="-60"/>
          <w:sz w:val="32"/>
          <w:szCs w:val="32"/>
          <w:lang w:val="en-US" w:eastAsia="zh-CN"/>
        </w:rPr>
        <w:t>3</w:t>
      </w:r>
      <w:r>
        <w:rPr>
          <w:rFonts w:ascii="仿宋_GB2312" w:hAnsi="仿宋_GB2312" w:eastAsia="仿宋_GB2312" w:cs="仿宋_GB2312"/>
          <w:spacing w:val="4"/>
          <w:sz w:val="32"/>
          <w:szCs w:val="32"/>
        </w:rPr>
        <w:t>万吨果品精深加工基地建设、</w:t>
      </w:r>
      <w:r>
        <w:rPr>
          <w:rFonts w:ascii="仿宋_GB2312" w:hAnsi="仿宋_GB2312" w:eastAsia="仿宋_GB2312" w:cs="仿宋_GB2312"/>
          <w:spacing w:val="3"/>
          <w:sz w:val="32"/>
          <w:szCs w:val="32"/>
        </w:rPr>
        <w:t>鲜食玉米种植加工建</w:t>
      </w:r>
      <w:r>
        <w:rPr>
          <w:rFonts w:ascii="仿宋_GB2312" w:hAnsi="仿宋_GB2312" w:eastAsia="仿宋_GB2312" w:cs="仿宋_GB2312"/>
          <w:spacing w:val="5"/>
          <w:sz w:val="32"/>
          <w:szCs w:val="32"/>
        </w:rPr>
        <w:t>设、鑫泽脱水蔬菜新建厂房、易乾农业（黑小麦加工厂）等项目有序展开。其中鲜食玉米种植加工建设、易乾农业（黑小麦加工</w:t>
      </w:r>
      <w:r>
        <w:rPr>
          <w:rFonts w:ascii="仿宋_GB2312" w:hAnsi="仿宋_GB2312" w:eastAsia="仿宋_GB2312" w:cs="仿宋_GB2312"/>
          <w:spacing w:val="6"/>
          <w:sz w:val="32"/>
          <w:szCs w:val="32"/>
        </w:rPr>
        <w:t>厂）等项目实现当年投产，预计可实现工业总产值3.1亿元，成为园区新的增长点。</w:t>
      </w:r>
    </w:p>
    <w:p>
      <w:pPr>
        <w:pStyle w:val="3"/>
        <w:spacing w:before="180" w:line="560" w:lineRule="exact"/>
        <w:ind w:firstLine="659" w:firstLineChars="200"/>
        <w:rPr>
          <w:rFonts w:ascii="仿宋_GB2312" w:hAnsi="仿宋_GB2312" w:eastAsia="仿宋_GB2312" w:cs="仿宋_GB2312"/>
          <w:sz w:val="32"/>
          <w:szCs w:val="32"/>
        </w:rPr>
      </w:pPr>
      <w:r>
        <w:rPr>
          <w:rFonts w:ascii="仿宋_GB2312" w:hAnsi="仿宋_GB2312" w:eastAsia="仿宋_GB2312" w:cs="仿宋_GB2312"/>
          <w:b/>
          <w:bCs/>
          <w:spacing w:val="4"/>
          <w:sz w:val="32"/>
          <w:szCs w:val="32"/>
        </w:rPr>
        <w:t>（五）</w:t>
      </w:r>
      <w:r>
        <w:rPr>
          <w:rFonts w:ascii="仿宋_GB2312" w:hAnsi="仿宋_GB2312" w:eastAsia="仿宋_GB2312" w:cs="仿宋_GB2312"/>
          <w:spacing w:val="-70"/>
          <w:sz w:val="32"/>
          <w:szCs w:val="32"/>
        </w:rPr>
        <w:t xml:space="preserve"> </w:t>
      </w:r>
      <w:r>
        <w:rPr>
          <w:rFonts w:ascii="仿宋_GB2312" w:hAnsi="仿宋_GB2312" w:eastAsia="仿宋_GB2312" w:cs="仿宋_GB2312"/>
          <w:b/>
          <w:bCs/>
          <w:spacing w:val="4"/>
          <w:sz w:val="32"/>
          <w:szCs w:val="32"/>
        </w:rPr>
        <w:t>园区专班成效显著。</w:t>
      </w:r>
      <w:r>
        <w:rPr>
          <w:rFonts w:ascii="仿宋_GB2312" w:hAnsi="仿宋_GB2312" w:eastAsia="仿宋_GB2312" w:cs="仿宋_GB2312"/>
          <w:spacing w:val="4"/>
          <w:sz w:val="32"/>
          <w:szCs w:val="32"/>
        </w:rPr>
        <w:t>根据县委、县人民政府9月14</w:t>
      </w:r>
      <w:r>
        <w:rPr>
          <w:rFonts w:ascii="仿宋_GB2312" w:hAnsi="仿宋_GB2312" w:eastAsia="仿宋_GB2312" w:cs="仿宋_GB2312"/>
          <w:spacing w:val="1"/>
          <w:sz w:val="32"/>
          <w:szCs w:val="32"/>
        </w:rPr>
        <w:t>日经济运行分析会议精神。9月27日县委组织部先后从政府办、</w:t>
      </w:r>
      <w:r>
        <w:rPr>
          <w:rFonts w:ascii="仿宋_GB2312" w:hAnsi="仿宋_GB2312" w:eastAsia="仿宋_GB2312" w:cs="仿宋_GB2312"/>
          <w:spacing w:val="3"/>
          <w:sz w:val="32"/>
          <w:szCs w:val="32"/>
        </w:rPr>
        <w:t>农业农村局、住建局等单位抽调8名干部加强园区工作力量。目</w:t>
      </w:r>
      <w:r>
        <w:rPr>
          <w:rFonts w:ascii="仿宋_GB2312" w:hAnsi="仿宋_GB2312" w:eastAsia="仿宋_GB2312" w:cs="仿宋_GB2312"/>
          <w:spacing w:val="7"/>
          <w:sz w:val="32"/>
          <w:szCs w:val="32"/>
        </w:rPr>
        <w:t>前，8个小微园区暂未成立专门机构，各小微园区管理</w:t>
      </w:r>
      <w:r>
        <w:rPr>
          <w:rFonts w:ascii="仿宋_GB2312" w:hAnsi="仿宋_GB2312" w:eastAsia="仿宋_GB2312" w:cs="仿宋_GB2312"/>
          <w:spacing w:val="6"/>
          <w:sz w:val="32"/>
          <w:szCs w:val="32"/>
        </w:rPr>
        <w:t>工作暂由</w:t>
      </w:r>
      <w:r>
        <w:rPr>
          <w:rFonts w:ascii="仿宋_GB2312" w:hAnsi="仿宋_GB2312" w:eastAsia="仿宋_GB2312" w:cs="仿宋_GB2312"/>
          <w:spacing w:val="5"/>
          <w:sz w:val="32"/>
          <w:szCs w:val="32"/>
        </w:rPr>
        <w:t>原农业园区管委会统筹管理，抽调工作人员与原园区管委会工作人员合署办公。专班成立后，先后制定工作分工方案、企业包联方案等有效制度成效逐步显现，园区干部作风、工作效率和服务水平明显提升。</w:t>
      </w:r>
    </w:p>
    <w:p>
      <w:pPr>
        <w:pStyle w:val="3"/>
        <w:spacing w:before="170" w:line="560" w:lineRule="exact"/>
        <w:ind w:firstLine="647" w:firstLineChars="200"/>
        <w:rPr>
          <w:rFonts w:ascii="仿宋_GB2312" w:hAnsi="仿宋_GB2312" w:eastAsia="仿宋_GB2312" w:cs="仿宋_GB2312"/>
          <w:sz w:val="32"/>
          <w:szCs w:val="32"/>
        </w:rPr>
      </w:pPr>
      <w:r>
        <w:rPr>
          <w:rFonts w:ascii="仿宋_GB2312" w:hAnsi="仿宋_GB2312" w:eastAsia="仿宋_GB2312" w:cs="仿宋_GB2312"/>
          <w:b/>
          <w:bCs/>
          <w:spacing w:val="1"/>
          <w:sz w:val="32"/>
          <w:szCs w:val="32"/>
        </w:rPr>
        <w:t>（六）项目谋划阔步上升。</w:t>
      </w:r>
      <w:r>
        <w:rPr>
          <w:rFonts w:ascii="仿宋_GB2312" w:hAnsi="仿宋_GB2312" w:eastAsia="仿宋_GB2312" w:cs="仿宋_GB2312"/>
          <w:spacing w:val="1"/>
          <w:sz w:val="32"/>
          <w:szCs w:val="32"/>
        </w:rPr>
        <w:t>按照“立当前、顾大局、备长远</w:t>
      </w:r>
      <w:r>
        <w:rPr>
          <w:rFonts w:ascii="仿宋_GB2312" w:hAnsi="仿宋_GB2312" w:eastAsia="仿宋_GB2312" w:cs="仿宋_GB2312"/>
          <w:spacing w:val="5"/>
          <w:sz w:val="32"/>
          <w:szCs w:val="32"/>
        </w:rPr>
        <w:t>的思路，既着眼今年投资稳增长，又考虑长远发展打基础、补短板，在争取项目上突出基础设施建设和产业升级为重点，找准政策与园区现有情况的结合点与突破点，确保项目长期价值和可持续发展。按照早着手、早谋划的思路加强与相关部门及项目单位的沟通协调，有针对性地谋划项目、争取资金，跟进首森农业科技有限公司加快植物工厂、大麦青汁饮料厂和草业公司饲草料厂建设，同时通过内部培训、外部学习等方式，提高项目团队的专</w:t>
      </w:r>
      <w:r>
        <w:rPr>
          <w:rFonts w:ascii="仿宋_GB2312" w:hAnsi="仿宋_GB2312" w:eastAsia="仿宋_GB2312" w:cs="仿宋_GB2312"/>
          <w:spacing w:val="8"/>
          <w:sz w:val="32"/>
          <w:szCs w:val="32"/>
        </w:rPr>
        <w:t>业素质和创新能力，为项目谋划和储备提供有力支持。</w:t>
      </w:r>
    </w:p>
    <w:p>
      <w:pPr>
        <w:snapToGrid w:val="0"/>
        <w:spacing w:line="560" w:lineRule="exact"/>
        <w:ind w:left="638" w:leftChars="304"/>
        <w:outlineLvl w:val="1"/>
        <w:rPr>
          <w:rFonts w:hint="eastAsia" w:ascii="楷体" w:hAnsi="楷体" w:eastAsia="楷体" w:cs="楷体"/>
          <w:b/>
          <w:sz w:val="32"/>
          <w:szCs w:val="32"/>
        </w:rPr>
      </w:pPr>
      <w:r>
        <w:rPr>
          <w:rFonts w:hint="eastAsia" w:ascii="楷体" w:hAnsi="楷体" w:eastAsia="楷体" w:cs="楷体"/>
          <w:b/>
          <w:sz w:val="32"/>
          <w:szCs w:val="32"/>
        </w:rPr>
        <w:t>（三）单位整体预算规模及安排情况</w:t>
      </w:r>
    </w:p>
    <w:p>
      <w:pPr>
        <w:spacing w:line="560" w:lineRule="exact"/>
        <w:ind w:firstLine="624" w:firstLineChars="200"/>
        <w:jc w:val="left"/>
        <w:rPr>
          <w:rFonts w:hint="eastAsia" w:ascii="仿宋_GB2312" w:hAnsi="楷体" w:eastAsia="仿宋_GB2312"/>
          <w:bCs/>
          <w:color w:val="000000"/>
          <w:spacing w:val="-4"/>
          <w:sz w:val="32"/>
          <w:szCs w:val="32"/>
        </w:rPr>
      </w:pPr>
      <w:r>
        <w:rPr>
          <w:rFonts w:eastAsia="仿宋_GB2312"/>
          <w:bCs/>
          <w:color w:val="000000"/>
          <w:spacing w:val="-4"/>
          <w:sz w:val="32"/>
          <w:szCs w:val="32"/>
        </w:rPr>
        <w:t>2024</w:t>
      </w:r>
      <w:r>
        <w:rPr>
          <w:rFonts w:hint="eastAsia" w:ascii="仿宋_GB2312" w:hAnsi="楷体" w:eastAsia="仿宋_GB2312"/>
          <w:bCs/>
          <w:color w:val="000000"/>
          <w:spacing w:val="-4"/>
          <w:sz w:val="32"/>
          <w:szCs w:val="32"/>
        </w:rPr>
        <w:t>年特克斯县特克斯县现代农业生态示范园区管委会年初预算安排</w:t>
      </w:r>
      <w:r>
        <w:rPr>
          <w:rFonts w:eastAsia="仿宋_GB2312"/>
          <w:kern w:val="0"/>
          <w:sz w:val="32"/>
          <w:szCs w:val="32"/>
        </w:rPr>
        <w:t>190.29</w:t>
      </w:r>
      <w:r>
        <w:rPr>
          <w:rFonts w:hint="eastAsia" w:ascii="仿宋_GB2312" w:hAnsi="楷体" w:eastAsia="仿宋_GB2312"/>
          <w:bCs/>
          <w:color w:val="000000"/>
          <w:spacing w:val="-4"/>
          <w:sz w:val="32"/>
          <w:szCs w:val="32"/>
        </w:rPr>
        <w:t>万元，其中财政拨款</w:t>
      </w:r>
      <w:r>
        <w:rPr>
          <w:rFonts w:eastAsia="仿宋_GB2312"/>
          <w:kern w:val="0"/>
          <w:sz w:val="32"/>
          <w:szCs w:val="32"/>
        </w:rPr>
        <w:t>190.29</w:t>
      </w:r>
      <w:r>
        <w:rPr>
          <w:rFonts w:hint="eastAsia" w:ascii="仿宋_GB2312" w:hAnsi="宋体" w:eastAsia="仿宋_GB2312" w:cs="宋体"/>
          <w:kern w:val="0"/>
          <w:sz w:val="32"/>
          <w:szCs w:val="32"/>
        </w:rPr>
        <w:t>万元</w:t>
      </w:r>
      <w:r>
        <w:rPr>
          <w:rFonts w:hint="eastAsia" w:ascii="仿宋_GB2312" w:hAnsi="楷体" w:eastAsia="仿宋_GB2312"/>
          <w:bCs/>
          <w:color w:val="000000"/>
          <w:spacing w:val="-4"/>
          <w:sz w:val="32"/>
          <w:szCs w:val="32"/>
        </w:rPr>
        <w:t>，其他资金</w:t>
      </w:r>
      <w:r>
        <w:rPr>
          <w:rFonts w:eastAsia="仿宋_GB2312"/>
          <w:bCs/>
          <w:color w:val="000000"/>
          <w:spacing w:val="-4"/>
          <w:sz w:val="32"/>
          <w:szCs w:val="32"/>
        </w:rPr>
        <w:t>0</w:t>
      </w:r>
      <w:r>
        <w:rPr>
          <w:rFonts w:hint="eastAsia" w:ascii="仿宋_GB2312" w:hAnsi="楷体" w:eastAsia="仿宋_GB2312"/>
          <w:bCs/>
          <w:color w:val="000000"/>
          <w:spacing w:val="-4"/>
          <w:sz w:val="32"/>
          <w:szCs w:val="32"/>
        </w:rPr>
        <w:t>万元，主要用于主要用于人员工资及公用经费。</w:t>
      </w:r>
    </w:p>
    <w:p>
      <w:pPr>
        <w:pStyle w:val="7"/>
        <w:spacing w:line="560" w:lineRule="exact"/>
        <w:ind w:firstLine="624"/>
        <w:rPr>
          <w:rFonts w:cs="仿宋_GB2312"/>
          <w:spacing w:val="5"/>
          <w:kern w:val="2"/>
          <w:sz w:val="32"/>
          <w:szCs w:val="32"/>
        </w:rPr>
      </w:pPr>
      <w:r>
        <w:rPr>
          <w:rFonts w:ascii="Times New Roman" w:hAnsi="Times New Roman"/>
          <w:bCs/>
          <w:color w:val="000000"/>
          <w:spacing w:val="-4"/>
          <w:sz w:val="32"/>
          <w:szCs w:val="32"/>
        </w:rPr>
        <w:t>2024</w:t>
      </w:r>
      <w:r>
        <w:rPr>
          <w:rFonts w:hint="eastAsia" w:hAnsi="楷体"/>
          <w:bCs/>
          <w:color w:val="000000"/>
          <w:spacing w:val="-4"/>
          <w:sz w:val="32"/>
          <w:szCs w:val="32"/>
        </w:rPr>
        <w:t>年中调整</w:t>
      </w:r>
      <w:r>
        <w:rPr>
          <w:rFonts w:ascii="Times New Roman" w:hAnsi="Times New Roman"/>
          <w:color w:val="000000"/>
          <w:sz w:val="32"/>
          <w:szCs w:val="32"/>
        </w:rPr>
        <w:t>123.38</w:t>
      </w:r>
      <w:r>
        <w:rPr>
          <w:rFonts w:hint="eastAsia" w:hAnsi="楷体"/>
          <w:bCs/>
          <w:color w:val="000000"/>
          <w:spacing w:val="-4"/>
          <w:sz w:val="32"/>
          <w:szCs w:val="32"/>
        </w:rPr>
        <w:t>万元，调整后全年预算</w:t>
      </w:r>
      <w:r>
        <w:rPr>
          <w:rFonts w:ascii="Times New Roman" w:hAnsi="Times New Roman"/>
          <w:bCs/>
          <w:color w:val="000000"/>
          <w:spacing w:val="-4"/>
          <w:sz w:val="32"/>
          <w:szCs w:val="32"/>
        </w:rPr>
        <w:t>313.67</w:t>
      </w:r>
      <w:r>
        <w:rPr>
          <w:rFonts w:hint="eastAsia" w:hAnsi="楷体"/>
          <w:bCs/>
          <w:color w:val="000000"/>
          <w:spacing w:val="-4"/>
          <w:sz w:val="32"/>
          <w:szCs w:val="32"/>
        </w:rPr>
        <w:t>万元，预算调整率</w:t>
      </w:r>
      <w:r>
        <w:rPr>
          <w:rFonts w:ascii="Times New Roman" w:hAnsi="Times New Roman"/>
          <w:bCs/>
          <w:color w:val="000000"/>
          <w:spacing w:val="-4"/>
          <w:sz w:val="32"/>
          <w:szCs w:val="32"/>
        </w:rPr>
        <w:t>64.84</w:t>
      </w:r>
      <w:r>
        <w:rPr>
          <w:rFonts w:hint="eastAsia" w:hAnsi="楷体"/>
          <w:bCs/>
          <w:color w:val="000000"/>
          <w:spacing w:val="-4"/>
          <w:sz w:val="32"/>
          <w:szCs w:val="32"/>
        </w:rPr>
        <w:t>%，调整预算的主要原因为</w:t>
      </w:r>
      <w:r>
        <w:rPr>
          <w:rFonts w:hint="eastAsia" w:hAnsi="仿宋"/>
          <w:color w:val="000000"/>
          <w:kern w:val="0"/>
          <w:sz w:val="32"/>
          <w:szCs w:val="32"/>
        </w:rPr>
        <w:t>一是本年度人员增加、人员正常晋升调资、缴费基数增加。二是农业园区建设项目合同约定整体验收合格之日起已满一年，今年已支付质保金。</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4" w:name="_Toc22484"/>
      <w:r>
        <w:rPr>
          <w:rFonts w:hint="eastAsia" w:ascii="黑体" w:hAnsi="黑体" w:eastAsia="黑体" w:cs="宋体"/>
          <w:bCs/>
          <w:color w:val="333333"/>
          <w:sz w:val="32"/>
          <w:szCs w:val="32"/>
          <w:lang w:bidi="ar"/>
        </w:rPr>
        <w:t>二、单位整体支出管理及使用情况</w:t>
      </w:r>
      <w:bookmarkEnd w:id="4"/>
    </w:p>
    <w:p>
      <w:pPr>
        <w:spacing w:line="560" w:lineRule="exact"/>
        <w:ind w:firstLine="643" w:firstLineChars="200"/>
        <w:jc w:val="left"/>
        <w:outlineLvl w:val="1"/>
        <w:rPr>
          <w:rFonts w:hint="eastAsia" w:ascii="楷体" w:hAnsi="楷体" w:eastAsia="楷体" w:cs="楷体"/>
          <w:b/>
          <w:sz w:val="32"/>
          <w:szCs w:val="32"/>
        </w:rPr>
      </w:pPr>
      <w:bookmarkStart w:id="5" w:name="_Toc12906"/>
      <w:r>
        <w:rPr>
          <w:rFonts w:hint="eastAsia" w:ascii="楷体" w:hAnsi="楷体" w:eastAsia="楷体" w:cs="楷体"/>
          <w:b/>
          <w:sz w:val="32"/>
          <w:szCs w:val="32"/>
        </w:rPr>
        <w:t>（一）单位整体支出管理情况</w:t>
      </w:r>
      <w:bookmarkEnd w:id="5"/>
    </w:p>
    <w:p>
      <w:pPr>
        <w:spacing w:line="560" w:lineRule="exact"/>
        <w:ind w:firstLine="643" w:firstLineChars="200"/>
        <w:jc w:val="left"/>
        <w:outlineLvl w:val="2"/>
        <w:rPr>
          <w:rFonts w:hint="eastAsia" w:ascii="仿宋_GB2312" w:hAnsi="仿宋_GB2312" w:eastAsia="仿宋_GB2312" w:cs="仿宋_GB2312"/>
          <w:b/>
          <w:sz w:val="32"/>
          <w:szCs w:val="32"/>
        </w:rPr>
      </w:pPr>
      <w:bookmarkStart w:id="6" w:name="_Toc3057"/>
      <w:bookmarkStart w:id="7" w:name="_Toc2315"/>
      <w:r>
        <w:rPr>
          <w:rFonts w:hint="eastAsia" w:ascii="仿宋_GB2312" w:hAnsi="仿宋_GB2312" w:eastAsia="仿宋_GB2312" w:cs="仿宋_GB2312"/>
          <w:b/>
          <w:sz w:val="32"/>
          <w:szCs w:val="32"/>
        </w:rPr>
        <w:t>1.预算编制</w:t>
      </w:r>
      <w:bookmarkEnd w:id="6"/>
    </w:p>
    <w:p>
      <w:pPr>
        <w:widowControl/>
        <w:spacing w:line="560" w:lineRule="exact"/>
        <w:ind w:firstLine="640" w:firstLineChars="200"/>
        <w:rPr>
          <w:rFonts w:hint="eastAsia" w:ascii="楷体" w:hAnsi="楷体" w:eastAsia="楷体" w:cs="楷体"/>
          <w:b/>
          <w:color w:val="000000"/>
          <w:sz w:val="32"/>
          <w:szCs w:val="32"/>
        </w:rPr>
      </w:pPr>
      <w:r>
        <w:rPr>
          <w:rFonts w:hint="eastAsia" w:eastAsia="仿宋_GB2312" w:cs="仿宋_GB2312"/>
          <w:color w:val="000000"/>
          <w:kern w:val="0"/>
          <w:sz w:val="32"/>
          <w:szCs w:val="32"/>
          <w:lang w:bidi="ar"/>
        </w:rPr>
        <w:t>2024</w:t>
      </w:r>
      <w:r>
        <w:rPr>
          <w:rFonts w:hint="eastAsia" w:ascii="仿宋_GB2312" w:hAnsi="仿宋_GB2312" w:eastAsia="仿宋_GB2312" w:cs="仿宋_GB2312"/>
          <w:color w:val="000000"/>
          <w:kern w:val="0"/>
          <w:sz w:val="32"/>
          <w:szCs w:val="32"/>
          <w:lang w:bidi="ar"/>
        </w:rPr>
        <w:t>年我部门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p>
    <w:p>
      <w:pPr>
        <w:spacing w:line="560" w:lineRule="exact"/>
        <w:ind w:firstLine="643" w:firstLineChars="200"/>
        <w:jc w:val="left"/>
        <w:outlineLvl w:val="2"/>
        <w:rPr>
          <w:rFonts w:hint="eastAsia" w:ascii="仿宋_GB2312" w:hAnsi="仿宋_GB2312" w:eastAsia="仿宋_GB2312" w:cs="仿宋_GB2312"/>
          <w:b/>
          <w:sz w:val="32"/>
          <w:szCs w:val="32"/>
        </w:rPr>
      </w:pPr>
      <w:bookmarkStart w:id="8" w:name="_Toc26162"/>
      <w:r>
        <w:rPr>
          <w:rFonts w:eastAsia="仿宋_GB2312"/>
          <w:b/>
          <w:sz w:val="32"/>
          <w:szCs w:val="32"/>
        </w:rPr>
        <w:t>2</w:t>
      </w:r>
      <w:r>
        <w:rPr>
          <w:rFonts w:hint="eastAsia" w:ascii="仿宋_GB2312" w:hAnsi="仿宋_GB2312" w:eastAsia="仿宋_GB2312" w:cs="仿宋_GB2312"/>
          <w:b/>
          <w:sz w:val="32"/>
          <w:szCs w:val="32"/>
        </w:rPr>
        <w:t>.预算执行</w:t>
      </w:r>
      <w:bookmarkEnd w:id="8"/>
    </w:p>
    <w:p>
      <w:pPr>
        <w:widowControl/>
        <w:spacing w:line="560" w:lineRule="exact"/>
        <w:ind w:firstLine="640" w:firstLineChars="200"/>
        <w:rPr>
          <w:color w:val="000000"/>
        </w:rPr>
      </w:pPr>
      <w:r>
        <w:rPr>
          <w:rFonts w:hint="eastAsia" w:ascii="仿宋_GB2312" w:hAnsi="仿宋_GB2312" w:eastAsia="仿宋_GB2312" w:cs="仿宋_GB2312"/>
          <w:color w:val="000000"/>
          <w:kern w:val="0"/>
          <w:sz w:val="32"/>
          <w:szCs w:val="32"/>
          <w:lang w:bidi="ar"/>
        </w:rPr>
        <w:t>地区财政批复预算后，我单位按要求及时制定并报批部门预算支出计划，严格落实预算执行定期分析机制，靠前抓好支出执行，坚持严肃财经纪律，硬化预算约束，持续树牢厉行节约理念，严控一般性支出，努力降低行政运行成本。</w:t>
      </w:r>
    </w:p>
    <w:p>
      <w:pPr>
        <w:spacing w:line="560" w:lineRule="exact"/>
        <w:ind w:firstLine="643" w:firstLineChars="200"/>
        <w:jc w:val="left"/>
        <w:outlineLvl w:val="2"/>
        <w:rPr>
          <w:rFonts w:hint="eastAsia" w:ascii="仿宋_GB2312" w:hAnsi="仿宋_GB2312" w:eastAsia="仿宋_GB2312" w:cs="仿宋_GB2312"/>
          <w:b/>
          <w:sz w:val="32"/>
          <w:szCs w:val="32"/>
        </w:rPr>
      </w:pPr>
      <w:bookmarkStart w:id="9" w:name="_Toc31456"/>
      <w:r>
        <w:rPr>
          <w:rFonts w:eastAsia="仿宋_GB2312"/>
          <w:b/>
          <w:sz w:val="32"/>
          <w:szCs w:val="32"/>
        </w:rPr>
        <w:t>3</w:t>
      </w:r>
      <w:r>
        <w:rPr>
          <w:rFonts w:hint="eastAsia" w:ascii="仿宋_GB2312" w:hAnsi="仿宋_GB2312" w:eastAsia="仿宋_GB2312" w:cs="仿宋_GB2312"/>
          <w:b/>
          <w:sz w:val="32"/>
          <w:szCs w:val="32"/>
        </w:rPr>
        <w:t>.绩效管理</w:t>
      </w:r>
      <w:bookmarkEnd w:id="9"/>
    </w:p>
    <w:p>
      <w:pPr>
        <w:widowControl/>
        <w:spacing w:line="560" w:lineRule="exact"/>
        <w:ind w:firstLine="640" w:firstLineChars="200"/>
        <w:rPr>
          <w:rFonts w:hint="eastAsia" w:ascii="仿宋_GB2312" w:hAnsi="仿宋_GB2312" w:eastAsia="仿宋_GB2312" w:cs="仿宋_GB2312"/>
          <w:color w:val="000000"/>
          <w:kern w:val="0"/>
          <w:sz w:val="32"/>
          <w:szCs w:val="32"/>
          <w:lang w:bidi="ar"/>
        </w:rPr>
      </w:pPr>
      <w:r>
        <w:rPr>
          <w:rFonts w:hint="eastAsia" w:eastAsia="仿宋_GB2312" w:cs="仿宋_GB2312"/>
          <w:color w:val="000000"/>
          <w:kern w:val="0"/>
          <w:sz w:val="32"/>
          <w:szCs w:val="32"/>
          <w:lang w:bidi="ar"/>
        </w:rPr>
        <w:t>2024</w:t>
      </w:r>
      <w:r>
        <w:rPr>
          <w:rFonts w:hint="eastAsia" w:ascii="仿宋_GB2312" w:hAnsi="仿宋_GB2312" w:eastAsia="仿宋_GB2312" w:cs="仿宋_GB2312"/>
          <w:color w:val="000000"/>
          <w:kern w:val="0"/>
          <w:sz w:val="32"/>
          <w:szCs w:val="32"/>
          <w:lang w:bidi="ar"/>
        </w:rPr>
        <w:t>年，我单位严格按照财政要求，落实预算绩效管理全过程，包括</w:t>
      </w:r>
      <w:r>
        <w:rPr>
          <w:rFonts w:eastAsia="仿宋_GB2312"/>
          <w:color w:val="000000"/>
          <w:kern w:val="0"/>
          <w:sz w:val="32"/>
          <w:szCs w:val="32"/>
          <w:lang w:bidi="ar"/>
        </w:rPr>
        <w:t>①</w:t>
      </w:r>
      <w:r>
        <w:rPr>
          <w:rFonts w:hint="eastAsia" w:ascii="仿宋_GB2312" w:hAnsi="仿宋_GB2312" w:eastAsia="仿宋_GB2312" w:cs="仿宋_GB2312"/>
          <w:color w:val="000000"/>
          <w:kern w:val="0"/>
          <w:sz w:val="32"/>
          <w:szCs w:val="32"/>
          <w:lang w:bidi="ar"/>
        </w:rPr>
        <w:t>注重绩效目标编制，预算编制环节注重编细编实预算需求，科学选择绩效指标，合理设置绩效目标值，并严格按照财政统一要求，规范编制事前绩效报告，为财政资金发挥效益夯实基础。</w:t>
      </w:r>
      <w:r>
        <w:rPr>
          <w:rFonts w:eastAsia="仿宋_GB2312"/>
          <w:color w:val="000000"/>
          <w:kern w:val="0"/>
          <w:sz w:val="32"/>
          <w:szCs w:val="32"/>
          <w:lang w:bidi="ar"/>
        </w:rPr>
        <w:t>②</w:t>
      </w:r>
      <w:r>
        <w:rPr>
          <w:rFonts w:hint="eastAsia" w:ascii="仿宋_GB2312" w:hAnsi="仿宋_GB2312" w:eastAsia="仿宋_GB2312" w:cs="仿宋_GB2312"/>
          <w:color w:val="000000"/>
          <w:kern w:val="0"/>
          <w:sz w:val="32"/>
          <w:szCs w:val="32"/>
          <w:lang w:bidi="ar"/>
        </w:rPr>
        <w:t>落实绩效“双监控”，预算执行过程中，以年度支出计划为基础，定期分析预算执行和绩效目标落实情况，并依托财政预算绩效管理平台分</w:t>
      </w:r>
      <w:r>
        <w:rPr>
          <w:rFonts w:hint="eastAsia" w:eastAsia="仿宋_GB2312" w:cs="仿宋_GB2312"/>
          <w:color w:val="000000"/>
          <w:kern w:val="0"/>
          <w:sz w:val="32"/>
          <w:szCs w:val="32"/>
          <w:lang w:bidi="ar"/>
        </w:rPr>
        <w:t>5</w:t>
      </w:r>
      <w:r>
        <w:rPr>
          <w:rFonts w:hint="eastAsia" w:ascii="仿宋_GB2312" w:hAnsi="仿宋_GB2312" w:eastAsia="仿宋_GB2312" w:cs="仿宋_GB2312"/>
          <w:color w:val="000000"/>
          <w:kern w:val="0"/>
          <w:sz w:val="32"/>
          <w:szCs w:val="32"/>
          <w:lang w:bidi="ar"/>
        </w:rPr>
        <w:t>月、</w:t>
      </w:r>
      <w:r>
        <w:rPr>
          <w:rFonts w:hint="eastAsia" w:eastAsia="仿宋_GB2312" w:cs="仿宋_GB2312"/>
          <w:color w:val="000000"/>
          <w:kern w:val="0"/>
          <w:sz w:val="32"/>
          <w:szCs w:val="32"/>
          <w:lang w:bidi="ar"/>
        </w:rPr>
        <w:t>8</w:t>
      </w:r>
      <w:r>
        <w:rPr>
          <w:rFonts w:hint="eastAsia" w:ascii="仿宋_GB2312" w:hAnsi="仿宋_GB2312" w:eastAsia="仿宋_GB2312" w:cs="仿宋_GB2312"/>
          <w:color w:val="000000"/>
          <w:kern w:val="0"/>
          <w:sz w:val="32"/>
          <w:szCs w:val="32"/>
          <w:lang w:bidi="ar"/>
        </w:rPr>
        <w:t>月对预算执行动态进行实时监控，发现问题及时纠偏，确保绩效目标落地落实。</w:t>
      </w:r>
      <w:r>
        <w:rPr>
          <w:rFonts w:eastAsia="仿宋_GB2312"/>
          <w:color w:val="000000"/>
          <w:kern w:val="0"/>
          <w:sz w:val="32"/>
          <w:szCs w:val="32"/>
          <w:lang w:bidi="ar"/>
        </w:rPr>
        <w:t>③</w:t>
      </w:r>
      <w:r>
        <w:rPr>
          <w:rFonts w:hint="eastAsia" w:ascii="仿宋_GB2312" w:hAnsi="仿宋_GB2312" w:eastAsia="仿宋_GB2312" w:cs="仿宋_GB2312"/>
          <w:color w:val="000000"/>
          <w:kern w:val="0"/>
          <w:sz w:val="32"/>
          <w:szCs w:val="32"/>
          <w:lang w:bidi="ar"/>
        </w:rPr>
        <w:t>扎实开展自评工作，年度终了，扎实开展预算绩效目标完成情况部门审核和自评工作。</w:t>
      </w:r>
    </w:p>
    <w:p>
      <w:pPr>
        <w:spacing w:line="560" w:lineRule="exact"/>
        <w:ind w:firstLine="643" w:firstLineChars="200"/>
        <w:jc w:val="left"/>
        <w:outlineLvl w:val="2"/>
        <w:rPr>
          <w:rFonts w:hint="eastAsia" w:ascii="仿宋_GB2312" w:hAnsi="仿宋_GB2312" w:eastAsia="仿宋_GB2312" w:cs="仿宋_GB2312"/>
          <w:b/>
          <w:sz w:val="32"/>
          <w:szCs w:val="32"/>
        </w:rPr>
      </w:pPr>
      <w:bookmarkStart w:id="10" w:name="_Toc2740"/>
      <w:r>
        <w:rPr>
          <w:rFonts w:eastAsia="仿宋_GB2312"/>
          <w:b/>
          <w:sz w:val="32"/>
          <w:szCs w:val="32"/>
        </w:rPr>
        <w:t>4</w:t>
      </w:r>
      <w:r>
        <w:rPr>
          <w:rFonts w:hint="eastAsia" w:ascii="仿宋_GB2312" w:hAnsi="仿宋_GB2312" w:eastAsia="仿宋_GB2312" w:cs="仿宋_GB2312"/>
          <w:b/>
          <w:sz w:val="32"/>
          <w:szCs w:val="32"/>
        </w:rPr>
        <w:t>.信息公开</w:t>
      </w:r>
      <w:bookmarkEnd w:id="10"/>
    </w:p>
    <w:p>
      <w:pPr>
        <w:widowControl/>
        <w:spacing w:line="56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我单位已按要求在特克斯县人民政府门户网站公开部门预算信息，同步公开绩效目标表；在特克斯县人民政府门户网站公开部门决算信息，同步公开自评表及自评报告。</w:t>
      </w:r>
    </w:p>
    <w:p>
      <w:pPr>
        <w:spacing w:line="560" w:lineRule="exact"/>
        <w:ind w:firstLine="643" w:firstLineChars="200"/>
        <w:jc w:val="left"/>
        <w:outlineLvl w:val="1"/>
        <w:rPr>
          <w:rFonts w:hint="eastAsia" w:ascii="楷体" w:hAnsi="楷体" w:eastAsia="楷体" w:cs="楷体"/>
          <w:b/>
          <w:sz w:val="32"/>
          <w:szCs w:val="32"/>
        </w:rPr>
      </w:pPr>
      <w:r>
        <w:rPr>
          <w:rFonts w:hint="eastAsia" w:ascii="楷体" w:hAnsi="楷体" w:eastAsia="楷体" w:cs="楷体"/>
          <w:b/>
          <w:sz w:val="32"/>
          <w:szCs w:val="32"/>
        </w:rPr>
        <w:t>（二）单位整体支出使用情况</w:t>
      </w:r>
      <w:bookmarkEnd w:id="7"/>
    </w:p>
    <w:p>
      <w:pPr>
        <w:spacing w:line="560" w:lineRule="exact"/>
        <w:ind w:firstLine="643" w:firstLineChars="200"/>
        <w:jc w:val="left"/>
        <w:outlineLvl w:val="2"/>
        <w:rPr>
          <w:rFonts w:hint="eastAsia" w:ascii="仿宋_GB2312" w:hAnsi="宋体" w:eastAsia="仿宋_GB2312"/>
          <w:b/>
          <w:sz w:val="32"/>
          <w:szCs w:val="32"/>
        </w:rPr>
      </w:pPr>
      <w:bookmarkStart w:id="11" w:name="_Toc32320"/>
      <w:r>
        <w:rPr>
          <w:rFonts w:hint="eastAsia" w:eastAsia="仿宋_GB2312"/>
          <w:b/>
          <w:sz w:val="32"/>
          <w:szCs w:val="32"/>
        </w:rPr>
        <w:t>1</w:t>
      </w:r>
      <w:r>
        <w:rPr>
          <w:rFonts w:hint="eastAsia" w:ascii="仿宋_GB2312" w:hAnsi="宋体" w:eastAsia="仿宋_GB2312"/>
          <w:b/>
          <w:sz w:val="32"/>
          <w:szCs w:val="32"/>
        </w:rPr>
        <w:t>.基本支出</w:t>
      </w:r>
      <w:bookmarkEnd w:id="11"/>
      <w:r>
        <w:rPr>
          <w:rFonts w:hint="eastAsia" w:ascii="仿宋_GB2312" w:hAnsi="宋体" w:eastAsia="仿宋_GB2312"/>
          <w:b/>
          <w:sz w:val="32"/>
          <w:szCs w:val="32"/>
        </w:rPr>
        <w:t>情况</w:t>
      </w:r>
    </w:p>
    <w:p>
      <w:pPr>
        <w:spacing w:line="560" w:lineRule="exact"/>
        <w:ind w:firstLine="640" w:firstLineChars="200"/>
        <w:jc w:val="left"/>
        <w:rPr>
          <w:rFonts w:hint="eastAsia" w:ascii="仿宋_GB2312" w:hAnsi="宋体" w:eastAsia="仿宋_GB2312"/>
          <w:b/>
          <w:color w:val="000000"/>
          <w:sz w:val="32"/>
          <w:szCs w:val="32"/>
        </w:rPr>
      </w:pPr>
      <w:r>
        <w:rPr>
          <w:rFonts w:hint="eastAsia" w:eastAsia="仿宋_GB2312"/>
          <w:bCs/>
          <w:color w:val="000000"/>
          <w:sz w:val="32"/>
          <w:szCs w:val="32"/>
        </w:rPr>
        <w:t>2024</w:t>
      </w:r>
      <w:r>
        <w:rPr>
          <w:rFonts w:hint="eastAsia" w:ascii="仿宋_GB2312" w:hAnsi="宋体" w:eastAsia="仿宋_GB2312"/>
          <w:bCs/>
          <w:color w:val="000000"/>
          <w:sz w:val="32"/>
          <w:szCs w:val="32"/>
        </w:rPr>
        <w:t>年基本支出</w:t>
      </w:r>
      <w:r>
        <w:rPr>
          <w:rStyle w:val="6"/>
          <w:rFonts w:hint="eastAsia" w:ascii="仿宋_GB2312" w:hAnsi="楷体" w:eastAsia="仿宋_GB2312"/>
          <w:b w:val="0"/>
          <w:color w:val="000000"/>
          <w:spacing w:val="-4"/>
          <w:sz w:val="32"/>
          <w:szCs w:val="32"/>
        </w:rPr>
        <w:t>支出</w:t>
      </w:r>
      <w:r>
        <w:rPr>
          <w:rFonts w:eastAsia="仿宋_GB2312"/>
          <w:sz w:val="32"/>
          <w:szCs w:val="32"/>
        </w:rPr>
        <w:t>203.6</w:t>
      </w:r>
      <w:r>
        <w:rPr>
          <w:rFonts w:eastAsia="仿宋_GB2312"/>
          <w:kern w:val="0"/>
          <w:sz w:val="32"/>
          <w:szCs w:val="32"/>
          <w:lang w:bidi="en-US"/>
        </w:rPr>
        <w:t>1</w:t>
      </w:r>
      <w:r>
        <w:rPr>
          <w:rStyle w:val="6"/>
          <w:rFonts w:hint="eastAsia" w:ascii="仿宋_GB2312" w:hAnsi="楷体" w:eastAsia="仿宋_GB2312"/>
          <w:b w:val="0"/>
          <w:color w:val="000000"/>
          <w:spacing w:val="-4"/>
          <w:sz w:val="32"/>
          <w:szCs w:val="32"/>
        </w:rPr>
        <w:t>万元，</w:t>
      </w:r>
      <w:r>
        <w:rPr>
          <w:rFonts w:hint="eastAsia" w:ascii="仿宋_GB2312" w:hAnsi="宋体" w:eastAsia="仿宋_GB2312"/>
          <w:bCs/>
          <w:color w:val="000000"/>
          <w:sz w:val="32"/>
          <w:szCs w:val="32"/>
        </w:rPr>
        <w:t>包括工资福利支出</w:t>
      </w:r>
      <w:r>
        <w:rPr>
          <w:rFonts w:eastAsia="仿宋_GB2312"/>
          <w:sz w:val="32"/>
          <w:szCs w:val="32"/>
        </w:rPr>
        <w:t>195.72</w:t>
      </w:r>
      <w:r>
        <w:rPr>
          <w:rFonts w:hint="eastAsia" w:ascii="仿宋_GB2312" w:hAnsi="宋体" w:eastAsia="仿宋_GB2312"/>
          <w:bCs/>
          <w:color w:val="000000"/>
          <w:sz w:val="32"/>
          <w:szCs w:val="32"/>
        </w:rPr>
        <w:t>万元，商品和服务支出</w:t>
      </w:r>
      <w:r>
        <w:rPr>
          <w:rFonts w:eastAsia="仿宋_GB2312"/>
          <w:sz w:val="32"/>
          <w:szCs w:val="32"/>
        </w:rPr>
        <w:t>7.89</w:t>
      </w:r>
      <w:r>
        <w:rPr>
          <w:rFonts w:hint="eastAsia" w:ascii="仿宋_GB2312" w:hAnsi="宋体" w:eastAsia="仿宋_GB2312"/>
          <w:bCs/>
          <w:color w:val="000000"/>
          <w:sz w:val="32"/>
          <w:szCs w:val="32"/>
        </w:rPr>
        <w:t>万元，对个人和家庭的补助</w:t>
      </w:r>
      <w:r>
        <w:rPr>
          <w:rFonts w:eastAsia="仿宋_GB2312"/>
          <w:bCs/>
          <w:color w:val="000000"/>
          <w:sz w:val="32"/>
          <w:szCs w:val="32"/>
        </w:rPr>
        <w:t>0</w:t>
      </w:r>
      <w:r>
        <w:rPr>
          <w:rFonts w:hint="eastAsia" w:ascii="仿宋_GB2312" w:hAnsi="宋体" w:eastAsia="仿宋_GB2312"/>
          <w:bCs/>
          <w:color w:val="000000"/>
          <w:sz w:val="32"/>
          <w:szCs w:val="32"/>
        </w:rPr>
        <w:t>万元，资本性支出</w:t>
      </w:r>
      <w:r>
        <w:rPr>
          <w:rFonts w:eastAsia="仿宋_GB2312"/>
          <w:bCs/>
          <w:color w:val="000000"/>
          <w:sz w:val="32"/>
          <w:szCs w:val="32"/>
        </w:rPr>
        <w:t>0</w:t>
      </w:r>
      <w:r>
        <w:rPr>
          <w:rFonts w:hint="eastAsia" w:ascii="仿宋_GB2312" w:hAnsi="宋体" w:eastAsia="仿宋_GB2312"/>
          <w:bCs/>
          <w:color w:val="000000"/>
          <w:sz w:val="32"/>
          <w:szCs w:val="32"/>
        </w:rPr>
        <w:t>万元。（</w:t>
      </w:r>
      <w:r>
        <w:rPr>
          <w:rFonts w:hint="eastAsia" w:ascii="仿宋_GB2312" w:hAnsi="宋体" w:eastAsia="仿宋_GB2312"/>
          <w:bCs/>
          <w:sz w:val="32"/>
          <w:szCs w:val="32"/>
        </w:rPr>
        <w:t>其中</w:t>
      </w:r>
      <w:r>
        <w:rPr>
          <w:rStyle w:val="6"/>
          <w:rFonts w:hint="eastAsia" w:ascii="仿宋_GB2312" w:hAnsi="楷体" w:eastAsia="仿宋_GB2312"/>
          <w:b w:val="0"/>
          <w:color w:val="000000"/>
          <w:spacing w:val="-4"/>
          <w:sz w:val="32"/>
          <w:szCs w:val="32"/>
        </w:rPr>
        <w:t>：</w:t>
      </w:r>
      <w:r>
        <w:rPr>
          <w:rFonts w:hint="eastAsia" w:ascii="仿宋_GB2312" w:hAnsi="楷体" w:eastAsia="仿宋_GB2312"/>
          <w:bCs/>
          <w:color w:val="000000"/>
          <w:spacing w:val="-4"/>
          <w:sz w:val="32"/>
          <w:szCs w:val="32"/>
        </w:rPr>
        <w:t>“三公”经费支出</w:t>
      </w:r>
      <w:r>
        <w:rPr>
          <w:rFonts w:eastAsia="仿宋_GB2312"/>
          <w:bCs/>
          <w:color w:val="000000"/>
          <w:spacing w:val="-4"/>
          <w:sz w:val="32"/>
          <w:szCs w:val="32"/>
        </w:rPr>
        <w:t>0</w:t>
      </w:r>
      <w:r>
        <w:rPr>
          <w:rFonts w:hint="eastAsia" w:ascii="仿宋_GB2312" w:hAnsi="楷体" w:eastAsia="仿宋_GB2312"/>
          <w:bCs/>
          <w:color w:val="000000"/>
          <w:spacing w:val="-4"/>
          <w:sz w:val="32"/>
          <w:szCs w:val="32"/>
        </w:rPr>
        <w:t>万元，比上年减少</w:t>
      </w:r>
      <w:r>
        <w:rPr>
          <w:rFonts w:eastAsia="仿宋_GB2312"/>
          <w:bCs/>
          <w:color w:val="000000"/>
          <w:spacing w:val="-4"/>
          <w:sz w:val="32"/>
          <w:szCs w:val="32"/>
        </w:rPr>
        <w:t>0</w:t>
      </w:r>
      <w:r>
        <w:rPr>
          <w:rFonts w:hint="eastAsia" w:ascii="仿宋_GB2312" w:hAnsi="楷体" w:eastAsia="仿宋_GB2312"/>
          <w:bCs/>
          <w:color w:val="000000"/>
          <w:spacing w:val="-4"/>
          <w:sz w:val="32"/>
          <w:szCs w:val="32"/>
        </w:rPr>
        <w:t>万元，主要原因是严格执行中央八项规定，厉行节俭；会议费支出</w:t>
      </w:r>
      <w:r>
        <w:rPr>
          <w:rFonts w:eastAsia="仿宋_GB2312"/>
          <w:bCs/>
          <w:color w:val="000000"/>
          <w:spacing w:val="-4"/>
          <w:sz w:val="32"/>
          <w:szCs w:val="32"/>
        </w:rPr>
        <w:t>0</w:t>
      </w:r>
      <w:r>
        <w:rPr>
          <w:rFonts w:hint="eastAsia" w:ascii="仿宋_GB2312" w:hAnsi="楷体" w:eastAsia="仿宋_GB2312"/>
          <w:bCs/>
          <w:color w:val="000000"/>
          <w:spacing w:val="-4"/>
          <w:sz w:val="32"/>
          <w:szCs w:val="32"/>
        </w:rPr>
        <w:t>万元，比上年增加</w:t>
      </w:r>
      <w:r>
        <w:rPr>
          <w:rFonts w:eastAsia="仿宋_GB2312"/>
          <w:bCs/>
          <w:color w:val="000000"/>
          <w:spacing w:val="-4"/>
          <w:sz w:val="32"/>
          <w:szCs w:val="32"/>
        </w:rPr>
        <w:t>0</w:t>
      </w:r>
      <w:r>
        <w:rPr>
          <w:rFonts w:hint="eastAsia" w:ascii="仿宋_GB2312" w:hAnsi="楷体" w:eastAsia="仿宋_GB2312"/>
          <w:bCs/>
          <w:color w:val="000000"/>
          <w:spacing w:val="-4"/>
          <w:sz w:val="32"/>
          <w:szCs w:val="32"/>
        </w:rPr>
        <w:t>万元，主要原因是本单位无会议费支出；培训费支出</w:t>
      </w:r>
      <w:r>
        <w:rPr>
          <w:rFonts w:eastAsia="仿宋_GB2312"/>
          <w:bCs/>
          <w:color w:val="000000"/>
          <w:spacing w:val="-4"/>
          <w:sz w:val="32"/>
          <w:szCs w:val="32"/>
        </w:rPr>
        <w:t>0</w:t>
      </w:r>
      <w:r>
        <w:rPr>
          <w:rFonts w:hint="eastAsia" w:ascii="仿宋_GB2312" w:hAnsi="楷体" w:eastAsia="仿宋_GB2312"/>
          <w:bCs/>
          <w:color w:val="000000"/>
          <w:spacing w:val="-4"/>
          <w:sz w:val="32"/>
          <w:szCs w:val="32"/>
        </w:rPr>
        <w:t>万元，比上年增加</w:t>
      </w:r>
      <w:r>
        <w:rPr>
          <w:rFonts w:eastAsia="仿宋_GB2312"/>
          <w:bCs/>
          <w:color w:val="000000"/>
          <w:spacing w:val="-4"/>
          <w:sz w:val="32"/>
          <w:szCs w:val="32"/>
        </w:rPr>
        <w:t>0</w:t>
      </w:r>
      <w:r>
        <w:rPr>
          <w:rFonts w:hint="eastAsia" w:ascii="仿宋_GB2312" w:hAnsi="楷体" w:eastAsia="仿宋_GB2312"/>
          <w:bCs/>
          <w:color w:val="000000"/>
          <w:spacing w:val="-4"/>
          <w:sz w:val="32"/>
          <w:szCs w:val="32"/>
        </w:rPr>
        <w:t>万元，主要原因是本单位无培训费支出。</w:t>
      </w:r>
    </w:p>
    <w:p>
      <w:pPr>
        <w:spacing w:line="560" w:lineRule="exact"/>
        <w:ind w:firstLine="643" w:firstLineChars="200"/>
        <w:jc w:val="left"/>
        <w:outlineLvl w:val="2"/>
        <w:rPr>
          <w:rFonts w:hint="eastAsia" w:ascii="仿宋_GB2312" w:hAnsi="宋体" w:eastAsia="仿宋_GB2312"/>
          <w:b/>
          <w:sz w:val="32"/>
          <w:szCs w:val="32"/>
        </w:rPr>
      </w:pPr>
      <w:bookmarkStart w:id="12" w:name="_Toc8425"/>
      <w:r>
        <w:rPr>
          <w:rFonts w:hint="eastAsia" w:eastAsia="仿宋_GB2312"/>
          <w:b/>
          <w:sz w:val="32"/>
          <w:szCs w:val="32"/>
        </w:rPr>
        <w:t>2</w:t>
      </w:r>
      <w:r>
        <w:rPr>
          <w:rFonts w:hint="eastAsia" w:ascii="仿宋_GB2312" w:hAnsi="宋体" w:eastAsia="仿宋_GB2312"/>
          <w:b/>
          <w:sz w:val="32"/>
          <w:szCs w:val="32"/>
        </w:rPr>
        <w:t>.专项资金支出情况</w:t>
      </w:r>
      <w:bookmarkEnd w:id="12"/>
    </w:p>
    <w:p>
      <w:pPr>
        <w:pStyle w:val="7"/>
        <w:spacing w:line="560" w:lineRule="exact"/>
        <w:ind w:firstLine="624"/>
        <w:rPr>
          <w:rFonts w:hint="eastAsia" w:hAnsi="楷体"/>
          <w:b/>
          <w:color w:val="000000"/>
          <w:spacing w:val="-4"/>
          <w:sz w:val="32"/>
          <w:szCs w:val="32"/>
        </w:rPr>
      </w:pPr>
      <w:r>
        <w:rPr>
          <w:rStyle w:val="6"/>
          <w:rFonts w:hint="eastAsia" w:ascii="Times New Roman" w:hAnsi="Times New Roman"/>
          <w:b w:val="0"/>
          <w:color w:val="000000"/>
          <w:spacing w:val="-4"/>
          <w:sz w:val="32"/>
          <w:szCs w:val="32"/>
        </w:rPr>
        <w:t>2024</w:t>
      </w:r>
      <w:r>
        <w:rPr>
          <w:rStyle w:val="6"/>
          <w:rFonts w:hint="eastAsia" w:hAnsi="楷体"/>
          <w:b w:val="0"/>
          <w:color w:val="000000"/>
          <w:spacing w:val="-4"/>
          <w:sz w:val="32"/>
          <w:szCs w:val="32"/>
        </w:rPr>
        <w:t>年专项项目支出</w:t>
      </w:r>
      <w:r>
        <w:rPr>
          <w:rFonts w:ascii="Times New Roman" w:hAnsi="Times New Roman"/>
          <w:sz w:val="32"/>
          <w:szCs w:val="32"/>
        </w:rPr>
        <w:t>110.06</w:t>
      </w:r>
      <w:r>
        <w:rPr>
          <w:rStyle w:val="6"/>
          <w:rFonts w:hint="eastAsia" w:hAnsi="楷体"/>
          <w:b w:val="0"/>
          <w:color w:val="000000"/>
          <w:spacing w:val="-4"/>
          <w:sz w:val="32"/>
          <w:szCs w:val="32"/>
        </w:rPr>
        <w:t>万元，占总支出的</w:t>
      </w:r>
      <w:r>
        <w:rPr>
          <w:rFonts w:ascii="Times New Roman" w:hAnsi="Times New Roman"/>
          <w:sz w:val="32"/>
          <w:szCs w:val="32"/>
        </w:rPr>
        <w:t>35.09</w:t>
      </w:r>
      <w:r>
        <w:rPr>
          <w:rStyle w:val="6"/>
          <w:rFonts w:hint="eastAsia" w:hAnsi="楷体"/>
          <w:b w:val="0"/>
          <w:color w:val="000000"/>
          <w:spacing w:val="-4"/>
          <w:sz w:val="32"/>
          <w:szCs w:val="32"/>
        </w:rPr>
        <w:t>％，主要用于</w:t>
      </w:r>
      <w:r>
        <w:rPr>
          <w:rStyle w:val="6"/>
          <w:rFonts w:ascii="Times New Roman" w:hAnsi="Times New Roman"/>
          <w:b w:val="0"/>
          <w:color w:val="000000"/>
          <w:spacing w:val="-4"/>
          <w:sz w:val="32"/>
          <w:szCs w:val="32"/>
        </w:rPr>
        <w:t>1.</w:t>
      </w:r>
      <w:r>
        <w:rPr>
          <w:rStyle w:val="6"/>
          <w:rFonts w:hint="eastAsia" w:ascii="Times New Roman" w:hAnsi="Times New Roman"/>
          <w:b w:val="0"/>
          <w:color w:val="000000"/>
          <w:spacing w:val="-4"/>
          <w:sz w:val="32"/>
          <w:szCs w:val="32"/>
        </w:rPr>
        <w:t>伊犁州特克斯县</w:t>
      </w:r>
      <w:r>
        <w:rPr>
          <w:rFonts w:hint="eastAsia" w:hAnsi="仿宋"/>
          <w:kern w:val="0"/>
          <w:sz w:val="32"/>
          <w:szCs w:val="32"/>
        </w:rPr>
        <w:t>农业园区果品深加工厂建设项目（质保金）；2.伊犁州特克斯县农业园区黑小麦及旱田有机小麦加工建设项目（质保金）。</w:t>
      </w:r>
    </w:p>
    <w:p>
      <w:pPr>
        <w:spacing w:line="560" w:lineRule="exact"/>
        <w:ind w:firstLine="643" w:firstLineChars="200"/>
        <w:jc w:val="left"/>
        <w:outlineLvl w:val="2"/>
        <w:rPr>
          <w:rFonts w:hint="eastAsia" w:ascii="仿宋_GB2312" w:hAnsi="宋体" w:eastAsia="仿宋_GB2312"/>
          <w:b/>
          <w:sz w:val="32"/>
          <w:szCs w:val="32"/>
        </w:rPr>
      </w:pPr>
      <w:bookmarkStart w:id="13" w:name="_Toc31045"/>
      <w:r>
        <w:rPr>
          <w:rFonts w:hint="eastAsia" w:eastAsia="仿宋_GB2312"/>
          <w:b/>
          <w:sz w:val="32"/>
          <w:szCs w:val="32"/>
        </w:rPr>
        <w:t>3</w:t>
      </w:r>
      <w:r>
        <w:rPr>
          <w:rFonts w:hint="eastAsia" w:ascii="仿宋_GB2312" w:hAnsi="宋体" w:eastAsia="仿宋_GB2312"/>
          <w:b/>
          <w:sz w:val="32"/>
          <w:szCs w:val="32"/>
        </w:rPr>
        <w:t>.单位专项组织实施情况</w:t>
      </w:r>
      <w:bookmarkEnd w:id="13"/>
    </w:p>
    <w:p>
      <w:pPr>
        <w:spacing w:line="560" w:lineRule="exact"/>
        <w:ind w:firstLine="624" w:firstLineChars="200"/>
        <w:rPr>
          <w:rStyle w:val="6"/>
          <w:rFonts w:hint="eastAsia" w:ascii="仿宋_GB2312" w:hAnsi="楷体" w:eastAsia="仿宋_GB2312"/>
          <w:b w:val="0"/>
          <w:color w:val="000000"/>
          <w:spacing w:val="-4"/>
          <w:sz w:val="32"/>
          <w:szCs w:val="32"/>
        </w:rPr>
      </w:pPr>
      <w:r>
        <w:rPr>
          <w:rStyle w:val="6"/>
          <w:rFonts w:hint="eastAsia" w:ascii="仿宋_GB2312" w:hAnsi="楷体" w:eastAsia="仿宋_GB2312"/>
          <w:b w:val="0"/>
          <w:spacing w:val="-4"/>
          <w:sz w:val="32"/>
          <w:szCs w:val="32"/>
        </w:rPr>
        <w:t>年初我单位下发的项目专项工作计划，对项目的工作分工、任务分配、资金落实、完成时限等提出了明确、具体的要求，以确保项目保质、保量、按时完成。</w:t>
      </w:r>
      <w:r>
        <w:rPr>
          <w:rStyle w:val="6"/>
          <w:rFonts w:hint="eastAsia" w:ascii="仿宋_GB2312" w:hAnsi="楷体" w:eastAsia="仿宋_GB2312"/>
          <w:b w:val="0"/>
          <w:color w:val="000000"/>
          <w:spacing w:val="-4"/>
          <w:sz w:val="32"/>
          <w:szCs w:val="32"/>
        </w:rPr>
        <w:t>截至</w:t>
      </w:r>
      <w:r>
        <w:rPr>
          <w:rStyle w:val="6"/>
          <w:rFonts w:hint="eastAsia" w:eastAsia="仿宋_GB2312"/>
          <w:b w:val="0"/>
          <w:color w:val="000000"/>
          <w:spacing w:val="-4"/>
          <w:sz w:val="32"/>
          <w:szCs w:val="32"/>
        </w:rPr>
        <w:t>12</w:t>
      </w:r>
      <w:r>
        <w:rPr>
          <w:rStyle w:val="6"/>
          <w:rFonts w:hint="eastAsia" w:ascii="仿宋_GB2312" w:hAnsi="楷体" w:eastAsia="仿宋_GB2312"/>
          <w:b w:val="0"/>
          <w:color w:val="000000"/>
          <w:spacing w:val="-4"/>
          <w:sz w:val="32"/>
          <w:szCs w:val="32"/>
        </w:rPr>
        <w:t>月</w:t>
      </w:r>
      <w:r>
        <w:rPr>
          <w:rStyle w:val="6"/>
          <w:rFonts w:hint="eastAsia" w:eastAsia="仿宋_GB2312"/>
          <w:b w:val="0"/>
          <w:color w:val="000000"/>
          <w:spacing w:val="-4"/>
          <w:sz w:val="32"/>
          <w:szCs w:val="32"/>
        </w:rPr>
        <w:t>31</w:t>
      </w:r>
      <w:r>
        <w:rPr>
          <w:rStyle w:val="6"/>
          <w:rFonts w:hint="eastAsia" w:ascii="仿宋_GB2312" w:hAnsi="楷体" w:eastAsia="仿宋_GB2312"/>
          <w:b w:val="0"/>
          <w:color w:val="000000"/>
          <w:spacing w:val="-4"/>
          <w:sz w:val="32"/>
          <w:szCs w:val="32"/>
        </w:rPr>
        <w:t>日，完成专项</w:t>
      </w:r>
      <w:r>
        <w:rPr>
          <w:rStyle w:val="6"/>
          <w:rFonts w:eastAsia="仿宋_GB2312"/>
          <w:b w:val="0"/>
          <w:color w:val="000000"/>
          <w:spacing w:val="-4"/>
          <w:sz w:val="32"/>
          <w:szCs w:val="32"/>
        </w:rPr>
        <w:t>1</w:t>
      </w:r>
      <w:r>
        <w:rPr>
          <w:rStyle w:val="6"/>
          <w:rFonts w:hint="eastAsia" w:ascii="仿宋_GB2312" w:hAnsi="楷体" w:eastAsia="仿宋_GB2312"/>
          <w:b w:val="0"/>
          <w:color w:val="000000"/>
          <w:spacing w:val="-4"/>
          <w:sz w:val="32"/>
          <w:szCs w:val="32"/>
        </w:rPr>
        <w:t>个，未完成专项</w:t>
      </w:r>
      <w:r>
        <w:rPr>
          <w:rStyle w:val="6"/>
          <w:rFonts w:eastAsia="仿宋_GB2312"/>
          <w:b w:val="0"/>
          <w:color w:val="000000"/>
          <w:spacing w:val="-4"/>
          <w:sz w:val="32"/>
          <w:szCs w:val="32"/>
        </w:rPr>
        <w:t>0</w:t>
      </w:r>
      <w:r>
        <w:rPr>
          <w:rStyle w:val="6"/>
          <w:rFonts w:hint="eastAsia" w:ascii="仿宋_GB2312" w:hAnsi="楷体" w:eastAsia="仿宋_GB2312"/>
          <w:b w:val="0"/>
          <w:color w:val="000000"/>
          <w:spacing w:val="-4"/>
          <w:sz w:val="32"/>
          <w:szCs w:val="32"/>
        </w:rPr>
        <w:t>个。</w:t>
      </w:r>
    </w:p>
    <w:p>
      <w:pPr>
        <w:spacing w:line="560" w:lineRule="exact"/>
        <w:ind w:firstLine="624" w:firstLineChars="200"/>
        <w:rPr>
          <w:rStyle w:val="6"/>
          <w:rFonts w:hint="eastAsia" w:ascii="仿宋_GB2312" w:hAnsi="楷体" w:eastAsia="仿宋_GB2312"/>
          <w:b w:val="0"/>
          <w:spacing w:val="-4"/>
          <w:sz w:val="32"/>
          <w:szCs w:val="32"/>
        </w:rPr>
      </w:pPr>
      <w:r>
        <w:rPr>
          <w:rStyle w:val="6"/>
          <w:rFonts w:hint="eastAsia" w:ascii="仿宋_GB2312" w:hAnsi="楷体" w:eastAsia="仿宋_GB2312"/>
          <w:b w:val="0"/>
          <w:spacing w:val="-4"/>
          <w:sz w:val="32"/>
          <w:szCs w:val="32"/>
        </w:rPr>
        <w:t>为规范专项资金使用，提高专项资金使用效益，我单位主要采取四项措施。一是制订专项资金管理制度；二是各专项资金建立了专账；三是制定了项目实施方案；四是认真组织项目验收。切实保证专项资金都做到了专款专用。</w:t>
      </w:r>
    </w:p>
    <w:p>
      <w:pPr>
        <w:spacing w:line="560" w:lineRule="exact"/>
        <w:ind w:firstLine="624" w:firstLineChars="200"/>
        <w:rPr>
          <w:rStyle w:val="6"/>
          <w:rFonts w:hint="eastAsia" w:ascii="仿宋_GB2312" w:hAnsi="楷体" w:eastAsia="仿宋_GB2312"/>
          <w:b w:val="0"/>
          <w:spacing w:val="-4"/>
          <w:sz w:val="32"/>
          <w:szCs w:val="32"/>
        </w:rPr>
      </w:pPr>
      <w:r>
        <w:rPr>
          <w:rStyle w:val="6"/>
          <w:rFonts w:hint="eastAsia" w:ascii="仿宋_GB2312" w:hAnsi="楷体" w:eastAsia="仿宋_GB2312"/>
          <w:b w:val="0"/>
          <w:spacing w:val="-4"/>
          <w:sz w:val="32"/>
          <w:szCs w:val="32"/>
        </w:rPr>
        <w:t>（</w:t>
      </w:r>
      <w:r>
        <w:rPr>
          <w:rStyle w:val="6"/>
          <w:rFonts w:eastAsia="仿宋_GB2312"/>
          <w:b w:val="0"/>
          <w:spacing w:val="-4"/>
          <w:sz w:val="32"/>
          <w:szCs w:val="32"/>
        </w:rPr>
        <w:t>1</w:t>
      </w:r>
      <w:r>
        <w:rPr>
          <w:rStyle w:val="6"/>
          <w:rFonts w:hint="eastAsia" w:ascii="仿宋_GB2312" w:hAnsi="楷体" w:eastAsia="仿宋_GB2312"/>
          <w:b w:val="0"/>
          <w:spacing w:val="-4"/>
          <w:sz w:val="32"/>
          <w:szCs w:val="32"/>
        </w:rPr>
        <w:t>）制定了《特克斯县现代农业生态示范园区管委会专项资金管理办法》各项资金使用审批流程均按规定办理。涉及“三重一大”内容，严格按照规定提请局党组会审议决定，包括项目资金分配、重大项目确定、大额资金支付等。</w:t>
      </w:r>
    </w:p>
    <w:p>
      <w:pPr>
        <w:spacing w:line="560" w:lineRule="exact"/>
        <w:ind w:firstLine="624" w:firstLineChars="200"/>
        <w:rPr>
          <w:rStyle w:val="6"/>
          <w:rFonts w:hint="eastAsia" w:ascii="仿宋_GB2312" w:hAnsi="楷体" w:eastAsia="仿宋_GB2312"/>
          <w:b w:val="0"/>
          <w:spacing w:val="-4"/>
          <w:sz w:val="32"/>
          <w:szCs w:val="32"/>
        </w:rPr>
      </w:pPr>
      <w:r>
        <w:rPr>
          <w:rStyle w:val="6"/>
          <w:rFonts w:hint="eastAsia" w:ascii="仿宋_GB2312" w:hAnsi="楷体" w:eastAsia="仿宋_GB2312"/>
          <w:b w:val="0"/>
          <w:spacing w:val="-4"/>
          <w:sz w:val="32"/>
          <w:szCs w:val="32"/>
        </w:rPr>
        <w:t>（</w:t>
      </w:r>
      <w:r>
        <w:rPr>
          <w:rStyle w:val="6"/>
          <w:rFonts w:eastAsia="仿宋_GB2312"/>
          <w:b w:val="0"/>
          <w:spacing w:val="-4"/>
          <w:sz w:val="32"/>
          <w:szCs w:val="32"/>
        </w:rPr>
        <w:t>2</w:t>
      </w:r>
      <w:r>
        <w:rPr>
          <w:rStyle w:val="6"/>
          <w:rFonts w:hint="eastAsia" w:ascii="仿宋_GB2312" w:hAnsi="楷体" w:eastAsia="仿宋_GB2312"/>
          <w:b w:val="0"/>
          <w:spacing w:val="-4"/>
          <w:sz w:val="32"/>
          <w:szCs w:val="32"/>
        </w:rPr>
        <w:t>）建立特克斯县现代农业生态示范园区管委会专项资金专账，做到有据可依，有据可查。</w:t>
      </w:r>
    </w:p>
    <w:p>
      <w:pPr>
        <w:spacing w:line="560" w:lineRule="exact"/>
        <w:ind w:firstLine="624" w:firstLineChars="200"/>
      </w:pPr>
      <w:r>
        <w:rPr>
          <w:rStyle w:val="6"/>
          <w:rFonts w:hint="eastAsia" w:ascii="仿宋_GB2312" w:hAnsi="楷体" w:eastAsia="仿宋_GB2312"/>
          <w:b w:val="0"/>
          <w:spacing w:val="-4"/>
          <w:sz w:val="32"/>
          <w:szCs w:val="32"/>
        </w:rPr>
        <w:t>（</w:t>
      </w:r>
      <w:r>
        <w:rPr>
          <w:rStyle w:val="6"/>
          <w:rFonts w:eastAsia="仿宋_GB2312"/>
          <w:b w:val="0"/>
          <w:spacing w:val="-4"/>
          <w:sz w:val="32"/>
          <w:szCs w:val="32"/>
        </w:rPr>
        <w:t>3</w:t>
      </w:r>
      <w:r>
        <w:rPr>
          <w:rStyle w:val="6"/>
          <w:rFonts w:hint="eastAsia" w:ascii="仿宋_GB2312" w:hAnsi="楷体" w:eastAsia="仿宋_GB2312"/>
          <w:b w:val="0"/>
          <w:spacing w:val="-4"/>
          <w:sz w:val="32"/>
          <w:szCs w:val="32"/>
        </w:rPr>
        <w:t>）认真组织重大基础设施建设项目验收，确保工程质量符合设计规范，能承受长期使用考验，安全稳固地服务社会。</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14" w:name="_Toc6552"/>
      <w:r>
        <w:rPr>
          <w:rFonts w:hint="eastAsia" w:ascii="黑体" w:hAnsi="黑体" w:eastAsia="黑体" w:cs="宋体"/>
          <w:bCs/>
          <w:color w:val="333333"/>
          <w:sz w:val="32"/>
          <w:szCs w:val="32"/>
          <w:lang w:bidi="ar"/>
        </w:rPr>
        <w:t>三</w:t>
      </w:r>
      <w:r>
        <w:rPr>
          <w:rFonts w:ascii="黑体" w:hAnsi="黑体" w:eastAsia="黑体" w:cs="宋体"/>
          <w:bCs/>
          <w:color w:val="333333"/>
          <w:sz w:val="32"/>
          <w:szCs w:val="32"/>
          <w:lang w:bidi="ar"/>
        </w:rPr>
        <w:t>、</w:t>
      </w:r>
      <w:r>
        <w:rPr>
          <w:rFonts w:hint="eastAsia" w:ascii="黑体" w:hAnsi="黑体" w:eastAsia="黑体" w:cs="宋体"/>
          <w:bCs/>
          <w:color w:val="333333"/>
          <w:sz w:val="32"/>
          <w:szCs w:val="32"/>
          <w:lang w:bidi="ar"/>
        </w:rPr>
        <w:t>单位整体支出绩效情况</w:t>
      </w:r>
      <w:bookmarkEnd w:id="14"/>
    </w:p>
    <w:p>
      <w:pPr>
        <w:spacing w:line="560" w:lineRule="exact"/>
        <w:ind w:firstLine="643" w:firstLineChars="200"/>
        <w:jc w:val="left"/>
        <w:outlineLvl w:val="1"/>
        <w:rPr>
          <w:rFonts w:hint="eastAsia" w:ascii="楷体" w:hAnsi="楷体" w:eastAsia="楷体" w:cs="楷体"/>
          <w:b/>
          <w:sz w:val="32"/>
          <w:szCs w:val="32"/>
        </w:rPr>
      </w:pPr>
      <w:bookmarkStart w:id="15" w:name="_Toc15638"/>
      <w:r>
        <w:rPr>
          <w:rFonts w:hint="eastAsia" w:ascii="楷体" w:hAnsi="楷体" w:eastAsia="楷体" w:cs="楷体"/>
          <w:b/>
          <w:sz w:val="32"/>
          <w:szCs w:val="32"/>
        </w:rPr>
        <w:t>（一）预算执行情况</w:t>
      </w:r>
      <w:bookmarkEnd w:id="15"/>
    </w:p>
    <w:p>
      <w:pPr>
        <w:pStyle w:val="7"/>
        <w:spacing w:line="560" w:lineRule="exact"/>
        <w:ind w:firstLine="624"/>
        <w:rPr>
          <w:rFonts w:hint="eastAsia" w:hAnsi="楷体"/>
          <w:bCs/>
          <w:color w:val="000000"/>
          <w:spacing w:val="-4"/>
          <w:sz w:val="32"/>
          <w:szCs w:val="32"/>
        </w:rPr>
      </w:pPr>
      <w:r>
        <w:rPr>
          <w:rFonts w:ascii="Times New Roman" w:hAnsi="Times New Roman"/>
          <w:bCs/>
          <w:color w:val="000000"/>
          <w:spacing w:val="-4"/>
          <w:sz w:val="32"/>
          <w:szCs w:val="32"/>
        </w:rPr>
        <w:t>2024</w:t>
      </w:r>
      <w:r>
        <w:rPr>
          <w:rFonts w:hint="eastAsia" w:hAnsi="楷体"/>
          <w:bCs/>
          <w:color w:val="000000"/>
          <w:spacing w:val="-4"/>
          <w:sz w:val="32"/>
          <w:szCs w:val="32"/>
        </w:rPr>
        <w:t>年</w:t>
      </w:r>
      <w:r>
        <w:rPr>
          <w:rStyle w:val="6"/>
          <w:rFonts w:hint="eastAsia" w:hAnsi="楷体"/>
          <w:b w:val="0"/>
          <w:spacing w:val="-4"/>
          <w:sz w:val="32"/>
          <w:szCs w:val="32"/>
        </w:rPr>
        <w:t>特克斯县现代农业生态示范园区管委会</w:t>
      </w:r>
      <w:r>
        <w:rPr>
          <w:rFonts w:hint="eastAsia" w:hAnsi="楷体"/>
          <w:bCs/>
          <w:color w:val="000000"/>
          <w:spacing w:val="-4"/>
          <w:sz w:val="32"/>
          <w:szCs w:val="32"/>
        </w:rPr>
        <w:t>总支出</w:t>
      </w:r>
      <w:r>
        <w:rPr>
          <w:rFonts w:ascii="Times New Roman" w:hAnsi="Times New Roman"/>
          <w:kern w:val="0"/>
          <w:sz w:val="32"/>
          <w:szCs w:val="32"/>
        </w:rPr>
        <w:t>313.67</w:t>
      </w:r>
      <w:r>
        <w:rPr>
          <w:rFonts w:hint="eastAsia" w:hAnsi="楷体"/>
          <w:bCs/>
          <w:color w:val="000000"/>
          <w:spacing w:val="-4"/>
          <w:sz w:val="32"/>
          <w:szCs w:val="32"/>
        </w:rPr>
        <w:t>万元，预算执行率</w:t>
      </w:r>
      <w:r>
        <w:rPr>
          <w:rFonts w:hint="eastAsia" w:ascii="Times New Roman" w:hAnsi="Times New Roman"/>
          <w:kern w:val="0"/>
          <w:sz w:val="32"/>
          <w:szCs w:val="32"/>
          <w:lang w:val="en-US" w:eastAsia="zh-CN"/>
        </w:rPr>
        <w:t>100</w:t>
      </w:r>
      <w:r>
        <w:rPr>
          <w:rFonts w:hint="eastAsia" w:hAnsi="仿宋"/>
          <w:kern w:val="0"/>
          <w:sz w:val="32"/>
          <w:szCs w:val="32"/>
        </w:rPr>
        <w:t>%</w:t>
      </w:r>
      <w:r>
        <w:rPr>
          <w:rFonts w:hint="eastAsia" w:hAnsi="楷体"/>
          <w:bCs/>
          <w:color w:val="000000"/>
          <w:spacing w:val="-4"/>
          <w:sz w:val="32"/>
          <w:szCs w:val="32"/>
        </w:rPr>
        <w:t>，其中</w:t>
      </w:r>
      <w:r>
        <w:rPr>
          <w:rFonts w:ascii="Times New Roman" w:hAnsi="Times New Roman"/>
          <w:bCs/>
          <w:color w:val="000000"/>
          <w:spacing w:val="-4"/>
          <w:sz w:val="32"/>
          <w:szCs w:val="32"/>
        </w:rPr>
        <w:t>2080505</w:t>
      </w:r>
      <w:r>
        <w:rPr>
          <w:rFonts w:hint="eastAsia" w:hAnsi="楷体"/>
          <w:bCs/>
          <w:color w:val="000000"/>
          <w:spacing w:val="-4"/>
          <w:sz w:val="32"/>
          <w:szCs w:val="32"/>
        </w:rPr>
        <w:tab/>
      </w:r>
      <w:r>
        <w:rPr>
          <w:rFonts w:hint="eastAsia" w:hAnsi="楷体"/>
          <w:bCs/>
          <w:color w:val="000000"/>
          <w:spacing w:val="-4"/>
          <w:sz w:val="32"/>
          <w:szCs w:val="32"/>
        </w:rPr>
        <w:t>机关事业单位基本养老保险缴费支出</w:t>
      </w:r>
      <w:r>
        <w:rPr>
          <w:rFonts w:ascii="Times New Roman" w:hAnsi="Times New Roman"/>
          <w:sz w:val="32"/>
          <w:szCs w:val="32"/>
        </w:rPr>
        <w:t>20.70</w:t>
      </w:r>
      <w:r>
        <w:rPr>
          <w:rFonts w:hint="eastAsia" w:hAnsi="仿宋"/>
          <w:sz w:val="32"/>
          <w:szCs w:val="32"/>
        </w:rPr>
        <w:t>万元、</w:t>
      </w:r>
      <w:r>
        <w:rPr>
          <w:rFonts w:ascii="Times New Roman" w:hAnsi="Times New Roman"/>
          <w:sz w:val="32"/>
          <w:szCs w:val="32"/>
        </w:rPr>
        <w:t>2101102</w:t>
      </w:r>
      <w:r>
        <w:rPr>
          <w:rFonts w:hint="eastAsia" w:hAnsi="仿宋"/>
          <w:sz w:val="32"/>
          <w:szCs w:val="32"/>
        </w:rPr>
        <w:t>卫生健康支出城镇职工基本医疗保险缴费</w:t>
      </w:r>
      <w:r>
        <w:rPr>
          <w:rFonts w:ascii="Times New Roman" w:hAnsi="Times New Roman"/>
          <w:sz w:val="32"/>
          <w:szCs w:val="32"/>
        </w:rPr>
        <w:t>10.34</w:t>
      </w:r>
      <w:r>
        <w:rPr>
          <w:rFonts w:hint="eastAsia" w:hAnsi="仿宋"/>
          <w:sz w:val="32"/>
          <w:szCs w:val="32"/>
        </w:rPr>
        <w:t>万元、</w:t>
      </w:r>
      <w:r>
        <w:rPr>
          <w:rFonts w:ascii="Times New Roman" w:hAnsi="Times New Roman"/>
          <w:sz w:val="32"/>
          <w:szCs w:val="32"/>
        </w:rPr>
        <w:t>2210201</w:t>
      </w:r>
      <w:r>
        <w:rPr>
          <w:rFonts w:hint="eastAsia" w:hAnsi="仿宋"/>
          <w:sz w:val="32"/>
          <w:szCs w:val="32"/>
        </w:rPr>
        <w:t>住房保障支出</w:t>
      </w:r>
      <w:r>
        <w:rPr>
          <w:rFonts w:ascii="Times New Roman" w:hAnsi="Times New Roman"/>
          <w:sz w:val="32"/>
          <w:szCs w:val="32"/>
        </w:rPr>
        <w:t>16.04</w:t>
      </w:r>
      <w:r>
        <w:rPr>
          <w:rFonts w:hint="eastAsia" w:hAnsi="仿宋"/>
          <w:sz w:val="32"/>
          <w:szCs w:val="32"/>
        </w:rPr>
        <w:t>万元、</w:t>
      </w:r>
      <w:r>
        <w:rPr>
          <w:rFonts w:ascii="Times New Roman" w:hAnsi="Times New Roman"/>
          <w:sz w:val="32"/>
          <w:szCs w:val="32"/>
        </w:rPr>
        <w:t>2130104</w:t>
      </w:r>
      <w:r>
        <w:rPr>
          <w:rFonts w:hint="eastAsia" w:hAnsi="仿宋"/>
          <w:sz w:val="32"/>
          <w:szCs w:val="32"/>
        </w:rPr>
        <w:t>事业运行支出</w:t>
      </w:r>
      <w:r>
        <w:rPr>
          <w:rFonts w:ascii="Times New Roman" w:hAnsi="Times New Roman"/>
          <w:sz w:val="32"/>
          <w:szCs w:val="32"/>
        </w:rPr>
        <w:t>156.53</w:t>
      </w:r>
      <w:r>
        <w:rPr>
          <w:rFonts w:hint="eastAsia" w:hAnsi="仿宋"/>
          <w:sz w:val="32"/>
          <w:szCs w:val="32"/>
        </w:rPr>
        <w:t>万元，</w:t>
      </w:r>
      <w:r>
        <w:rPr>
          <w:rFonts w:ascii="Times New Roman" w:hAnsi="Times New Roman"/>
          <w:sz w:val="32"/>
          <w:szCs w:val="32"/>
        </w:rPr>
        <w:t>2130505</w:t>
      </w:r>
      <w:r>
        <w:rPr>
          <w:rFonts w:hint="eastAsia" w:hAnsi="仿宋"/>
          <w:sz w:val="32"/>
          <w:szCs w:val="32"/>
        </w:rPr>
        <w:t>项目支出</w:t>
      </w:r>
      <w:r>
        <w:rPr>
          <w:rFonts w:ascii="Times New Roman" w:hAnsi="Times New Roman"/>
          <w:sz w:val="32"/>
          <w:szCs w:val="32"/>
        </w:rPr>
        <w:t>110.06</w:t>
      </w:r>
      <w:r>
        <w:rPr>
          <w:rFonts w:hint="eastAsia" w:hAnsi="仿宋"/>
          <w:sz w:val="32"/>
          <w:szCs w:val="32"/>
        </w:rPr>
        <w:t>万元。</w:t>
      </w:r>
    </w:p>
    <w:p>
      <w:pPr>
        <w:spacing w:line="560" w:lineRule="exact"/>
        <w:ind w:firstLine="643" w:firstLineChars="200"/>
        <w:jc w:val="left"/>
        <w:outlineLvl w:val="2"/>
        <w:rPr>
          <w:rFonts w:hint="eastAsia" w:ascii="仿宋_GB2312" w:hAnsi="宋体" w:eastAsia="仿宋_GB2312"/>
          <w:b/>
          <w:sz w:val="32"/>
          <w:szCs w:val="32"/>
        </w:rPr>
      </w:pPr>
      <w:bookmarkStart w:id="16" w:name="_Toc808"/>
      <w:r>
        <w:rPr>
          <w:rFonts w:hint="eastAsia" w:eastAsia="仿宋_GB2312"/>
          <w:b/>
          <w:sz w:val="32"/>
          <w:szCs w:val="32"/>
        </w:rPr>
        <w:t>1</w:t>
      </w:r>
      <w:r>
        <w:rPr>
          <w:rFonts w:hint="eastAsia" w:ascii="仿宋_GB2312" w:hAnsi="宋体" w:eastAsia="仿宋_GB2312"/>
          <w:b/>
          <w:sz w:val="32"/>
          <w:szCs w:val="32"/>
        </w:rPr>
        <w:t>.基本支出使用情况</w:t>
      </w:r>
      <w:bookmarkEnd w:id="16"/>
    </w:p>
    <w:p>
      <w:pPr>
        <w:pStyle w:val="7"/>
        <w:spacing w:line="560" w:lineRule="exact"/>
        <w:ind w:firstLine="624"/>
        <w:rPr>
          <w:rFonts w:hint="eastAsia" w:hAnsi="楷体"/>
          <w:bCs/>
          <w:color w:val="000000"/>
          <w:spacing w:val="-4"/>
          <w:sz w:val="32"/>
          <w:szCs w:val="32"/>
          <w:highlight w:val="yellow"/>
        </w:rPr>
      </w:pPr>
      <w:r>
        <w:rPr>
          <w:rFonts w:hint="eastAsia" w:ascii="Times New Roman" w:hAnsi="Times New Roman"/>
          <w:bCs/>
          <w:color w:val="000000"/>
          <w:spacing w:val="-4"/>
          <w:sz w:val="32"/>
          <w:szCs w:val="32"/>
        </w:rPr>
        <w:t>2024</w:t>
      </w:r>
      <w:r>
        <w:rPr>
          <w:rFonts w:hint="eastAsia" w:hAnsi="楷体"/>
          <w:bCs/>
          <w:color w:val="000000"/>
          <w:spacing w:val="-4"/>
          <w:sz w:val="32"/>
          <w:szCs w:val="32"/>
        </w:rPr>
        <w:t>年，</w:t>
      </w:r>
      <w:r>
        <w:rPr>
          <w:rStyle w:val="6"/>
          <w:rFonts w:hint="eastAsia" w:hAnsi="楷体"/>
          <w:b w:val="0"/>
          <w:spacing w:val="-4"/>
          <w:sz w:val="32"/>
          <w:szCs w:val="32"/>
        </w:rPr>
        <w:t>特克斯县现代农业生态示范园区管委会</w:t>
      </w:r>
      <w:r>
        <w:rPr>
          <w:rFonts w:hint="eastAsia" w:hAnsi="楷体"/>
          <w:bCs/>
          <w:color w:val="000000"/>
          <w:spacing w:val="-4"/>
          <w:sz w:val="32"/>
          <w:szCs w:val="32"/>
        </w:rPr>
        <w:t>基本支出</w:t>
      </w:r>
      <w:r>
        <w:rPr>
          <w:rFonts w:ascii="Times New Roman" w:hAnsi="Times New Roman"/>
          <w:sz w:val="32"/>
          <w:szCs w:val="32"/>
        </w:rPr>
        <w:t>203.6</w:t>
      </w:r>
      <w:r>
        <w:rPr>
          <w:rFonts w:ascii="Times New Roman" w:hAnsi="Times New Roman"/>
          <w:kern w:val="0"/>
          <w:sz w:val="32"/>
          <w:szCs w:val="32"/>
        </w:rPr>
        <w:t>1</w:t>
      </w:r>
      <w:r>
        <w:rPr>
          <w:rFonts w:hint="eastAsia" w:hAnsi="楷体"/>
          <w:bCs/>
          <w:color w:val="000000"/>
          <w:spacing w:val="-4"/>
          <w:sz w:val="32"/>
          <w:szCs w:val="32"/>
        </w:rPr>
        <w:t>万元，占总支出的</w:t>
      </w:r>
      <w:r>
        <w:rPr>
          <w:rFonts w:ascii="Times New Roman" w:hAnsi="Times New Roman"/>
          <w:kern w:val="0"/>
          <w:sz w:val="32"/>
          <w:szCs w:val="32"/>
        </w:rPr>
        <w:t>64.91</w:t>
      </w:r>
      <w:r>
        <w:rPr>
          <w:rFonts w:hint="eastAsia" w:hAnsi="楷体"/>
          <w:bCs/>
          <w:color w:val="000000"/>
          <w:spacing w:val="-4"/>
          <w:sz w:val="32"/>
          <w:szCs w:val="32"/>
        </w:rPr>
        <w:t>％，其中：</w:t>
      </w:r>
      <w:r>
        <w:rPr>
          <w:rFonts w:ascii="Times New Roman" w:hAnsi="Times New Roman"/>
          <w:bCs/>
          <w:color w:val="000000"/>
          <w:spacing w:val="-4"/>
          <w:sz w:val="32"/>
          <w:szCs w:val="32"/>
        </w:rPr>
        <w:t>2080505</w:t>
      </w:r>
      <w:r>
        <w:rPr>
          <w:rFonts w:hint="eastAsia" w:hAnsi="楷体"/>
          <w:bCs/>
          <w:color w:val="000000"/>
          <w:spacing w:val="-4"/>
          <w:sz w:val="32"/>
          <w:szCs w:val="32"/>
        </w:rPr>
        <w:tab/>
      </w:r>
      <w:r>
        <w:rPr>
          <w:rFonts w:hint="eastAsia" w:hAnsi="楷体"/>
          <w:bCs/>
          <w:color w:val="000000"/>
          <w:spacing w:val="-4"/>
          <w:sz w:val="32"/>
          <w:szCs w:val="32"/>
        </w:rPr>
        <w:t>机关事业单位基本养老保险缴费支出</w:t>
      </w:r>
      <w:r>
        <w:rPr>
          <w:rFonts w:ascii="Times New Roman" w:hAnsi="Times New Roman"/>
          <w:sz w:val="32"/>
          <w:szCs w:val="32"/>
        </w:rPr>
        <w:t>20.70</w:t>
      </w:r>
      <w:r>
        <w:rPr>
          <w:rFonts w:hint="eastAsia" w:hAnsi="仿宋"/>
          <w:sz w:val="32"/>
          <w:szCs w:val="32"/>
        </w:rPr>
        <w:t>万元、</w:t>
      </w:r>
      <w:r>
        <w:rPr>
          <w:rFonts w:ascii="Times New Roman" w:hAnsi="Times New Roman"/>
          <w:sz w:val="32"/>
          <w:szCs w:val="32"/>
        </w:rPr>
        <w:t>2101102</w:t>
      </w:r>
      <w:r>
        <w:rPr>
          <w:rFonts w:hint="eastAsia" w:hAnsi="仿宋"/>
          <w:sz w:val="32"/>
          <w:szCs w:val="32"/>
        </w:rPr>
        <w:t>卫生健康支出城镇职工基本医疗保险缴费</w:t>
      </w:r>
      <w:r>
        <w:rPr>
          <w:rFonts w:ascii="Times New Roman" w:hAnsi="Times New Roman"/>
          <w:sz w:val="32"/>
          <w:szCs w:val="32"/>
        </w:rPr>
        <w:t>10.34</w:t>
      </w:r>
      <w:r>
        <w:rPr>
          <w:rFonts w:hint="eastAsia" w:hAnsi="仿宋"/>
          <w:sz w:val="32"/>
          <w:szCs w:val="32"/>
        </w:rPr>
        <w:t>万元、</w:t>
      </w:r>
      <w:r>
        <w:rPr>
          <w:rFonts w:ascii="Times New Roman" w:hAnsi="Times New Roman"/>
          <w:sz w:val="32"/>
          <w:szCs w:val="32"/>
        </w:rPr>
        <w:t>2210201</w:t>
      </w:r>
      <w:r>
        <w:rPr>
          <w:rFonts w:hint="eastAsia" w:hAnsi="仿宋"/>
          <w:sz w:val="32"/>
          <w:szCs w:val="32"/>
        </w:rPr>
        <w:t>住房保障支出</w:t>
      </w:r>
      <w:r>
        <w:rPr>
          <w:rFonts w:ascii="Times New Roman" w:hAnsi="Times New Roman"/>
          <w:sz w:val="32"/>
          <w:szCs w:val="32"/>
        </w:rPr>
        <w:t>16.04</w:t>
      </w:r>
      <w:r>
        <w:rPr>
          <w:rFonts w:hint="eastAsia" w:hAnsi="仿宋"/>
          <w:sz w:val="32"/>
          <w:szCs w:val="32"/>
        </w:rPr>
        <w:t>万元、</w:t>
      </w:r>
      <w:r>
        <w:rPr>
          <w:rFonts w:ascii="Times New Roman" w:hAnsi="Times New Roman"/>
          <w:sz w:val="32"/>
          <w:szCs w:val="32"/>
        </w:rPr>
        <w:t>2130104</w:t>
      </w:r>
      <w:r>
        <w:rPr>
          <w:rFonts w:hint="eastAsia" w:hAnsi="仿宋"/>
          <w:sz w:val="32"/>
          <w:szCs w:val="32"/>
        </w:rPr>
        <w:t>事业运行支出</w:t>
      </w:r>
      <w:r>
        <w:rPr>
          <w:rFonts w:ascii="Times New Roman" w:hAnsi="Times New Roman"/>
          <w:sz w:val="32"/>
          <w:szCs w:val="32"/>
        </w:rPr>
        <w:t>156.53</w:t>
      </w:r>
      <w:r>
        <w:rPr>
          <w:rFonts w:hint="eastAsia" w:hAnsi="仿宋"/>
          <w:sz w:val="32"/>
          <w:szCs w:val="32"/>
        </w:rPr>
        <w:t>万元、其中：人员经费支出</w:t>
      </w:r>
      <w:r>
        <w:rPr>
          <w:rFonts w:ascii="Times New Roman" w:hAnsi="Times New Roman"/>
          <w:sz w:val="32"/>
          <w:szCs w:val="32"/>
        </w:rPr>
        <w:t>148.64</w:t>
      </w:r>
      <w:r>
        <w:rPr>
          <w:rFonts w:hint="eastAsia" w:hAnsi="仿宋"/>
          <w:sz w:val="32"/>
          <w:szCs w:val="32"/>
        </w:rPr>
        <w:t>万元、日常公用经费</w:t>
      </w:r>
      <w:r>
        <w:rPr>
          <w:rFonts w:ascii="Times New Roman" w:hAnsi="Times New Roman"/>
          <w:sz w:val="32"/>
          <w:szCs w:val="32"/>
        </w:rPr>
        <w:t>7.89</w:t>
      </w:r>
      <w:r>
        <w:rPr>
          <w:rFonts w:hint="eastAsia" w:hAnsi="仿宋"/>
          <w:sz w:val="32"/>
          <w:szCs w:val="32"/>
        </w:rPr>
        <w:t>万元。</w:t>
      </w:r>
    </w:p>
    <w:p>
      <w:pPr>
        <w:spacing w:line="560" w:lineRule="exact"/>
        <w:ind w:firstLine="643" w:firstLineChars="200"/>
        <w:jc w:val="left"/>
        <w:outlineLvl w:val="2"/>
        <w:rPr>
          <w:rFonts w:hint="eastAsia" w:ascii="仿宋_GB2312" w:hAnsi="宋体" w:eastAsia="仿宋_GB2312"/>
          <w:b/>
          <w:sz w:val="32"/>
          <w:szCs w:val="32"/>
        </w:rPr>
      </w:pPr>
      <w:bookmarkStart w:id="17" w:name="_Toc9601"/>
      <w:r>
        <w:rPr>
          <w:rFonts w:hint="eastAsia" w:eastAsia="仿宋_GB2312"/>
          <w:b/>
          <w:sz w:val="32"/>
          <w:szCs w:val="32"/>
        </w:rPr>
        <w:t>2</w:t>
      </w:r>
      <w:r>
        <w:rPr>
          <w:rFonts w:hint="eastAsia" w:ascii="仿宋_GB2312" w:hAnsi="宋体" w:eastAsia="仿宋_GB2312"/>
          <w:b/>
          <w:sz w:val="32"/>
          <w:szCs w:val="32"/>
        </w:rPr>
        <w:t>.项目支出使用情况</w:t>
      </w:r>
      <w:bookmarkEnd w:id="17"/>
    </w:p>
    <w:p>
      <w:pPr>
        <w:spacing w:line="560" w:lineRule="exact"/>
        <w:ind w:firstLine="624" w:firstLineChars="200"/>
        <w:rPr>
          <w:rStyle w:val="6"/>
          <w:rFonts w:hint="eastAsia" w:ascii="仿宋_GB2312" w:hAnsi="楷体" w:eastAsia="仿宋_GB2312"/>
          <w:b w:val="0"/>
          <w:spacing w:val="-4"/>
          <w:sz w:val="32"/>
          <w:szCs w:val="32"/>
        </w:rPr>
      </w:pPr>
      <w:r>
        <w:rPr>
          <w:rFonts w:hint="eastAsia" w:eastAsia="仿宋_GB2312"/>
          <w:bCs/>
          <w:color w:val="000000"/>
          <w:spacing w:val="-4"/>
          <w:sz w:val="32"/>
          <w:szCs w:val="32"/>
        </w:rPr>
        <w:t>2024</w:t>
      </w:r>
      <w:r>
        <w:rPr>
          <w:rFonts w:hint="eastAsia" w:ascii="仿宋_GB2312" w:hAnsi="楷体" w:eastAsia="仿宋_GB2312"/>
          <w:bCs/>
          <w:color w:val="000000"/>
          <w:spacing w:val="-4"/>
          <w:sz w:val="32"/>
          <w:szCs w:val="32"/>
        </w:rPr>
        <w:t>年，</w:t>
      </w:r>
      <w:r>
        <w:rPr>
          <w:rStyle w:val="6"/>
          <w:rFonts w:hint="eastAsia" w:ascii="仿宋_GB2312" w:hAnsi="楷体" w:eastAsia="仿宋_GB2312"/>
          <w:b w:val="0"/>
          <w:spacing w:val="-4"/>
          <w:sz w:val="32"/>
          <w:szCs w:val="32"/>
        </w:rPr>
        <w:t>特克斯县现代农业生态示范园区管委会</w:t>
      </w:r>
      <w:r>
        <w:rPr>
          <w:rFonts w:hint="eastAsia" w:ascii="仿宋_GB2312" w:hAnsi="楷体" w:eastAsia="仿宋_GB2312"/>
          <w:bCs/>
          <w:color w:val="000000"/>
          <w:spacing w:val="-4"/>
          <w:sz w:val="32"/>
          <w:szCs w:val="32"/>
        </w:rPr>
        <w:t>项目支出</w:t>
      </w:r>
      <w:r>
        <w:rPr>
          <w:rFonts w:eastAsia="仿宋_GB2312"/>
          <w:sz w:val="32"/>
          <w:szCs w:val="32"/>
        </w:rPr>
        <w:t>110.06</w:t>
      </w:r>
      <w:r>
        <w:rPr>
          <w:rFonts w:hint="eastAsia" w:ascii="仿宋_GB2312" w:hAnsi="楷体" w:eastAsia="仿宋_GB2312"/>
          <w:bCs/>
          <w:color w:val="000000"/>
          <w:spacing w:val="-4"/>
          <w:sz w:val="32"/>
          <w:szCs w:val="32"/>
        </w:rPr>
        <w:t>万元，占总支出的</w:t>
      </w:r>
      <w:r>
        <w:rPr>
          <w:rFonts w:eastAsia="仿宋_GB2312"/>
          <w:sz w:val="32"/>
          <w:szCs w:val="32"/>
        </w:rPr>
        <w:t>35.09</w:t>
      </w:r>
      <w:r>
        <w:rPr>
          <w:rFonts w:hint="eastAsia" w:ascii="仿宋_GB2312" w:hAnsi="楷体" w:eastAsia="仿宋_GB2312"/>
          <w:bCs/>
          <w:color w:val="000000"/>
          <w:spacing w:val="-4"/>
          <w:sz w:val="32"/>
          <w:szCs w:val="32"/>
        </w:rPr>
        <w:t>％。其中：</w:t>
      </w:r>
      <w:r>
        <w:rPr>
          <w:rStyle w:val="6"/>
          <w:rFonts w:eastAsia="仿宋_GB2312"/>
          <w:b w:val="0"/>
          <w:spacing w:val="-4"/>
          <w:sz w:val="32"/>
          <w:szCs w:val="32"/>
        </w:rPr>
        <w:t>2130505</w:t>
      </w:r>
      <w:r>
        <w:rPr>
          <w:rStyle w:val="6"/>
          <w:rFonts w:hint="eastAsia" w:ascii="仿宋_GB2312" w:hAnsi="楷体" w:eastAsia="仿宋_GB2312"/>
          <w:b w:val="0"/>
          <w:spacing w:val="-4"/>
          <w:sz w:val="32"/>
          <w:szCs w:val="32"/>
        </w:rPr>
        <w:t>生产发展支出</w:t>
      </w:r>
      <w:r>
        <w:rPr>
          <w:rStyle w:val="6"/>
          <w:rFonts w:eastAsia="仿宋_GB2312"/>
          <w:b w:val="0"/>
          <w:spacing w:val="-4"/>
          <w:sz w:val="32"/>
          <w:szCs w:val="32"/>
        </w:rPr>
        <w:t>110.06</w:t>
      </w:r>
      <w:r>
        <w:rPr>
          <w:rStyle w:val="6"/>
          <w:rFonts w:hint="eastAsia" w:ascii="仿宋_GB2312" w:hAnsi="楷体" w:eastAsia="仿宋_GB2312"/>
          <w:b w:val="0"/>
          <w:spacing w:val="-4"/>
          <w:sz w:val="32"/>
          <w:szCs w:val="32"/>
        </w:rPr>
        <w:t>万元。</w:t>
      </w:r>
    </w:p>
    <w:p>
      <w:pPr>
        <w:spacing w:line="560" w:lineRule="exact"/>
        <w:ind w:firstLine="643" w:firstLineChars="200"/>
        <w:jc w:val="left"/>
        <w:outlineLvl w:val="1"/>
        <w:rPr>
          <w:rFonts w:hint="eastAsia" w:ascii="楷体" w:hAnsi="楷体" w:eastAsia="楷体" w:cs="楷体"/>
          <w:b/>
          <w:sz w:val="32"/>
          <w:szCs w:val="32"/>
        </w:rPr>
      </w:pPr>
      <w:bookmarkStart w:id="18" w:name="_Toc3647"/>
      <w:r>
        <w:rPr>
          <w:rFonts w:hint="eastAsia" w:ascii="楷体" w:hAnsi="楷体" w:eastAsia="楷体" w:cs="楷体"/>
          <w:b/>
          <w:sz w:val="32"/>
          <w:szCs w:val="32"/>
        </w:rPr>
        <w:t>（二）单位整体支出绩效指标完成情况</w:t>
      </w:r>
      <w:bookmarkEnd w:id="18"/>
    </w:p>
    <w:p>
      <w:pPr>
        <w:snapToGrid w:val="0"/>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年初我单位设置部门整体绩效目标中包括一级指标1个，二级指标1个，三级指标5个，指标完成情况分析如下：</w:t>
      </w:r>
    </w:p>
    <w:p>
      <w:pPr>
        <w:snapToGrid w:val="0"/>
        <w:spacing w:line="560" w:lineRule="exact"/>
        <w:ind w:left="1368" w:hanging="720"/>
        <w:rPr>
          <w:rFonts w:hint="eastAsia" w:ascii="楷体" w:hAnsi="楷体" w:eastAsia="楷体" w:cs="楷体"/>
          <w:b/>
          <w:color w:val="000000" w:themeColor="text1"/>
          <w:sz w:val="32"/>
          <w:szCs w:val="32"/>
          <w:lang w:bidi="ar"/>
          <w14:textFill>
            <w14:solidFill>
              <w14:schemeClr w14:val="tx1"/>
            </w14:solidFill>
          </w14:textFill>
        </w:rPr>
      </w:pPr>
      <w:r>
        <w:rPr>
          <w:rFonts w:hint="eastAsia" w:eastAsia="楷体" w:cs="楷体"/>
          <w:b/>
          <w:color w:val="000000" w:themeColor="text1"/>
          <w:sz w:val="32"/>
          <w:szCs w:val="32"/>
          <w:lang w:bidi="ar"/>
          <w14:textFill>
            <w14:solidFill>
              <w14:schemeClr w14:val="tx1"/>
            </w14:solidFill>
          </w14:textFill>
        </w:rPr>
        <w:t>1</w:t>
      </w:r>
      <w:r>
        <w:rPr>
          <w:rFonts w:hint="eastAsia" w:ascii="楷体" w:hAnsi="楷体" w:eastAsia="楷体" w:cs="楷体"/>
          <w:b/>
          <w:color w:val="000000" w:themeColor="text1"/>
          <w:sz w:val="32"/>
          <w:szCs w:val="32"/>
          <w:lang w:bidi="ar"/>
          <w14:textFill>
            <w14:solidFill>
              <w14:schemeClr w14:val="tx1"/>
            </w14:solidFill>
          </w14:textFill>
        </w:rPr>
        <w:t>.运行成本：</w:t>
      </w:r>
      <w:bookmarkStart w:id="19" w:name="OLE_LINK1"/>
      <w:r>
        <w:rPr>
          <w:rFonts w:hint="eastAsia" w:ascii="楷体" w:hAnsi="楷体" w:eastAsia="楷体" w:cs="楷体"/>
          <w:b/>
          <w:color w:val="000000" w:themeColor="text1"/>
          <w:sz w:val="32"/>
          <w:szCs w:val="32"/>
          <w:lang w:bidi="ar"/>
          <w14:textFill>
            <w14:solidFill>
              <w14:schemeClr w14:val="tx1"/>
            </w14:solidFill>
          </w14:textFill>
        </w:rPr>
        <w:t>本单位未涉及本条指标</w:t>
      </w:r>
    </w:p>
    <w:bookmarkEnd w:id="19"/>
    <w:p>
      <w:pPr>
        <w:snapToGrid w:val="0"/>
        <w:spacing w:line="560" w:lineRule="exact"/>
        <w:ind w:left="1368" w:hanging="720"/>
        <w:rPr>
          <w:rFonts w:hint="eastAsia" w:ascii="楷体" w:hAnsi="楷体" w:eastAsia="楷体" w:cs="楷体"/>
          <w:b/>
          <w:color w:val="000000" w:themeColor="text1"/>
          <w:sz w:val="32"/>
          <w:szCs w:val="32"/>
          <w:lang w:bidi="ar"/>
          <w14:textFill>
            <w14:solidFill>
              <w14:schemeClr w14:val="tx1"/>
            </w14:solidFill>
          </w14:textFill>
        </w:rPr>
      </w:pPr>
      <w:r>
        <w:rPr>
          <w:rFonts w:hint="eastAsia" w:eastAsia="楷体" w:cs="楷体"/>
          <w:b/>
          <w:color w:val="000000" w:themeColor="text1"/>
          <w:sz w:val="32"/>
          <w:szCs w:val="32"/>
          <w:lang w:bidi="ar"/>
          <w14:textFill>
            <w14:solidFill>
              <w14:schemeClr w14:val="tx1"/>
            </w14:solidFill>
          </w14:textFill>
        </w:rPr>
        <w:t>2</w:t>
      </w:r>
      <w:r>
        <w:rPr>
          <w:rFonts w:hint="eastAsia" w:ascii="楷体" w:hAnsi="楷体" w:eastAsia="楷体" w:cs="楷体"/>
          <w:b/>
          <w:color w:val="000000" w:themeColor="text1"/>
          <w:sz w:val="32"/>
          <w:szCs w:val="32"/>
          <w:lang w:bidi="ar"/>
          <w14:textFill>
            <w14:solidFill>
              <w14:schemeClr w14:val="tx1"/>
            </w14:solidFill>
          </w14:textFill>
        </w:rPr>
        <w:t>.管理效率：本单位未涉及本条指标</w:t>
      </w:r>
    </w:p>
    <w:p>
      <w:pPr>
        <w:snapToGrid w:val="0"/>
        <w:spacing w:line="560" w:lineRule="exact"/>
        <w:ind w:left="1368" w:hanging="720"/>
        <w:rPr>
          <w:rFonts w:hint="eastAsia" w:ascii="楷体" w:hAnsi="楷体" w:eastAsia="楷体" w:cs="楷体"/>
          <w:b/>
          <w:color w:val="000000" w:themeColor="text1"/>
          <w:sz w:val="32"/>
          <w:szCs w:val="32"/>
          <w:lang w:bidi="ar"/>
          <w14:textFill>
            <w14:solidFill>
              <w14:schemeClr w14:val="tx1"/>
            </w14:solidFill>
          </w14:textFill>
        </w:rPr>
      </w:pPr>
      <w:r>
        <w:rPr>
          <w:rFonts w:hint="eastAsia" w:eastAsia="楷体" w:cs="楷体"/>
          <w:b/>
          <w:color w:val="000000" w:themeColor="text1"/>
          <w:sz w:val="32"/>
          <w:szCs w:val="32"/>
          <w:lang w:bidi="ar"/>
          <w14:textFill>
            <w14:solidFill>
              <w14:schemeClr w14:val="tx1"/>
            </w14:solidFill>
          </w14:textFill>
        </w:rPr>
        <w:t>3</w:t>
      </w:r>
      <w:r>
        <w:rPr>
          <w:rFonts w:hint="eastAsia" w:ascii="楷体" w:hAnsi="楷体" w:eastAsia="楷体" w:cs="楷体"/>
          <w:b/>
          <w:color w:val="000000" w:themeColor="text1"/>
          <w:sz w:val="32"/>
          <w:szCs w:val="32"/>
          <w:lang w:bidi="ar"/>
          <w14:textFill>
            <w14:solidFill>
              <w14:schemeClr w14:val="tx1"/>
            </w14:solidFill>
          </w14:textFill>
        </w:rPr>
        <w:t>.</w:t>
      </w:r>
      <w:r>
        <w:rPr>
          <w:rFonts w:ascii="楷体" w:hAnsi="楷体" w:eastAsia="楷体" w:cs="楷体"/>
          <w:b/>
          <w:color w:val="000000" w:themeColor="text1"/>
          <w:sz w:val="32"/>
          <w:szCs w:val="32"/>
          <w:lang w:bidi="ar"/>
          <w14:textFill>
            <w14:solidFill>
              <w14:schemeClr w14:val="tx1"/>
            </w14:solidFill>
          </w14:textFill>
        </w:rPr>
        <w:t>履职效能</w:t>
      </w:r>
    </w:p>
    <w:p>
      <w:pPr>
        <w:spacing w:line="560" w:lineRule="exact"/>
        <w:ind w:firstLine="640" w:firstLineChars="200"/>
        <w:rPr>
          <w:rFonts w:hint="eastAsia" w:ascii="仿宋_GB2312" w:hAnsi="仿宋_GB2312" w:eastAsia="仿宋_GB2312" w:cs="仿宋_GB2312"/>
          <w:bCs/>
          <w:sz w:val="32"/>
          <w:szCs w:val="32"/>
          <w:lang w:bidi="ar"/>
        </w:rPr>
      </w:pPr>
      <w:r>
        <w:rPr>
          <w:rFonts w:hint="eastAsia" w:ascii="仿宋_GB2312" w:hAnsi="仿宋_GB2312" w:eastAsia="仿宋_GB2312" w:cs="仿宋_GB2312"/>
          <w:color w:val="000000"/>
          <w:kern w:val="0"/>
          <w:sz w:val="32"/>
          <w:szCs w:val="32"/>
          <w:lang w:bidi="ar"/>
        </w:rPr>
        <w:t>（</w:t>
      </w:r>
      <w:r>
        <w:rPr>
          <w:rFonts w:hint="eastAsia" w:eastAsia="仿宋_GB2312" w:cs="仿宋_GB2312"/>
          <w:color w:val="000000"/>
          <w:kern w:val="0"/>
          <w:sz w:val="32"/>
          <w:szCs w:val="32"/>
          <w:lang w:bidi="ar"/>
        </w:rPr>
        <w:t>1</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bCs/>
          <w:sz w:val="32"/>
          <w:szCs w:val="32"/>
          <w:lang w:bidi="ar"/>
        </w:rPr>
        <w:t>数量指标</w:t>
      </w:r>
    </w:p>
    <w:p>
      <w:pPr>
        <w:snapToGrid w:val="0"/>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指标</w:t>
      </w:r>
      <w:r>
        <w:rPr>
          <w:rFonts w:hint="eastAsia" w:eastAsia="仿宋_GB2312" w:cs="仿宋_GB2312"/>
          <w:bCs/>
          <w:color w:val="000000"/>
          <w:sz w:val="32"/>
          <w:szCs w:val="32"/>
          <w:lang w:bidi="ar"/>
        </w:rPr>
        <w:t>1</w:t>
      </w:r>
      <w:r>
        <w:rPr>
          <w:rFonts w:hint="eastAsia" w:ascii="仿宋_GB2312" w:hAnsi="仿宋_GB2312" w:eastAsia="仿宋_GB2312" w:cs="仿宋_GB2312"/>
          <w:bCs/>
          <w:color w:val="000000"/>
          <w:sz w:val="32"/>
          <w:szCs w:val="32"/>
          <w:lang w:bidi="ar"/>
        </w:rPr>
        <w:t>：搬迁安置企业数，指标值：</w:t>
      </w:r>
      <w:r>
        <w:rPr>
          <w:rFonts w:hint="eastAsia" w:ascii="宋体" w:hAnsi="宋体" w:cs="宋体"/>
          <w:bCs/>
          <w:color w:val="000000"/>
          <w:sz w:val="32"/>
          <w:szCs w:val="32"/>
          <w:lang w:bidi="ar"/>
        </w:rPr>
        <w:t>≧</w:t>
      </w:r>
      <w:r>
        <w:rPr>
          <w:rFonts w:eastAsia="仿宋_GB2312"/>
          <w:bCs/>
          <w:color w:val="000000"/>
          <w:sz w:val="32"/>
          <w:szCs w:val="32"/>
          <w:lang w:bidi="ar"/>
        </w:rPr>
        <w:t>5</w:t>
      </w:r>
      <w:r>
        <w:rPr>
          <w:rFonts w:hint="eastAsia" w:ascii="仿宋_GB2312" w:hAnsi="仿宋_GB2312" w:eastAsia="仿宋_GB2312" w:cs="仿宋_GB2312"/>
          <w:bCs/>
          <w:color w:val="000000"/>
          <w:sz w:val="32"/>
          <w:szCs w:val="32"/>
          <w:lang w:bidi="ar"/>
        </w:rPr>
        <w:t>个，年中监控完成值：</w:t>
      </w:r>
      <w:r>
        <w:rPr>
          <w:rFonts w:eastAsia="仿宋_GB2312"/>
          <w:bCs/>
          <w:color w:val="000000"/>
          <w:sz w:val="32"/>
          <w:szCs w:val="32"/>
          <w:lang w:bidi="ar"/>
        </w:rPr>
        <w:t>5</w:t>
      </w:r>
      <w:r>
        <w:rPr>
          <w:rFonts w:hint="eastAsia" w:ascii="仿宋_GB2312" w:hAnsi="仿宋_GB2312" w:eastAsia="仿宋_GB2312" w:cs="仿宋_GB2312"/>
          <w:bCs/>
          <w:color w:val="000000"/>
          <w:sz w:val="32"/>
          <w:szCs w:val="32"/>
          <w:lang w:bidi="ar"/>
        </w:rPr>
        <w:t>个，自评完成值</w:t>
      </w:r>
      <w:r>
        <w:rPr>
          <w:rFonts w:eastAsia="仿宋_GB2312"/>
          <w:bCs/>
          <w:color w:val="000000"/>
          <w:sz w:val="32"/>
          <w:szCs w:val="32"/>
          <w:lang w:bidi="ar"/>
        </w:rPr>
        <w:t>5</w:t>
      </w:r>
      <w:r>
        <w:rPr>
          <w:rFonts w:hint="eastAsia" w:ascii="仿宋_GB2312" w:hAnsi="仿宋_GB2312" w:eastAsia="仿宋_GB2312" w:cs="仿宋_GB2312"/>
          <w:bCs/>
          <w:color w:val="000000"/>
          <w:sz w:val="32"/>
          <w:szCs w:val="32"/>
          <w:lang w:bidi="ar"/>
        </w:rPr>
        <w:t>个：指标完成率</w:t>
      </w:r>
      <w:r>
        <w:rPr>
          <w:rFonts w:eastAsia="仿宋_GB2312"/>
          <w:bCs/>
          <w:color w:val="000000"/>
          <w:sz w:val="32"/>
          <w:szCs w:val="32"/>
          <w:lang w:bidi="ar"/>
        </w:rPr>
        <w:t>100</w:t>
      </w:r>
      <w:r>
        <w:rPr>
          <w:rFonts w:hint="eastAsia" w:ascii="仿宋_GB2312" w:hAnsi="仿宋_GB2312" w:eastAsia="仿宋_GB2312" w:cs="仿宋_GB2312"/>
          <w:bCs/>
          <w:color w:val="000000"/>
          <w:sz w:val="32"/>
          <w:szCs w:val="32"/>
          <w:lang w:bidi="ar"/>
        </w:rPr>
        <w:t>%，偏差</w:t>
      </w:r>
      <w:r>
        <w:rPr>
          <w:rFonts w:eastAsia="仿宋_GB2312"/>
          <w:bCs/>
          <w:color w:val="000000"/>
          <w:sz w:val="32"/>
          <w:szCs w:val="32"/>
          <w:lang w:bidi="ar"/>
        </w:rPr>
        <w:t>0</w:t>
      </w:r>
      <w:r>
        <w:rPr>
          <w:rFonts w:hint="eastAsia" w:ascii="仿宋_GB2312" w:hAnsi="仿宋_GB2312" w:eastAsia="仿宋_GB2312" w:cs="仿宋_GB2312"/>
          <w:bCs/>
          <w:color w:val="000000"/>
          <w:sz w:val="32"/>
          <w:szCs w:val="32"/>
          <w:lang w:bidi="ar"/>
        </w:rPr>
        <w:t>%，偏差原因及改进措施：无，指标成效分析:企业搬迁到产业园区，能够与其他相关企业形成产业集群，实现资源共享、优势互补，促进产业链上下游企业之间的协同重新和协同发展，提升整个产业的竞争力。</w:t>
      </w:r>
    </w:p>
    <w:p>
      <w:pPr>
        <w:snapToGrid w:val="0"/>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指标</w:t>
      </w:r>
      <w:r>
        <w:rPr>
          <w:rFonts w:hint="eastAsia" w:eastAsia="仿宋_GB2312" w:cs="仿宋_GB2312"/>
          <w:bCs/>
          <w:color w:val="000000"/>
          <w:sz w:val="32"/>
          <w:szCs w:val="32"/>
          <w:lang w:bidi="ar"/>
        </w:rPr>
        <w:t>2</w:t>
      </w:r>
      <w:r>
        <w:rPr>
          <w:rFonts w:hint="eastAsia" w:ascii="仿宋_GB2312" w:hAnsi="仿宋_GB2312" w:eastAsia="仿宋_GB2312" w:cs="仿宋_GB2312"/>
          <w:bCs/>
          <w:color w:val="000000"/>
          <w:sz w:val="32"/>
          <w:szCs w:val="32"/>
          <w:lang w:bidi="ar"/>
        </w:rPr>
        <w:t>：现代农业园区建设，指标值：</w:t>
      </w:r>
      <w:r>
        <w:rPr>
          <w:rFonts w:hint="eastAsia" w:ascii="宋体" w:hAnsi="宋体" w:cs="宋体"/>
          <w:bCs/>
          <w:color w:val="000000"/>
          <w:sz w:val="32"/>
          <w:szCs w:val="32"/>
          <w:lang w:bidi="ar"/>
        </w:rPr>
        <w:t>≧</w:t>
      </w:r>
      <w:r>
        <w:rPr>
          <w:rFonts w:eastAsia="仿宋_GB2312"/>
          <w:bCs/>
          <w:color w:val="000000"/>
          <w:sz w:val="32"/>
          <w:szCs w:val="32"/>
          <w:lang w:bidi="ar"/>
        </w:rPr>
        <w:t>4</w:t>
      </w:r>
      <w:r>
        <w:rPr>
          <w:rFonts w:hint="eastAsia" w:ascii="仿宋_GB2312" w:hAnsi="仿宋_GB2312" w:eastAsia="仿宋_GB2312" w:cs="仿宋_GB2312"/>
          <w:bCs/>
          <w:color w:val="000000"/>
          <w:sz w:val="32"/>
          <w:szCs w:val="32"/>
          <w:lang w:bidi="ar"/>
        </w:rPr>
        <w:t>个，年中监控完成值：</w:t>
      </w:r>
      <w:r>
        <w:rPr>
          <w:rFonts w:hint="eastAsia" w:eastAsia="仿宋_GB2312"/>
          <w:bCs/>
          <w:color w:val="000000"/>
          <w:sz w:val="32"/>
          <w:szCs w:val="32"/>
          <w:lang w:bidi="ar"/>
        </w:rPr>
        <w:t>4</w:t>
      </w:r>
      <w:r>
        <w:rPr>
          <w:rFonts w:hint="eastAsia" w:ascii="仿宋_GB2312" w:hAnsi="仿宋_GB2312" w:eastAsia="仿宋_GB2312" w:cs="仿宋_GB2312"/>
          <w:bCs/>
          <w:color w:val="000000"/>
          <w:sz w:val="32"/>
          <w:szCs w:val="32"/>
          <w:lang w:bidi="ar"/>
        </w:rPr>
        <w:t>个，自评完成值：</w:t>
      </w:r>
      <w:r>
        <w:rPr>
          <w:rFonts w:eastAsia="仿宋_GB2312"/>
          <w:bCs/>
          <w:color w:val="000000"/>
          <w:sz w:val="32"/>
          <w:szCs w:val="32"/>
          <w:lang w:bidi="ar"/>
        </w:rPr>
        <w:t>4</w:t>
      </w:r>
      <w:r>
        <w:rPr>
          <w:rFonts w:hint="eastAsia" w:ascii="仿宋_GB2312" w:hAnsi="仿宋_GB2312" w:eastAsia="仿宋_GB2312" w:cs="仿宋_GB2312"/>
          <w:bCs/>
          <w:color w:val="000000"/>
          <w:sz w:val="32"/>
          <w:szCs w:val="32"/>
          <w:lang w:bidi="ar"/>
        </w:rPr>
        <w:t>个，指标完成率</w:t>
      </w:r>
      <w:r>
        <w:rPr>
          <w:rFonts w:eastAsia="仿宋_GB2312"/>
          <w:bCs/>
          <w:color w:val="000000"/>
          <w:sz w:val="32"/>
          <w:szCs w:val="32"/>
          <w:lang w:bidi="ar"/>
        </w:rPr>
        <w:t>100</w:t>
      </w:r>
      <w:r>
        <w:rPr>
          <w:rFonts w:hint="eastAsia" w:ascii="仿宋_GB2312" w:hAnsi="仿宋_GB2312" w:eastAsia="仿宋_GB2312" w:cs="仿宋_GB2312"/>
          <w:bCs/>
          <w:color w:val="000000"/>
          <w:sz w:val="32"/>
          <w:szCs w:val="32"/>
          <w:lang w:bidi="ar"/>
        </w:rPr>
        <w:t>%，偏差</w:t>
      </w:r>
      <w:r>
        <w:rPr>
          <w:rFonts w:eastAsia="仿宋_GB2312"/>
          <w:bCs/>
          <w:color w:val="000000"/>
          <w:sz w:val="32"/>
          <w:szCs w:val="32"/>
          <w:lang w:bidi="ar"/>
        </w:rPr>
        <w:t>0</w:t>
      </w:r>
      <w:r>
        <w:rPr>
          <w:rFonts w:hint="eastAsia" w:ascii="仿宋_GB2312" w:hAnsi="仿宋_GB2312" w:eastAsia="仿宋_GB2312" w:cs="仿宋_GB2312"/>
          <w:bCs/>
          <w:color w:val="000000"/>
          <w:sz w:val="32"/>
          <w:szCs w:val="32"/>
          <w:lang w:bidi="ar"/>
        </w:rPr>
        <w:t>%，偏差原因及改进措施：无，指标成效分析：加快推进园区小麦建设，截至目前，综合服务中心、黑小麦加工厂房，脱水蔬菜成品库、园区市政基础建设已完成，鑫泽脱水蔬菜生产车间建设项目计划投资</w:t>
      </w:r>
      <w:r>
        <w:rPr>
          <w:rFonts w:eastAsia="仿宋_GB2312"/>
          <w:bCs/>
          <w:color w:val="000000"/>
          <w:sz w:val="32"/>
          <w:szCs w:val="32"/>
          <w:lang w:bidi="ar"/>
        </w:rPr>
        <w:t>1</w:t>
      </w:r>
      <w:r>
        <w:rPr>
          <w:rFonts w:hint="eastAsia" w:ascii="仿宋_GB2312" w:hAnsi="仿宋_GB2312" w:eastAsia="仿宋_GB2312" w:cs="仿宋_GB2312"/>
          <w:bCs/>
          <w:color w:val="000000"/>
          <w:sz w:val="32"/>
          <w:szCs w:val="32"/>
          <w:lang w:bidi="ar"/>
        </w:rPr>
        <w:t>亿元，</w:t>
      </w:r>
      <w:r>
        <w:rPr>
          <w:rFonts w:eastAsia="仿宋_GB2312"/>
          <w:bCs/>
          <w:color w:val="000000"/>
          <w:sz w:val="32"/>
          <w:szCs w:val="32"/>
          <w:lang w:bidi="ar"/>
        </w:rPr>
        <w:t>10000</w:t>
      </w:r>
      <w:r>
        <w:rPr>
          <w:rFonts w:hint="eastAsia" w:ascii="仿宋_GB2312" w:hAnsi="仿宋_GB2312" w:eastAsia="仿宋_GB2312" w:cs="仿宋_GB2312"/>
          <w:bCs/>
          <w:color w:val="000000"/>
          <w:sz w:val="32"/>
          <w:szCs w:val="32"/>
          <w:lang w:bidi="ar"/>
        </w:rPr>
        <w:t>平方米加工车间厂房建设已完成</w:t>
      </w:r>
      <w:r>
        <w:rPr>
          <w:rFonts w:eastAsia="仿宋_GB2312"/>
          <w:bCs/>
          <w:color w:val="000000"/>
          <w:sz w:val="32"/>
          <w:szCs w:val="32"/>
          <w:lang w:bidi="ar"/>
        </w:rPr>
        <w:t>85</w:t>
      </w:r>
      <w:r>
        <w:rPr>
          <w:rFonts w:hint="eastAsia" w:ascii="仿宋_GB2312" w:hAnsi="仿宋_GB2312" w:eastAsia="仿宋_GB2312" w:cs="仿宋_GB2312"/>
          <w:bCs/>
          <w:color w:val="000000"/>
          <w:sz w:val="32"/>
          <w:szCs w:val="32"/>
          <w:lang w:bidi="ar"/>
        </w:rPr>
        <w:t>%。</w:t>
      </w:r>
    </w:p>
    <w:p>
      <w:pPr>
        <w:snapToGrid w:val="0"/>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指标</w:t>
      </w:r>
      <w:r>
        <w:rPr>
          <w:rFonts w:eastAsia="仿宋_GB2312"/>
          <w:bCs/>
          <w:color w:val="000000"/>
          <w:sz w:val="32"/>
          <w:szCs w:val="32"/>
          <w:lang w:bidi="ar"/>
        </w:rPr>
        <w:t>3</w:t>
      </w:r>
      <w:r>
        <w:rPr>
          <w:rFonts w:hint="eastAsia" w:ascii="仿宋_GB2312" w:hAnsi="仿宋_GB2312" w:eastAsia="仿宋_GB2312" w:cs="仿宋_GB2312"/>
          <w:bCs/>
          <w:color w:val="000000"/>
          <w:sz w:val="32"/>
          <w:szCs w:val="32"/>
          <w:lang w:bidi="ar"/>
        </w:rPr>
        <w:t>：成立园区物业管理公司，指标值：=</w:t>
      </w:r>
      <w:r>
        <w:rPr>
          <w:rFonts w:eastAsia="仿宋_GB2312"/>
          <w:bCs/>
          <w:color w:val="000000"/>
          <w:sz w:val="32"/>
          <w:szCs w:val="32"/>
          <w:lang w:bidi="ar"/>
        </w:rPr>
        <w:t>1</w:t>
      </w:r>
      <w:r>
        <w:rPr>
          <w:rFonts w:hint="eastAsia" w:ascii="仿宋_GB2312" w:hAnsi="仿宋_GB2312" w:eastAsia="仿宋_GB2312" w:cs="仿宋_GB2312"/>
          <w:bCs/>
          <w:color w:val="000000"/>
          <w:sz w:val="32"/>
          <w:szCs w:val="32"/>
          <w:lang w:bidi="ar"/>
        </w:rPr>
        <w:t>家，年中监控完成值：</w:t>
      </w:r>
      <w:r>
        <w:rPr>
          <w:rFonts w:eastAsia="仿宋_GB2312"/>
          <w:bCs/>
          <w:color w:val="000000"/>
          <w:sz w:val="32"/>
          <w:szCs w:val="32"/>
          <w:lang w:bidi="ar"/>
        </w:rPr>
        <w:t>1</w:t>
      </w:r>
      <w:r>
        <w:rPr>
          <w:rFonts w:hint="eastAsia" w:ascii="仿宋_GB2312" w:hAnsi="仿宋_GB2312" w:eastAsia="仿宋_GB2312" w:cs="仿宋_GB2312"/>
          <w:bCs/>
          <w:color w:val="000000"/>
          <w:sz w:val="32"/>
          <w:szCs w:val="32"/>
          <w:lang w:bidi="ar"/>
        </w:rPr>
        <w:t>家，自评完成值：</w:t>
      </w:r>
      <w:r>
        <w:rPr>
          <w:rFonts w:eastAsia="仿宋_GB2312"/>
          <w:bCs/>
          <w:color w:val="000000"/>
          <w:sz w:val="32"/>
          <w:szCs w:val="32"/>
          <w:lang w:bidi="ar"/>
        </w:rPr>
        <w:t>1</w:t>
      </w:r>
      <w:r>
        <w:rPr>
          <w:rFonts w:hint="eastAsia" w:ascii="仿宋_GB2312" w:hAnsi="仿宋_GB2312" w:eastAsia="仿宋_GB2312" w:cs="仿宋_GB2312"/>
          <w:bCs/>
          <w:color w:val="000000"/>
          <w:sz w:val="32"/>
          <w:szCs w:val="32"/>
          <w:lang w:bidi="ar"/>
        </w:rPr>
        <w:t>家，指标完成率</w:t>
      </w:r>
      <w:r>
        <w:rPr>
          <w:rFonts w:eastAsia="仿宋_GB2312"/>
          <w:bCs/>
          <w:color w:val="000000"/>
          <w:sz w:val="32"/>
          <w:szCs w:val="32"/>
          <w:lang w:bidi="ar"/>
        </w:rPr>
        <w:t>100</w:t>
      </w:r>
      <w:r>
        <w:rPr>
          <w:rFonts w:hint="eastAsia" w:ascii="仿宋_GB2312" w:hAnsi="仿宋_GB2312" w:eastAsia="仿宋_GB2312" w:cs="仿宋_GB2312"/>
          <w:bCs/>
          <w:color w:val="000000"/>
          <w:sz w:val="32"/>
          <w:szCs w:val="32"/>
          <w:lang w:bidi="ar"/>
        </w:rPr>
        <w:t>%，偏差</w:t>
      </w:r>
      <w:r>
        <w:rPr>
          <w:rFonts w:eastAsia="仿宋_GB2312"/>
          <w:bCs/>
          <w:color w:val="000000"/>
          <w:sz w:val="32"/>
          <w:szCs w:val="32"/>
          <w:lang w:bidi="ar"/>
        </w:rPr>
        <w:t>0</w:t>
      </w:r>
      <w:r>
        <w:rPr>
          <w:rFonts w:hint="eastAsia" w:ascii="仿宋_GB2312" w:hAnsi="仿宋_GB2312" w:eastAsia="仿宋_GB2312" w:cs="仿宋_GB2312"/>
          <w:bCs/>
          <w:color w:val="000000"/>
          <w:sz w:val="32"/>
          <w:szCs w:val="32"/>
          <w:lang w:bidi="ar"/>
        </w:rPr>
        <w:t>%，偏差原因及改进措施：无，指标成效分析：强化园区服务管理和企业在农产品研发，生产销售等环节的人才保障，不断推动园区企业提高现代化水平。</w:t>
      </w:r>
    </w:p>
    <w:p>
      <w:pPr>
        <w:snapToGrid w:val="0"/>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指标</w:t>
      </w:r>
      <w:r>
        <w:rPr>
          <w:rFonts w:hint="eastAsia" w:eastAsia="仿宋_GB2312" w:cs="仿宋_GB2312"/>
          <w:bCs/>
          <w:color w:val="000000"/>
          <w:sz w:val="32"/>
          <w:szCs w:val="32"/>
          <w:lang w:bidi="ar"/>
        </w:rPr>
        <w:t>4</w:t>
      </w:r>
      <w:r>
        <w:rPr>
          <w:rFonts w:hint="eastAsia" w:ascii="仿宋_GB2312" w:hAnsi="仿宋_GB2312" w:eastAsia="仿宋_GB2312" w:cs="仿宋_GB2312"/>
          <w:bCs/>
          <w:color w:val="000000"/>
          <w:sz w:val="32"/>
          <w:szCs w:val="32"/>
          <w:lang w:bidi="ar"/>
        </w:rPr>
        <w:t>：带动企业发展，指标值：</w:t>
      </w:r>
      <w:r>
        <w:rPr>
          <w:rFonts w:hint="eastAsia" w:ascii="宋体" w:hAnsi="宋体" w:cs="宋体"/>
          <w:bCs/>
          <w:color w:val="000000"/>
          <w:sz w:val="32"/>
          <w:szCs w:val="32"/>
          <w:lang w:bidi="ar"/>
        </w:rPr>
        <w:t>≧</w:t>
      </w:r>
      <w:r>
        <w:rPr>
          <w:rFonts w:eastAsia="仿宋_GB2312"/>
          <w:bCs/>
          <w:color w:val="000000"/>
          <w:sz w:val="32"/>
          <w:szCs w:val="32"/>
          <w:lang w:bidi="ar"/>
        </w:rPr>
        <w:t>4</w:t>
      </w:r>
      <w:r>
        <w:rPr>
          <w:rFonts w:hint="eastAsia" w:ascii="仿宋_GB2312" w:hAnsi="仿宋_GB2312" w:eastAsia="仿宋_GB2312" w:cs="仿宋_GB2312"/>
          <w:bCs/>
          <w:color w:val="000000"/>
          <w:sz w:val="32"/>
          <w:szCs w:val="32"/>
          <w:lang w:bidi="ar"/>
        </w:rPr>
        <w:t>家，年中监控完成值：</w:t>
      </w:r>
      <w:r>
        <w:rPr>
          <w:rFonts w:eastAsia="仿宋_GB2312"/>
          <w:bCs/>
          <w:color w:val="000000"/>
          <w:sz w:val="32"/>
          <w:szCs w:val="32"/>
          <w:lang w:bidi="ar"/>
        </w:rPr>
        <w:t>4</w:t>
      </w:r>
      <w:r>
        <w:rPr>
          <w:rFonts w:hint="eastAsia" w:ascii="仿宋_GB2312" w:hAnsi="仿宋_GB2312" w:eastAsia="仿宋_GB2312" w:cs="仿宋_GB2312"/>
          <w:bCs/>
          <w:color w:val="000000"/>
          <w:sz w:val="32"/>
          <w:szCs w:val="32"/>
          <w:lang w:bidi="ar"/>
        </w:rPr>
        <w:t>家，自评完成值：</w:t>
      </w:r>
      <w:r>
        <w:rPr>
          <w:rFonts w:eastAsia="仿宋_GB2312"/>
          <w:bCs/>
          <w:color w:val="000000"/>
          <w:sz w:val="32"/>
          <w:szCs w:val="32"/>
          <w:lang w:bidi="ar"/>
        </w:rPr>
        <w:t>4</w:t>
      </w:r>
      <w:r>
        <w:rPr>
          <w:rFonts w:hint="eastAsia" w:ascii="仿宋_GB2312" w:hAnsi="仿宋_GB2312" w:eastAsia="仿宋_GB2312" w:cs="仿宋_GB2312"/>
          <w:bCs/>
          <w:color w:val="000000"/>
          <w:sz w:val="32"/>
          <w:szCs w:val="32"/>
          <w:lang w:bidi="ar"/>
        </w:rPr>
        <w:t>家，指标完成率</w:t>
      </w:r>
      <w:r>
        <w:rPr>
          <w:rFonts w:eastAsia="仿宋_GB2312"/>
          <w:bCs/>
          <w:color w:val="000000"/>
          <w:sz w:val="32"/>
          <w:szCs w:val="32"/>
          <w:lang w:bidi="ar"/>
        </w:rPr>
        <w:t>100</w:t>
      </w:r>
      <w:r>
        <w:rPr>
          <w:rFonts w:hint="eastAsia" w:ascii="仿宋_GB2312" w:hAnsi="仿宋_GB2312" w:eastAsia="仿宋_GB2312" w:cs="仿宋_GB2312"/>
          <w:bCs/>
          <w:color w:val="000000"/>
          <w:sz w:val="32"/>
          <w:szCs w:val="32"/>
          <w:lang w:bidi="ar"/>
        </w:rPr>
        <w:t>%，偏差</w:t>
      </w:r>
      <w:r>
        <w:rPr>
          <w:rFonts w:eastAsia="仿宋_GB2312"/>
          <w:bCs/>
          <w:color w:val="000000"/>
          <w:sz w:val="32"/>
          <w:szCs w:val="32"/>
          <w:lang w:bidi="ar"/>
        </w:rPr>
        <w:t>0</w:t>
      </w:r>
      <w:r>
        <w:rPr>
          <w:rFonts w:hint="eastAsia" w:ascii="仿宋_GB2312" w:hAnsi="仿宋_GB2312" w:eastAsia="仿宋_GB2312" w:cs="仿宋_GB2312"/>
          <w:bCs/>
          <w:color w:val="000000"/>
          <w:sz w:val="32"/>
          <w:szCs w:val="32"/>
          <w:lang w:bidi="ar"/>
        </w:rPr>
        <w:t>%，偏差原因及改进措施：无，指标成效分析：紧紧围绕自治区“十大产业集群”，培育了众原果业、鲜食玉米、鑫泽食品、易乾黑小麦、葵花籽油等一批农产品精深加工企业，深步完成农业、企业标准化、专业化、科技化和品牌化，农业产业现代化逐步加快。</w:t>
      </w:r>
    </w:p>
    <w:p>
      <w:pPr>
        <w:snapToGrid w:val="0"/>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指标</w:t>
      </w:r>
      <w:r>
        <w:rPr>
          <w:rFonts w:hint="eastAsia" w:eastAsia="仿宋_GB2312" w:cs="仿宋_GB2312"/>
          <w:bCs/>
          <w:color w:val="000000"/>
          <w:sz w:val="32"/>
          <w:szCs w:val="32"/>
          <w:lang w:bidi="ar"/>
        </w:rPr>
        <w:t>5</w:t>
      </w:r>
      <w:r>
        <w:rPr>
          <w:rFonts w:hint="eastAsia" w:ascii="仿宋_GB2312" w:hAnsi="仿宋_GB2312" w:eastAsia="仿宋_GB2312" w:cs="仿宋_GB2312"/>
          <w:bCs/>
          <w:color w:val="000000"/>
          <w:sz w:val="32"/>
          <w:szCs w:val="32"/>
          <w:lang w:bidi="ar"/>
        </w:rPr>
        <w:t>：招商引资金额，指标值：</w:t>
      </w:r>
      <w:r>
        <w:rPr>
          <w:rFonts w:hint="eastAsia" w:ascii="宋体" w:hAnsi="宋体" w:cs="宋体"/>
          <w:bCs/>
          <w:color w:val="000000"/>
          <w:sz w:val="32"/>
          <w:szCs w:val="32"/>
          <w:lang w:bidi="ar"/>
        </w:rPr>
        <w:t>≧</w:t>
      </w:r>
      <w:r>
        <w:rPr>
          <w:rFonts w:eastAsia="仿宋_GB2312"/>
          <w:bCs/>
          <w:color w:val="000000"/>
          <w:sz w:val="32"/>
          <w:szCs w:val="32"/>
          <w:lang w:bidi="ar"/>
        </w:rPr>
        <w:t>1</w:t>
      </w:r>
      <w:r>
        <w:rPr>
          <w:rFonts w:hint="eastAsia" w:ascii="仿宋_GB2312" w:hAnsi="仿宋_GB2312" w:eastAsia="仿宋_GB2312" w:cs="仿宋_GB2312"/>
          <w:bCs/>
          <w:color w:val="000000"/>
          <w:sz w:val="32"/>
          <w:szCs w:val="32"/>
          <w:lang w:bidi="ar"/>
        </w:rPr>
        <w:t>亿，年中监控完成值：</w:t>
      </w:r>
      <w:r>
        <w:rPr>
          <w:rFonts w:eastAsia="仿宋_GB2312"/>
          <w:bCs/>
          <w:color w:val="000000"/>
          <w:sz w:val="32"/>
          <w:szCs w:val="32"/>
          <w:lang w:bidi="ar"/>
        </w:rPr>
        <w:t>1</w:t>
      </w:r>
      <w:r>
        <w:rPr>
          <w:rFonts w:hint="eastAsia" w:ascii="仿宋_GB2312" w:hAnsi="仿宋_GB2312" w:eastAsia="仿宋_GB2312" w:cs="仿宋_GB2312"/>
          <w:bCs/>
          <w:color w:val="000000"/>
          <w:sz w:val="32"/>
          <w:szCs w:val="32"/>
          <w:lang w:bidi="ar"/>
        </w:rPr>
        <w:t>亿，自评完成值：</w:t>
      </w:r>
      <w:r>
        <w:rPr>
          <w:rFonts w:hint="eastAsia" w:eastAsia="仿宋_GB2312"/>
          <w:bCs/>
          <w:color w:val="000000"/>
          <w:sz w:val="32"/>
          <w:szCs w:val="32"/>
          <w:lang w:bidi="ar"/>
        </w:rPr>
        <w:t>1</w:t>
      </w:r>
      <w:r>
        <w:rPr>
          <w:rFonts w:hint="eastAsia" w:ascii="仿宋_GB2312" w:hAnsi="仿宋_GB2312" w:eastAsia="仿宋_GB2312" w:cs="仿宋_GB2312"/>
          <w:bCs/>
          <w:color w:val="000000"/>
          <w:sz w:val="32"/>
          <w:szCs w:val="32"/>
          <w:lang w:bidi="ar"/>
        </w:rPr>
        <w:t>亿，指标完成率</w:t>
      </w:r>
      <w:r>
        <w:rPr>
          <w:rFonts w:hint="eastAsia" w:eastAsia="仿宋_GB2312"/>
          <w:bCs/>
          <w:color w:val="000000"/>
          <w:sz w:val="32"/>
          <w:szCs w:val="32"/>
          <w:lang w:bidi="ar"/>
        </w:rPr>
        <w:t>100</w:t>
      </w:r>
      <w:r>
        <w:rPr>
          <w:rFonts w:hint="eastAsia" w:ascii="仿宋_GB2312" w:hAnsi="仿宋_GB2312" w:eastAsia="仿宋_GB2312" w:cs="仿宋_GB2312"/>
          <w:bCs/>
          <w:color w:val="000000"/>
          <w:sz w:val="32"/>
          <w:szCs w:val="32"/>
          <w:lang w:bidi="ar"/>
        </w:rPr>
        <w:t>%，偏差</w:t>
      </w:r>
      <w:r>
        <w:rPr>
          <w:rFonts w:hint="eastAsia" w:eastAsia="仿宋_GB2312"/>
          <w:bCs/>
          <w:color w:val="000000"/>
          <w:sz w:val="32"/>
          <w:szCs w:val="32"/>
          <w:lang w:bidi="ar"/>
        </w:rPr>
        <w:t>0</w:t>
      </w:r>
      <w:r>
        <w:rPr>
          <w:rFonts w:hint="eastAsia" w:ascii="仿宋_GB2312" w:hAnsi="仿宋_GB2312" w:eastAsia="仿宋_GB2312" w:cs="仿宋_GB2312"/>
          <w:bCs/>
          <w:color w:val="000000"/>
          <w:sz w:val="32"/>
          <w:szCs w:val="32"/>
          <w:lang w:bidi="ar"/>
        </w:rPr>
        <w:t>%，偏差原因及改进措施：无，指标成效分析：招商引资力度持续加大，</w:t>
      </w:r>
      <w:r>
        <w:rPr>
          <w:rFonts w:eastAsia="仿宋_GB2312"/>
          <w:bCs/>
          <w:color w:val="000000"/>
          <w:sz w:val="32"/>
          <w:szCs w:val="32"/>
          <w:lang w:bidi="ar"/>
        </w:rPr>
        <w:t>2024</w:t>
      </w:r>
      <w:r>
        <w:rPr>
          <w:rFonts w:hint="eastAsia" w:ascii="仿宋_GB2312" w:hAnsi="仿宋_GB2312" w:eastAsia="仿宋_GB2312" w:cs="仿宋_GB2312"/>
          <w:bCs/>
          <w:color w:val="000000"/>
          <w:sz w:val="32"/>
          <w:szCs w:val="32"/>
          <w:lang w:bidi="ar"/>
        </w:rPr>
        <w:t>年各小微园区共执行招商引资项目</w:t>
      </w:r>
      <w:r>
        <w:rPr>
          <w:rFonts w:eastAsia="仿宋_GB2312"/>
          <w:bCs/>
          <w:color w:val="000000"/>
          <w:sz w:val="32"/>
          <w:szCs w:val="32"/>
          <w:lang w:bidi="ar"/>
        </w:rPr>
        <w:t>12</w:t>
      </w:r>
      <w:r>
        <w:rPr>
          <w:rFonts w:hint="eastAsia" w:ascii="仿宋_GB2312" w:hAnsi="仿宋_GB2312" w:eastAsia="仿宋_GB2312" w:cs="仿宋_GB2312"/>
          <w:bCs/>
          <w:color w:val="000000"/>
          <w:sz w:val="32"/>
          <w:szCs w:val="32"/>
          <w:lang w:bidi="ar"/>
        </w:rPr>
        <w:t>个。</w:t>
      </w:r>
    </w:p>
    <w:p>
      <w:pPr>
        <w:snapToGrid w:val="0"/>
        <w:spacing w:line="560" w:lineRule="exact"/>
        <w:ind w:left="1368" w:hanging="720"/>
        <w:rPr>
          <w:rFonts w:hint="eastAsia" w:ascii="楷体" w:hAnsi="楷体" w:eastAsia="楷体" w:cs="楷体"/>
          <w:b/>
          <w:color w:val="000000" w:themeColor="text1"/>
          <w:sz w:val="32"/>
          <w:szCs w:val="32"/>
          <w:lang w:bidi="ar"/>
          <w14:textFill>
            <w14:solidFill>
              <w14:schemeClr w14:val="tx1"/>
            </w14:solidFill>
          </w14:textFill>
        </w:rPr>
      </w:pPr>
      <w:r>
        <w:rPr>
          <w:rFonts w:hint="eastAsia" w:eastAsia="楷体" w:cs="楷体"/>
          <w:b/>
          <w:color w:val="000000" w:themeColor="text1"/>
          <w:sz w:val="32"/>
          <w:szCs w:val="32"/>
          <w:lang w:bidi="ar"/>
          <w14:textFill>
            <w14:solidFill>
              <w14:schemeClr w14:val="tx1"/>
            </w14:solidFill>
          </w14:textFill>
        </w:rPr>
        <w:t>4</w:t>
      </w:r>
      <w:r>
        <w:rPr>
          <w:rFonts w:hint="eastAsia" w:ascii="楷体" w:hAnsi="楷体" w:eastAsia="楷体" w:cs="楷体"/>
          <w:b/>
          <w:color w:val="000000" w:themeColor="text1"/>
          <w:sz w:val="32"/>
          <w:szCs w:val="32"/>
          <w:lang w:bidi="ar"/>
          <w14:textFill>
            <w14:solidFill>
              <w14:schemeClr w14:val="tx1"/>
            </w14:solidFill>
          </w14:textFill>
        </w:rPr>
        <w:t>.</w:t>
      </w:r>
      <w:r>
        <w:rPr>
          <w:rFonts w:ascii="楷体" w:hAnsi="楷体" w:eastAsia="楷体" w:cs="楷体"/>
          <w:b/>
          <w:color w:val="000000" w:themeColor="text1"/>
          <w:sz w:val="32"/>
          <w:szCs w:val="32"/>
          <w:lang w:bidi="ar"/>
          <w14:textFill>
            <w14:solidFill>
              <w14:schemeClr w14:val="tx1"/>
            </w14:solidFill>
          </w14:textFill>
        </w:rPr>
        <w:t>社会效益</w:t>
      </w:r>
      <w:r>
        <w:rPr>
          <w:rFonts w:hint="eastAsia" w:ascii="楷体" w:hAnsi="楷体" w:eastAsia="楷体" w:cs="楷体"/>
          <w:b/>
          <w:color w:val="000000" w:themeColor="text1"/>
          <w:sz w:val="32"/>
          <w:szCs w:val="32"/>
          <w:lang w:bidi="ar"/>
          <w14:textFill>
            <w14:solidFill>
              <w14:schemeClr w14:val="tx1"/>
            </w14:solidFill>
          </w14:textFill>
        </w:rPr>
        <w:t>：本单位未涉及本条指标</w:t>
      </w:r>
    </w:p>
    <w:p>
      <w:pPr>
        <w:snapToGrid w:val="0"/>
        <w:spacing w:line="560" w:lineRule="exact"/>
        <w:ind w:left="1368" w:hanging="720"/>
        <w:rPr>
          <w:rFonts w:hint="eastAsia" w:ascii="楷体" w:hAnsi="楷体" w:eastAsia="楷体" w:cs="楷体"/>
          <w:b/>
          <w:color w:val="000000" w:themeColor="text1"/>
          <w:sz w:val="32"/>
          <w:szCs w:val="32"/>
          <w:lang w:bidi="ar"/>
          <w14:textFill>
            <w14:solidFill>
              <w14:schemeClr w14:val="tx1"/>
            </w14:solidFill>
          </w14:textFill>
        </w:rPr>
      </w:pPr>
      <w:r>
        <w:rPr>
          <w:rFonts w:hint="eastAsia" w:eastAsia="楷体" w:cs="楷体"/>
          <w:b/>
          <w:color w:val="000000" w:themeColor="text1"/>
          <w:sz w:val="32"/>
          <w:szCs w:val="32"/>
          <w:lang w:bidi="ar"/>
          <w14:textFill>
            <w14:solidFill>
              <w14:schemeClr w14:val="tx1"/>
            </w14:solidFill>
          </w14:textFill>
        </w:rPr>
        <w:t>5</w:t>
      </w:r>
      <w:r>
        <w:rPr>
          <w:rFonts w:hint="eastAsia" w:ascii="楷体" w:hAnsi="楷体" w:eastAsia="楷体" w:cs="楷体"/>
          <w:b/>
          <w:color w:val="000000" w:themeColor="text1"/>
          <w:sz w:val="32"/>
          <w:szCs w:val="32"/>
          <w:lang w:bidi="ar"/>
          <w14:textFill>
            <w14:solidFill>
              <w14:schemeClr w14:val="tx1"/>
            </w14:solidFill>
          </w14:textFill>
        </w:rPr>
        <w:t>.</w:t>
      </w:r>
      <w:r>
        <w:rPr>
          <w:rFonts w:ascii="楷体" w:hAnsi="楷体" w:eastAsia="楷体" w:cs="楷体"/>
          <w:b/>
          <w:color w:val="000000" w:themeColor="text1"/>
          <w:sz w:val="32"/>
          <w:szCs w:val="32"/>
          <w:lang w:bidi="ar"/>
          <w14:textFill>
            <w14:solidFill>
              <w14:schemeClr w14:val="tx1"/>
            </w14:solidFill>
          </w14:textFill>
        </w:rPr>
        <w:t>可持续发展能力</w:t>
      </w:r>
      <w:r>
        <w:rPr>
          <w:rFonts w:hint="eastAsia" w:ascii="楷体" w:hAnsi="楷体" w:eastAsia="楷体" w:cs="楷体"/>
          <w:b/>
          <w:color w:val="000000" w:themeColor="text1"/>
          <w:sz w:val="32"/>
          <w:szCs w:val="32"/>
          <w:lang w:bidi="ar"/>
          <w14:textFill>
            <w14:solidFill>
              <w14:schemeClr w14:val="tx1"/>
            </w14:solidFill>
          </w14:textFill>
        </w:rPr>
        <w:t>：本单位未涉及本条指标</w:t>
      </w:r>
    </w:p>
    <w:p>
      <w:pPr>
        <w:snapToGrid w:val="0"/>
        <w:spacing w:line="560" w:lineRule="exact"/>
        <w:ind w:left="1368" w:hanging="720"/>
        <w:rPr>
          <w:rFonts w:hint="eastAsia" w:ascii="楷体" w:hAnsi="楷体" w:eastAsia="楷体" w:cs="楷体"/>
          <w:b/>
          <w:color w:val="FF0000"/>
          <w:sz w:val="32"/>
          <w:szCs w:val="32"/>
          <w:lang w:bidi="ar"/>
        </w:rPr>
      </w:pPr>
      <w:r>
        <w:rPr>
          <w:rFonts w:hint="eastAsia" w:eastAsia="楷体" w:cs="楷体"/>
          <w:b/>
          <w:color w:val="000000" w:themeColor="text1"/>
          <w:sz w:val="32"/>
          <w:szCs w:val="32"/>
          <w:lang w:bidi="ar"/>
          <w14:textFill>
            <w14:solidFill>
              <w14:schemeClr w14:val="tx1"/>
            </w14:solidFill>
          </w14:textFill>
        </w:rPr>
        <w:t>6</w:t>
      </w:r>
      <w:r>
        <w:rPr>
          <w:rFonts w:hint="eastAsia" w:ascii="楷体" w:hAnsi="楷体" w:eastAsia="楷体" w:cs="楷体"/>
          <w:b/>
          <w:color w:val="000000" w:themeColor="text1"/>
          <w:sz w:val="32"/>
          <w:szCs w:val="32"/>
          <w:lang w:bidi="ar"/>
          <w14:textFill>
            <w14:solidFill>
              <w14:schemeClr w14:val="tx1"/>
            </w14:solidFill>
          </w14:textFill>
        </w:rPr>
        <w:t>.</w:t>
      </w:r>
      <w:r>
        <w:rPr>
          <w:rFonts w:ascii="楷体" w:hAnsi="楷体" w:eastAsia="楷体" w:cs="楷体"/>
          <w:b/>
          <w:color w:val="000000" w:themeColor="text1"/>
          <w:sz w:val="32"/>
          <w:szCs w:val="32"/>
          <w:lang w:bidi="ar"/>
          <w14:textFill>
            <w14:solidFill>
              <w14:schemeClr w14:val="tx1"/>
            </w14:solidFill>
          </w14:textFill>
        </w:rPr>
        <w:t>服务对象满意度</w:t>
      </w:r>
      <w:r>
        <w:rPr>
          <w:rFonts w:hint="eastAsia" w:ascii="楷体" w:hAnsi="楷体" w:eastAsia="楷体" w:cs="楷体"/>
          <w:b/>
          <w:color w:val="000000" w:themeColor="text1"/>
          <w:sz w:val="32"/>
          <w:szCs w:val="32"/>
          <w:lang w:bidi="ar"/>
          <w14:textFill>
            <w14:solidFill>
              <w14:schemeClr w14:val="tx1"/>
            </w14:solidFill>
          </w14:textFill>
        </w:rPr>
        <w:t>：本单位未涉及本条指标</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20" w:name="_Toc7253"/>
      <w:r>
        <w:rPr>
          <w:rFonts w:hint="eastAsia" w:ascii="黑体" w:hAnsi="黑体" w:eastAsia="黑体" w:cs="宋体"/>
          <w:bCs/>
          <w:color w:val="333333"/>
          <w:sz w:val="32"/>
          <w:szCs w:val="32"/>
          <w:lang w:bidi="ar"/>
        </w:rPr>
        <w:t>四、评价结论</w:t>
      </w:r>
      <w:bookmarkEnd w:id="20"/>
    </w:p>
    <w:p>
      <w:pPr>
        <w:spacing w:line="560" w:lineRule="exact"/>
        <w:ind w:firstLine="564" w:firstLineChars="181"/>
        <w:rPr>
          <w:rStyle w:val="6"/>
          <w:rFonts w:hint="eastAsia" w:ascii="仿宋_GB2312" w:hAnsi="楷体" w:eastAsia="仿宋_GB2312"/>
          <w:b w:val="0"/>
          <w:spacing w:val="-4"/>
          <w:sz w:val="32"/>
          <w:szCs w:val="32"/>
        </w:rPr>
      </w:pPr>
      <w:r>
        <w:rPr>
          <w:rStyle w:val="6"/>
          <w:rFonts w:eastAsia="仿宋_GB2312"/>
          <w:b w:val="0"/>
          <w:spacing w:val="-4"/>
          <w:sz w:val="32"/>
          <w:szCs w:val="32"/>
        </w:rPr>
        <w:t>2024</w:t>
      </w:r>
      <w:r>
        <w:rPr>
          <w:rStyle w:val="6"/>
          <w:rFonts w:hint="eastAsia" w:ascii="仿宋_GB2312" w:hAnsi="楷体" w:eastAsia="仿宋_GB2312"/>
          <w:b w:val="0"/>
          <w:spacing w:val="-4"/>
          <w:sz w:val="32"/>
          <w:szCs w:val="32"/>
        </w:rPr>
        <w:t>年度部门整体支出绩效评价综合得分</w:t>
      </w:r>
      <w:r>
        <w:rPr>
          <w:rStyle w:val="6"/>
          <w:rFonts w:eastAsia="仿宋_GB2312"/>
          <w:b w:val="0"/>
          <w:spacing w:val="-4"/>
          <w:sz w:val="32"/>
          <w:szCs w:val="32"/>
        </w:rPr>
        <w:t>98</w:t>
      </w:r>
      <w:r>
        <w:rPr>
          <w:rStyle w:val="6"/>
          <w:rFonts w:hint="eastAsia" w:ascii="仿宋_GB2312" w:hAnsi="楷体" w:eastAsia="仿宋_GB2312"/>
          <w:b w:val="0"/>
          <w:spacing w:val="-4"/>
          <w:sz w:val="32"/>
          <w:szCs w:val="32"/>
        </w:rPr>
        <w:t>分，评价结果为“优”。</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21" w:name="_Toc12815"/>
      <w:r>
        <w:rPr>
          <w:rFonts w:hint="eastAsia" w:ascii="黑体" w:hAnsi="黑体" w:eastAsia="黑体" w:cs="宋体"/>
          <w:bCs/>
          <w:color w:val="333333"/>
          <w:sz w:val="32"/>
          <w:szCs w:val="32"/>
          <w:lang w:bidi="ar"/>
        </w:rPr>
        <w:t>五</w:t>
      </w:r>
      <w:r>
        <w:rPr>
          <w:rFonts w:ascii="黑体" w:hAnsi="黑体" w:eastAsia="黑体" w:cs="宋体"/>
          <w:bCs/>
          <w:color w:val="333333"/>
          <w:sz w:val="32"/>
          <w:szCs w:val="32"/>
          <w:lang w:bidi="ar"/>
        </w:rPr>
        <w:t>、</w:t>
      </w:r>
      <w:r>
        <w:rPr>
          <w:rFonts w:hint="eastAsia" w:ascii="黑体" w:hAnsi="黑体" w:eastAsia="黑体" w:cs="宋体"/>
          <w:bCs/>
          <w:color w:val="333333"/>
          <w:sz w:val="32"/>
          <w:szCs w:val="32"/>
          <w:lang w:bidi="ar"/>
        </w:rPr>
        <w:t>存在的主要问题</w:t>
      </w:r>
      <w:bookmarkEnd w:id="21"/>
    </w:p>
    <w:p>
      <w:pPr>
        <w:widowControl/>
        <w:spacing w:line="560" w:lineRule="exact"/>
        <w:ind w:firstLine="640" w:firstLineChars="200"/>
        <w:jc w:val="left"/>
        <w:rPr>
          <w:rFonts w:hint="eastAsia"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我单位部分绩效指标设置存在不够精简、指标数据无法统计和指标值设置过低等问题，部分项目绩效指标值设定为定性的指标，指标设置的科学性、合理性有待进一步提高。</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22" w:name="_Toc31536"/>
      <w:r>
        <w:rPr>
          <w:rFonts w:hint="eastAsia" w:ascii="黑体" w:hAnsi="黑体" w:eastAsia="黑体" w:cs="宋体"/>
          <w:bCs/>
          <w:color w:val="333333"/>
          <w:sz w:val="32"/>
          <w:szCs w:val="32"/>
          <w:lang w:bidi="ar"/>
        </w:rPr>
        <w:t>六</w:t>
      </w:r>
      <w:r>
        <w:rPr>
          <w:rFonts w:ascii="黑体" w:hAnsi="黑体" w:eastAsia="黑体" w:cs="宋体"/>
          <w:bCs/>
          <w:color w:val="333333"/>
          <w:sz w:val="32"/>
          <w:szCs w:val="32"/>
          <w:lang w:bidi="ar"/>
        </w:rPr>
        <w:t>、</w:t>
      </w:r>
      <w:r>
        <w:rPr>
          <w:rFonts w:hint="eastAsia" w:ascii="黑体" w:hAnsi="黑体" w:eastAsia="黑体" w:cs="宋体"/>
          <w:bCs/>
          <w:color w:val="333333"/>
          <w:sz w:val="32"/>
          <w:szCs w:val="32"/>
          <w:lang w:bidi="ar"/>
        </w:rPr>
        <w:t>改进措施和建议</w:t>
      </w:r>
      <w:bookmarkEnd w:id="22"/>
    </w:p>
    <w:p>
      <w:pPr>
        <w:widowControl/>
        <w:spacing w:line="560" w:lineRule="exact"/>
        <w:ind w:firstLine="643" w:firstLineChars="200"/>
        <w:jc w:val="left"/>
        <w:outlineLvl w:val="1"/>
        <w:rPr>
          <w:rFonts w:hint="eastAsia" w:ascii="楷体" w:hAnsi="楷体" w:eastAsia="楷体" w:cs="楷体"/>
          <w:b/>
          <w:color w:val="000000"/>
          <w:sz w:val="32"/>
          <w:szCs w:val="32"/>
          <w:lang w:bidi="ar"/>
        </w:rPr>
      </w:pPr>
      <w:bookmarkStart w:id="23" w:name="_Toc24446"/>
      <w:r>
        <w:rPr>
          <w:rFonts w:hint="eastAsia" w:ascii="楷体" w:hAnsi="楷体" w:eastAsia="楷体" w:cs="楷体"/>
          <w:b/>
          <w:color w:val="000000"/>
          <w:sz w:val="32"/>
          <w:szCs w:val="32"/>
          <w:lang w:bidi="ar"/>
        </w:rPr>
        <w:t>（一）强化部门绩效管理体系建设</w:t>
      </w:r>
      <w:bookmarkEnd w:id="23"/>
    </w:p>
    <w:p>
      <w:pPr>
        <w:widowControl/>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一是建议以规章规则的形式，出台绩效管理制度，对绩效管理的目的、意义、性质和特点，以及组织实施绩效管理的程序、步骤、方法、原则和要求进行统一的规定。二是合理设置年度任务。提高各处室对部门中长期规划的重视程度，增强相关规划的落地性、导向性。三是探索符合部门工作特点的评价指标体系。在设定绩效目标时选取相关性强的量化指标，并注重选取符合实际工作情况的指标值。</w:t>
      </w:r>
    </w:p>
    <w:p>
      <w:pPr>
        <w:pStyle w:val="8"/>
        <w:snapToGrid w:val="0"/>
        <w:spacing w:line="560" w:lineRule="exact"/>
        <w:ind w:left="1360" w:hanging="720" w:firstLineChars="0"/>
        <w:outlineLvl w:val="0"/>
        <w:rPr>
          <w:rStyle w:val="6"/>
          <w:rFonts w:hint="eastAsia" w:ascii="仿宋_GB2312" w:hAnsi="仿宋" w:eastAsia="仿宋_GB2312"/>
          <w:b w:val="0"/>
          <w:spacing w:val="-4"/>
          <w:sz w:val="32"/>
          <w:szCs w:val="32"/>
        </w:rPr>
      </w:pPr>
      <w:bookmarkStart w:id="24" w:name="_Toc26203"/>
      <w:r>
        <w:rPr>
          <w:rFonts w:hint="eastAsia" w:ascii="黑体" w:hAnsi="黑体" w:eastAsia="黑体"/>
          <w:bCs/>
          <w:spacing w:val="-4"/>
          <w:sz w:val="32"/>
          <w:szCs w:val="32"/>
        </w:rPr>
        <w:t>七</w:t>
      </w:r>
      <w:r>
        <w:rPr>
          <w:rFonts w:ascii="黑体" w:hAnsi="黑体" w:eastAsia="黑体"/>
          <w:bCs/>
          <w:spacing w:val="-4"/>
          <w:sz w:val="32"/>
          <w:szCs w:val="32"/>
        </w:rPr>
        <w:t>、</w:t>
      </w:r>
      <w:r>
        <w:rPr>
          <w:rStyle w:val="6"/>
          <w:rFonts w:hint="eastAsia" w:ascii="黑体" w:hAnsi="黑体" w:eastAsia="黑体"/>
          <w:b w:val="0"/>
          <w:bCs w:val="0"/>
          <w:spacing w:val="-4"/>
          <w:sz w:val="32"/>
          <w:szCs w:val="32"/>
        </w:rPr>
        <w:t>附表：</w:t>
      </w:r>
      <w:r>
        <w:rPr>
          <w:rStyle w:val="6"/>
          <w:rFonts w:hint="eastAsia" w:ascii="仿宋_GB2312" w:hAnsi="仿宋" w:eastAsia="仿宋_GB2312"/>
          <w:b w:val="0"/>
          <w:spacing w:val="-4"/>
          <w:sz w:val="32"/>
          <w:szCs w:val="32"/>
        </w:rPr>
        <w:t>《</w:t>
      </w:r>
      <w:r>
        <w:rPr>
          <w:rStyle w:val="6"/>
          <w:rFonts w:hint="eastAsia" w:ascii="仿宋_GB2312" w:hAnsi="楷体" w:eastAsia="仿宋_GB2312"/>
          <w:b w:val="0"/>
          <w:bCs w:val="0"/>
          <w:spacing w:val="-4"/>
          <w:sz w:val="32"/>
          <w:szCs w:val="32"/>
        </w:rPr>
        <w:t>部门整体支出绩效目标自评表</w:t>
      </w:r>
      <w:r>
        <w:rPr>
          <w:rStyle w:val="6"/>
          <w:rFonts w:hint="eastAsia" w:ascii="仿宋_GB2312" w:hAnsi="仿宋" w:eastAsia="仿宋_GB2312"/>
          <w:b w:val="0"/>
          <w:spacing w:val="-4"/>
          <w:sz w:val="32"/>
          <w:szCs w:val="32"/>
        </w:rPr>
        <w:t>》</w:t>
      </w:r>
      <w:bookmarkEnd w:id="24"/>
    </w:p>
    <w:p>
      <w:pPr>
        <w:spacing w:line="540" w:lineRule="exact"/>
        <w:rPr>
          <w:rFonts w:hint="eastAsia" w:ascii="仿宋_GB2312" w:hAnsi="楷体" w:eastAsia="仿宋_GB2312"/>
          <w:b/>
          <w:spacing w:val="-4"/>
          <w:sz w:val="32"/>
          <w:szCs w:val="32"/>
        </w:rPr>
      </w:pPr>
    </w:p>
    <w:tbl>
      <w:tblPr>
        <w:tblStyle w:val="4"/>
        <w:tblW w:w="9210" w:type="dxa"/>
        <w:tblInd w:w="0" w:type="dxa"/>
        <w:shd w:val="clear" w:color="auto" w:fill="auto"/>
        <w:tblLayout w:type="fixed"/>
        <w:tblCellMar>
          <w:top w:w="0" w:type="dxa"/>
          <w:left w:w="0" w:type="dxa"/>
          <w:bottom w:w="0" w:type="dxa"/>
          <w:right w:w="0" w:type="dxa"/>
        </w:tblCellMar>
      </w:tblPr>
      <w:tblGrid>
        <w:gridCol w:w="1476"/>
        <w:gridCol w:w="1479"/>
        <w:gridCol w:w="1588"/>
        <w:gridCol w:w="1087"/>
        <w:gridCol w:w="1773"/>
        <w:gridCol w:w="518"/>
        <w:gridCol w:w="918"/>
        <w:gridCol w:w="371"/>
      </w:tblGrid>
      <w:tr>
        <w:tblPrEx>
          <w:tblCellMar>
            <w:top w:w="0" w:type="dxa"/>
            <w:left w:w="0" w:type="dxa"/>
            <w:bottom w:w="0" w:type="dxa"/>
            <w:right w:w="0" w:type="dxa"/>
          </w:tblCellMar>
        </w:tblPrEx>
        <w:trPr>
          <w:trHeight w:val="522" w:hRule="atLeast"/>
        </w:trPr>
        <w:tc>
          <w:tcPr>
            <w:tcW w:w="921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部门（单位）整体支出绩效目标自评表</w:t>
            </w:r>
          </w:p>
        </w:tc>
      </w:tr>
      <w:tr>
        <w:tblPrEx>
          <w:shd w:val="clear" w:color="auto" w:fill="auto"/>
          <w:tblCellMar>
            <w:top w:w="0" w:type="dxa"/>
            <w:left w:w="0" w:type="dxa"/>
            <w:bottom w:w="0" w:type="dxa"/>
            <w:right w:w="0" w:type="dxa"/>
          </w:tblCellMar>
        </w:tblPrEx>
        <w:trPr>
          <w:trHeight w:val="360" w:hRule="atLeast"/>
        </w:trPr>
        <w:tc>
          <w:tcPr>
            <w:tcW w:w="921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(2024年度)</w:t>
            </w:r>
          </w:p>
        </w:tc>
      </w:tr>
      <w:tr>
        <w:tblPrEx>
          <w:shd w:val="clear" w:color="auto" w:fill="auto"/>
          <w:tblCellMar>
            <w:top w:w="0" w:type="dxa"/>
            <w:left w:w="0" w:type="dxa"/>
            <w:bottom w:w="0" w:type="dxa"/>
            <w:right w:w="0" w:type="dxa"/>
          </w:tblCellMar>
        </w:tblPrEx>
        <w:trPr>
          <w:trHeight w:val="660"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部门（单位）名称</w:t>
            </w:r>
          </w:p>
        </w:tc>
        <w:tc>
          <w:tcPr>
            <w:tcW w:w="773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特克斯县现代农业生态示范园区管理委员会</w:t>
            </w:r>
          </w:p>
        </w:tc>
      </w:tr>
      <w:tr>
        <w:tblPrEx>
          <w:shd w:val="clear" w:color="auto" w:fill="auto"/>
          <w:tblCellMar>
            <w:top w:w="0" w:type="dxa"/>
            <w:left w:w="0" w:type="dxa"/>
            <w:bottom w:w="0" w:type="dxa"/>
            <w:right w:w="0" w:type="dxa"/>
          </w:tblCellMar>
        </w:tblPrEx>
        <w:trPr>
          <w:trHeight w:val="570" w:hRule="atLeast"/>
        </w:trPr>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部门资金（万元）</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资金来源</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全年预算数</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全年执行数</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分值权重</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执行率</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年度总资金</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190.29</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313.67</w:t>
            </w: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313.67</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w:t>
            </w:r>
          </w:p>
        </w:tc>
        <w:tc>
          <w:tcPr>
            <w:tcW w:w="9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w:t>
            </w:r>
          </w:p>
        </w:tc>
      </w:tr>
      <w:tr>
        <w:tblPrEx>
          <w:shd w:val="clear" w:color="auto" w:fill="auto"/>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上级资金：</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本级资金：</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190.29</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313.67</w:t>
            </w: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313.67</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7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705" w:hRule="atLeast"/>
        </w:trPr>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年度总体目标</w:t>
            </w:r>
          </w:p>
        </w:tc>
        <w:tc>
          <w:tcPr>
            <w:tcW w:w="4154"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预期目标</w:t>
            </w:r>
          </w:p>
        </w:tc>
        <w:tc>
          <w:tcPr>
            <w:tcW w:w="3580"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实际完成情况</w:t>
            </w:r>
          </w:p>
        </w:tc>
      </w:tr>
      <w:tr>
        <w:tblPrEx>
          <w:shd w:val="clear" w:color="auto" w:fill="auto"/>
          <w:tblCellMar>
            <w:top w:w="0" w:type="dxa"/>
            <w:left w:w="0" w:type="dxa"/>
            <w:bottom w:w="0" w:type="dxa"/>
            <w:right w:w="0" w:type="dxa"/>
          </w:tblCellMar>
        </w:tblPrEx>
        <w:trPr>
          <w:trHeight w:val="199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41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是园区建设由基础设施建设为重点向基础建设、产业发展两个中心转移的关键性一年，按照推进“5个拆迁重点、4个重点产业发展、3个基础建设重点、2个招商方向、1个物业管理”的思路要求开展工作，重点完成以下工作。计划完成固投2.9亿元（4.6亿项目包括综合服务中心、电力、排水、改水、绿化、监控等共计0.7亿元、黑小麦全产业链0.3亿元、众原0.7亿元，脱水蔬菜1.2亿元。计划完成总产值6.74亿元（其中众原1.2亿、脱水蔬菜1.5亿元、食用菌0.7亿元，黑小麦0.4亿元，设施农业0.7亿，畜牧园区1亿元，科润源0.5亿元，冷链0.5亿元，天山蜜源等其他企业0.34亿元）。</w:t>
            </w:r>
          </w:p>
        </w:tc>
        <w:tc>
          <w:tcPr>
            <w:tcW w:w="35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今年以来，特克斯县农业园区管委会坚持以习近平新时代中国特色社会主义思想为指导，全面贯落实党的二十大和二十届三中全会精神，紧紧围绕县委，县人民政府关于园区工作的部署要求，2024年个小微园区共计入住企业152家，其中：商贸、物流、房地产、建筑等各类企业62家，个体工商90家，预计完成总产值6.2亿元，提供间接或直接从业6000余人。2024年共计开展集中学习42次，支部委员会3次，召开党员大会13次，讲党课4次，观看警示教育片3场次，召开2024年度党风廉政建设和反腐败工作会议1次，结合单位工作实际，成立支部委员会新选出委员3名，发展入党积极分子1名。截止目前，综合服务中心，黑小麦加工厂房，脱水蔬菜成品库，园区市政基础设施建设已完成，鑫泽脱水蔬菜生产车间建设项目计划投资1亿元，10000平方米车间加工厂房建设已完成85%，设备安装完成100%，众原果业果品深加工项目3700平方米果品加工车间已建设完成。2024年，个小微园区共执行招商引资项目12个，预计完成招商引资到位资金4.44亿元。根据县委，县人民政府9月14日经济运行分析会议精神，9月27日县组织部先后从政府办、农业农村局、住建局等单位抽调8名干部加强园区工作力量。</w:t>
            </w:r>
          </w:p>
        </w:tc>
      </w:tr>
      <w:tr>
        <w:tblPrEx>
          <w:shd w:val="clear" w:color="auto" w:fill="auto"/>
          <w:tblCellMar>
            <w:top w:w="0" w:type="dxa"/>
            <w:left w:w="0" w:type="dxa"/>
            <w:bottom w:w="0" w:type="dxa"/>
            <w:right w:w="0" w:type="dxa"/>
          </w:tblCellMar>
        </w:tblPrEx>
        <w:trPr>
          <w:trHeight w:val="582"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4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预期指标值</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指标值设定依据</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分值权重</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实际完成指标值</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739" w:hRule="atLeast"/>
        </w:trPr>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履职效能</w:t>
            </w: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搬迁安置企业数</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&gt;=5个</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2023工作总结及2024年工作思路</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5个</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r>
        <w:tblPrEx>
          <w:shd w:val="clear" w:color="auto" w:fill="auto"/>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现代农业园区建设</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&gt;=4个</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2023年工作总结及2024年工作思路</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4个</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r>
        <w:tblPrEx>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成立园区物业管理公司</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=1家</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2023年工作总结及2024年工作思路</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1家</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r>
        <w:tblPrEx>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带动企业发展</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&gt;=4家</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2023年工作总结及20234年工作思路</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4家</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r>
        <w:tblPrEx>
          <w:shd w:val="clear" w:color="auto" w:fill="auto"/>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招商引资金额</w:t>
            </w: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&gt;=1亿</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2023年工作总结及2024年工作思路</w:t>
            </w:r>
          </w:p>
        </w:tc>
        <w:tc>
          <w:tcPr>
            <w:tcW w:w="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1亿</w:t>
            </w:r>
          </w:p>
        </w:tc>
        <w:tc>
          <w:tcPr>
            <w:tcW w:w="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bl>
    <w:p/>
    <w:p>
      <w:pPr>
        <w:pStyle w:val="2"/>
      </w:pPr>
    </w:p>
    <w:p>
      <w:pPr>
        <w:pStyle w:val="2"/>
      </w:pPr>
    </w:p>
    <w:p>
      <w:pPr>
        <w:kinsoku w:val="0"/>
        <w:overflowPunct w:val="0"/>
        <w:autoSpaceDE w:val="0"/>
        <w:autoSpaceDN w:val="0"/>
        <w:spacing w:line="560" w:lineRule="exact"/>
        <w:rPr>
          <w:rFonts w:ascii="仿宋_GB2312" w:eastAsia="仿宋_GB2312" w:cs="仿宋_GB2312"/>
          <w:spacing w:val="5"/>
          <w:sz w:val="32"/>
          <w:szCs w:val="32"/>
        </w:rPr>
      </w:pPr>
    </w:p>
    <w:sectPr>
      <w:pgSz w:w="11906" w:h="16838"/>
      <w:pgMar w:top="2098" w:right="1531" w:bottom="1984"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6B3BD6"/>
    <w:rsid w:val="000A0830"/>
    <w:rsid w:val="002D70AB"/>
    <w:rsid w:val="003051E3"/>
    <w:rsid w:val="0043103D"/>
    <w:rsid w:val="004A33F7"/>
    <w:rsid w:val="00504B7C"/>
    <w:rsid w:val="00670EA5"/>
    <w:rsid w:val="00704D5E"/>
    <w:rsid w:val="0076132B"/>
    <w:rsid w:val="008263CA"/>
    <w:rsid w:val="00937FEA"/>
    <w:rsid w:val="00A0589F"/>
    <w:rsid w:val="00A150F4"/>
    <w:rsid w:val="00A569A7"/>
    <w:rsid w:val="00A578BB"/>
    <w:rsid w:val="00A850E9"/>
    <w:rsid w:val="00AA0CC3"/>
    <w:rsid w:val="00BE779A"/>
    <w:rsid w:val="00CA6E41"/>
    <w:rsid w:val="00CF37D8"/>
    <w:rsid w:val="00E32800"/>
    <w:rsid w:val="00E565D3"/>
    <w:rsid w:val="029E18D4"/>
    <w:rsid w:val="039158E4"/>
    <w:rsid w:val="05A16D4A"/>
    <w:rsid w:val="09922B6A"/>
    <w:rsid w:val="0E401AB0"/>
    <w:rsid w:val="0F4920A4"/>
    <w:rsid w:val="0F914696"/>
    <w:rsid w:val="0FAC4347"/>
    <w:rsid w:val="10DD7F3C"/>
    <w:rsid w:val="14C64FA3"/>
    <w:rsid w:val="14E632DA"/>
    <w:rsid w:val="16ED26D7"/>
    <w:rsid w:val="183F64D4"/>
    <w:rsid w:val="1AB64F83"/>
    <w:rsid w:val="1CDC748F"/>
    <w:rsid w:val="1DE32ADC"/>
    <w:rsid w:val="20776154"/>
    <w:rsid w:val="20A7726E"/>
    <w:rsid w:val="24AB20E3"/>
    <w:rsid w:val="264B61DF"/>
    <w:rsid w:val="270046AC"/>
    <w:rsid w:val="271D2CEB"/>
    <w:rsid w:val="28490946"/>
    <w:rsid w:val="2AB234D0"/>
    <w:rsid w:val="2C4677AE"/>
    <w:rsid w:val="2ECB6F44"/>
    <w:rsid w:val="3137414F"/>
    <w:rsid w:val="314E3FDB"/>
    <w:rsid w:val="3A341AD7"/>
    <w:rsid w:val="3ACB4F85"/>
    <w:rsid w:val="3E59645B"/>
    <w:rsid w:val="3E8B6A35"/>
    <w:rsid w:val="429E222F"/>
    <w:rsid w:val="42B97B18"/>
    <w:rsid w:val="43357016"/>
    <w:rsid w:val="435361AA"/>
    <w:rsid w:val="44BB5A34"/>
    <w:rsid w:val="48823D50"/>
    <w:rsid w:val="48E33EB8"/>
    <w:rsid w:val="4BBE21AF"/>
    <w:rsid w:val="4C137A41"/>
    <w:rsid w:val="4D480957"/>
    <w:rsid w:val="506F6AE1"/>
    <w:rsid w:val="52A87C34"/>
    <w:rsid w:val="53741388"/>
    <w:rsid w:val="551A792E"/>
    <w:rsid w:val="5AEE543B"/>
    <w:rsid w:val="5C3B6762"/>
    <w:rsid w:val="636B3BD6"/>
    <w:rsid w:val="646B2C6D"/>
    <w:rsid w:val="64956F52"/>
    <w:rsid w:val="65763686"/>
    <w:rsid w:val="67205EBA"/>
    <w:rsid w:val="672243DC"/>
    <w:rsid w:val="672B5135"/>
    <w:rsid w:val="6A1B5BFB"/>
    <w:rsid w:val="6A3E362D"/>
    <w:rsid w:val="6AAE3893"/>
    <w:rsid w:val="6B8635CF"/>
    <w:rsid w:val="6CD740ED"/>
    <w:rsid w:val="77445FBB"/>
    <w:rsid w:val="79F1109C"/>
    <w:rsid w:val="7C5C703D"/>
    <w:rsid w:val="7E6C0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0"/>
    </w:pPr>
    <w:rPr>
      <w:rFonts w:hint="eastAsia" w:ascii="仿宋" w:hAnsi="仿宋" w:eastAsia="仿宋"/>
      <w:sz w:val="31"/>
      <w:szCs w:val="31"/>
    </w:rPr>
  </w:style>
  <w:style w:type="character" w:styleId="6">
    <w:name w:val="Strong"/>
    <w:basedOn w:val="5"/>
    <w:qFormat/>
    <w:uiPriority w:val="0"/>
    <w:rPr>
      <w:b/>
      <w:bCs/>
    </w:rPr>
  </w:style>
  <w:style w:type="paragraph" w:customStyle="1" w:styleId="7">
    <w:name w:val="无间隔1"/>
    <w:qFormat/>
    <w:uiPriority w:val="1"/>
    <w:pPr>
      <w:widowControl w:val="0"/>
      <w:spacing w:after="160" w:line="660" w:lineRule="exact"/>
      <w:ind w:firstLine="560" w:firstLineChars="200"/>
    </w:pPr>
    <w:rPr>
      <w:rFonts w:ascii="仿宋_GB2312" w:hAnsi="Calibri" w:eastAsia="仿宋_GB2312" w:cs="Times New Roman"/>
      <w:kern w:val="10"/>
      <w:sz w:val="28"/>
      <w:szCs w:val="28"/>
      <w:lang w:val="en-US" w:eastAsia="zh-CN" w:bidi="en-US"/>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3491</Words>
  <Characters>3702</Characters>
  <Lines>185</Lines>
  <Paragraphs>104</Paragraphs>
  <TotalTime>10</TotalTime>
  <ScaleCrop>false</ScaleCrop>
  <LinksUpToDate>false</LinksUpToDate>
  <CharactersWithSpaces>7089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2025-04-21T04:54:00Z</dcterms:created>
  <dc:creator>Lenovo</dc:creator>
  <cp:lastModifiedBy>Administrator</cp:lastModifiedBy>
  <dcterms:modified xsi:type="dcterms:W3CDTF">2025-07-16T03:07:12Z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6F0543582BEE4FBCA5B6DA2AC3DDB00B</vt:lpwstr>
  </property>
</Properties>
</file>