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hint="eastAsia" w:ascii="方正小标宋简体" w:hAnsi="方正小标宋简体" w:eastAsia="方正小标宋简体" w:cs="方正小标宋简体"/>
          <w:b/>
          <w:kern w:val="0"/>
          <w:sz w:val="44"/>
          <w:szCs w:val="44"/>
        </w:rPr>
      </w:pPr>
      <w:r>
        <w:rPr>
          <w:rFonts w:hint="eastAsia" w:ascii="方正小标宋简体" w:hAnsi="方正小标宋简体" w:eastAsia="方正小标宋简体" w:cs="方正小标宋简体"/>
          <w:b/>
          <w:kern w:val="0"/>
          <w:sz w:val="44"/>
          <w:szCs w:val="44"/>
        </w:rPr>
        <w:t>特克斯县住房和城乡建设局整体支出绩效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简体" w:hAnsi="方正小标宋简体" w:eastAsia="方正小标宋简体" w:cs="方正小标宋简体"/>
          <w:b/>
          <w:kern w:val="0"/>
          <w:sz w:val="44"/>
          <w:szCs w:val="44"/>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 xml:space="preserve"> </w:t>
      </w:r>
      <w:r>
        <w:rPr>
          <w:rFonts w:hint="eastAsia" w:ascii="仿宋_GB2312" w:hAnsi="宋体" w:eastAsia="仿宋_GB2312"/>
          <w:b/>
          <w:sz w:val="32"/>
          <w:szCs w:val="32"/>
        </w:rPr>
        <w:t>2024</w:t>
      </w:r>
      <w:r>
        <w:rPr>
          <w:rFonts w:hint="eastAsia" w:ascii="仿宋_GB2312" w:hAnsi="宋体" w:eastAsia="仿宋_GB2312"/>
          <w:b/>
          <w:sz w:val="32"/>
          <w:szCs w:val="32"/>
          <w:lang w:val="en-US" w:eastAsia="zh-CN"/>
        </w:rPr>
        <w:t xml:space="preserve"> </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640" w:firstLineChars="200"/>
        <w:rPr>
          <w:rFonts w:hAnsi="宋体" w:eastAsia="仿宋_GB2312" w:cs="宋体"/>
          <w:kern w:val="0"/>
          <w:sz w:val="32"/>
          <w:szCs w:val="32"/>
        </w:rPr>
      </w:pPr>
      <w:r>
        <w:rPr>
          <w:rFonts w:hint="eastAsia" w:hAnsi="宋体" w:eastAsia="仿宋_GB2312" w:cs="宋体"/>
          <w:kern w:val="0"/>
          <w:sz w:val="32"/>
          <w:szCs w:val="32"/>
        </w:rPr>
        <w:t>部门单位名称（公章）</w:t>
      </w:r>
      <w:r>
        <w:rPr>
          <w:rFonts w:hint="eastAsia" w:ascii="仿宋" w:hAnsi="仿宋" w:eastAsia="仿宋" w:cs="仿宋"/>
          <w:kern w:val="0"/>
          <w:sz w:val="32"/>
          <w:szCs w:val="32"/>
        </w:rPr>
        <w:t>：</w:t>
      </w:r>
      <w:r>
        <w:rPr>
          <w:rStyle w:val="6"/>
          <w:rFonts w:hint="eastAsia" w:ascii="仿宋" w:hAnsi="仿宋" w:eastAsia="仿宋" w:cs="仿宋"/>
          <w:b w:val="0"/>
          <w:bCs w:val="0"/>
          <w:spacing w:val="-4"/>
          <w:sz w:val="32"/>
          <w:szCs w:val="32"/>
        </w:rPr>
        <w:t>特克斯县住房和城乡建设局</w:t>
      </w:r>
    </w:p>
    <w:p>
      <w:pPr>
        <w:spacing w:line="540" w:lineRule="exact"/>
        <w:ind w:firstLine="640" w:firstLineChars="200"/>
        <w:rPr>
          <w:rFonts w:ascii="仿宋" w:hAnsi="仿宋" w:eastAsia="仿宋" w:cs="仿宋"/>
          <w:kern w:val="0"/>
          <w:sz w:val="44"/>
          <w:szCs w:val="44"/>
        </w:rPr>
      </w:pPr>
      <w:r>
        <w:rPr>
          <w:rFonts w:hint="eastAsia" w:hAnsi="宋体" w:eastAsia="仿宋_GB2312" w:cs="宋体"/>
          <w:kern w:val="0"/>
          <w:sz w:val="32"/>
          <w:szCs w:val="32"/>
        </w:rPr>
        <w:t>填报时间：</w:t>
      </w:r>
      <w:r>
        <w:rPr>
          <w:rStyle w:val="6"/>
          <w:rFonts w:hint="eastAsia" w:ascii="仿宋" w:hAnsi="仿宋" w:eastAsia="仿宋" w:cs="仿宋"/>
          <w:b w:val="0"/>
          <w:bCs w:val="0"/>
          <w:spacing w:val="-4"/>
          <w:sz w:val="32"/>
          <w:szCs w:val="32"/>
        </w:rPr>
        <w:t>2025年04月07日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numId w:val="0"/>
        </w:numPr>
        <w:snapToGrid w:val="0"/>
        <w:spacing w:line="540" w:lineRule="exact"/>
        <w:ind w:left="648" w:leftChars="0"/>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一、</w:t>
      </w: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楷体_GB2312" w:hAnsi="楷体_GB2312" w:eastAsia="楷体_GB2312" w:cs="楷体_GB2312"/>
          <w:b/>
          <w:bCs/>
          <w:color w:val="333333"/>
          <w:sz w:val="32"/>
          <w:szCs w:val="32"/>
        </w:rPr>
      </w:pPr>
      <w:r>
        <w:rPr>
          <w:rFonts w:hint="eastAsia" w:ascii="楷体_GB2312" w:hAnsi="楷体_GB2312" w:eastAsia="楷体_GB2312" w:cs="楷体_GB2312"/>
          <w:b/>
          <w:color w:val="000000" w:themeColor="text1"/>
          <w:sz w:val="32"/>
          <w:szCs w:val="32"/>
          <w:lang w:bidi="ar"/>
          <w14:textFill>
            <w14:solidFill>
              <w14:schemeClr w14:val="tx1"/>
            </w14:solidFill>
          </w14:textFill>
        </w:rPr>
        <w:t>（一）部门单位基本情况</w:t>
      </w:r>
      <w:r>
        <w:rPr>
          <w:rFonts w:hint="eastAsia" w:ascii="楷体_GB2312" w:hAnsi="楷体_GB2312" w:eastAsia="楷体_GB2312" w:cs="楷体_GB2312"/>
          <w:b/>
          <w:bCs/>
          <w:color w:val="333333"/>
          <w:sz w:val="32"/>
          <w:szCs w:val="32"/>
        </w:rPr>
        <w:t>：</w:t>
      </w:r>
    </w:p>
    <w:p>
      <w:pPr>
        <w:spacing w:line="600" w:lineRule="exact"/>
        <w:jc w:val="left"/>
        <w:rPr>
          <w:rFonts w:hint="eastAsia" w:ascii="仿宋_GB2312" w:hAnsi="宋体"/>
          <w:bCs/>
          <w:sz w:val="32"/>
          <w:szCs w:val="32"/>
          <w:lang w:eastAsia="zh-CN"/>
        </w:rPr>
      </w:pPr>
      <w:r>
        <w:rPr>
          <w:rFonts w:hint="eastAsia" w:ascii="仿宋_GB2312" w:hAnsi="宋体" w:eastAsia="仿宋_GB2312"/>
          <w:bCs/>
          <w:sz w:val="32"/>
          <w:szCs w:val="32"/>
        </w:rPr>
        <w:t>1.承担保障城镇低收入家庭住房的责任；拟订住房保障 相关政策并指导实施；拟定保障性住房规划及政策，会同有关部门做好国家、自治区、自治州和特克斯县有关保障性住房资金安排工作，监督组织实施；编制住房保障发展规划和 年度计划并监督实施</w:t>
      </w:r>
      <w:r>
        <w:rPr>
          <w:rFonts w:hint="eastAsia" w:ascii="仿宋_GB2312" w:hAnsi="宋体"/>
          <w:bCs/>
          <w:sz w:val="32"/>
          <w:szCs w:val="32"/>
          <w:lang w:eastAsia="zh-CN"/>
        </w:rPr>
        <w:t>。</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2.推进住房制度改革；拟订适合县情的住房政策，指导住房建设和住房制度改革，拟订住房建设规划并指导实施。</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3.规范住房和城乡建设管理秩序；拟订住房和城乡建设行业发展战略和中长期规划，提出住房和城乡建设重大问题的政策建议；制定相关规范性文件并组织监督实施。</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4.贯彻落实自治区住房和城乡建设地方性标准，执行自治区工程建设统一定额、投资估算以及关于工程造价管理的制度和规定，对工程建设标准、定额和工程造价管理办法的执行情况进行监督检查；指导监督各类工程建设标准定额实施和工程造价计价，组织发布工程造价信息。</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5.规范房地产市场秩序，监督管理房地产市场。会同或 配合有关部门组织拟订房地产市场监管政策并监督执行；指导城镇土地使用权有偿转让和开发利用工作；提出房地产业 发展规划和产业政策。</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6.监督管理建筑市场，规范各方主体行为；拟订工程建设、建筑业、勘察设计咨询业的行业发展战略、中长期规划、改革方案、产业政策并监督执行；组织实施房屋建筑和市政 工程项目招投标活动的监督执法；负责勘察、设计、施工、工程监理法律法规规章执行的监督指导；负责散装水泥、特 克斯县墙体材料革新监督指导等工作。</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7.拟订城市建设的政策、规划并指导实施；负责市政公用事业特许经营、供排水、供气、供热和市容环境卫生、园林绿化法律法规规章执行的监督指导；指导城市市政公用设 施建设、安全和应急管理；会同文物主管部门负责历史文化名城（镇、村）的保护和监督管理有关工作。</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8.规范和指导村镇建设；拟订村庄和小城镇建设政策并指导实施，指导农村住房建设、住房安全和危房改造及农村安居工程，指导村庄和小城镇人居生态环境的改善工作，指 导各级重点（示范）镇的建设。</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9.承担建筑工程质量安全监管的责任；负责建筑工程质量、建筑安全生产和竣工验收备案的法律法规规章执行的监督指导，组织或参与工程重大质量、安全事故的调查处理，贯彻执行自治区建筑业、工程勘察设计咨询业的技术政策并指导实施。</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10.综合管理城乡建设抗震减灾工作；负责城乡抗震安居工程建设的指导监督；对各类房屋建筑及其附属设施和城市市政工程的抗震设计规范的实施进行监督检查；负责组织城市超限高层建筑工程抗震设防审查工作；负责建设工程消防设计审查验收工作；负责县住房和城乡建设系统预案体系建设，指导震后重建工作。</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11.推进建筑节能、城镇减排；会同有关部门监督实施建筑节能的政策、规划，负责建筑节能法律法规规章的监督指导；贯彻落实住房和城乡建设科技发展规划和经济政策，组织实施建设行业重大科技项目攻关合作交流、技术创新与成果推广应用；组织实施建筑节能等科技示范项目。</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12.贯彻执行国家的法律法规和方针、政策；拟定人民 防空工作措施；编制人民防空建设规划、计划并组织实施；负责人民防空相关法律法规和政策贯彻落实情况的监督检查；组织人民防空工程、通信、警报及各项业务建设和管理；管理人民防空经费、物资和资产；组织人民防空科学技术研究和人民防空干部培训；组织人民防空无线电管理；负责人 民防空建设标准化管理工作；管理人民防空专用设备、器材的生产和引进；战时承办组织全国人民防空的业务工作。</w:t>
      </w:r>
    </w:p>
    <w:p>
      <w:pPr>
        <w:spacing w:line="600" w:lineRule="exact"/>
        <w:ind w:left="640" w:leftChars="200" w:firstLine="320" w:firstLineChars="100"/>
        <w:jc w:val="left"/>
        <w:rPr>
          <w:rFonts w:hint="eastAsia" w:ascii="仿宋_GB2312" w:hAnsi="宋体" w:eastAsia="仿宋_GB2312"/>
          <w:bCs/>
          <w:sz w:val="32"/>
          <w:szCs w:val="32"/>
        </w:rPr>
      </w:pPr>
      <w:r>
        <w:rPr>
          <w:rFonts w:hint="eastAsia" w:ascii="仿宋_GB2312" w:hAnsi="宋体" w:eastAsia="仿宋_GB2312"/>
          <w:bCs/>
          <w:sz w:val="32"/>
          <w:szCs w:val="32"/>
        </w:rPr>
        <w:t>13.承办特克斯县委、县人民政府交办的其他事项。</w:t>
      </w:r>
    </w:p>
    <w:p>
      <w:pPr>
        <w:spacing w:line="600" w:lineRule="exact"/>
        <w:ind w:left="0" w:leftChars="0"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机构设置及人员情况</w:t>
      </w:r>
    </w:p>
    <w:p>
      <w:pPr>
        <w:spacing w:line="600" w:lineRule="exact"/>
        <w:ind w:left="0" w:leftChars="0" w:firstLine="640" w:firstLineChars="200"/>
        <w:jc w:val="left"/>
        <w:rPr>
          <w:rFonts w:hint="eastAsia" w:ascii="仿宋_GB2312" w:hAnsi="宋体"/>
          <w:bCs/>
          <w:sz w:val="32"/>
          <w:szCs w:val="32"/>
          <w:lang w:eastAsia="zh-CN"/>
        </w:rPr>
      </w:pPr>
      <w:r>
        <w:rPr>
          <w:rFonts w:hint="eastAsia" w:ascii="仿宋_GB2312" w:hAnsi="宋体" w:eastAsia="仿宋_GB2312"/>
          <w:bCs/>
          <w:sz w:val="32"/>
          <w:szCs w:val="32"/>
        </w:rPr>
        <w:t>特克斯县住房和城乡建设局部门无下属预算单位，机关内设8个科室（局办公室、工程质量监督站、建筑业管理办公室、房地产管理所、城建监察大队、市容园林绿化管理站、民生住房和村（区）示范建设管理办公室、国有土地上房屋征收与拆迁补偿办公室）</w:t>
      </w:r>
      <w:r>
        <w:rPr>
          <w:rFonts w:hint="eastAsia" w:ascii="仿宋_GB2312" w:hAnsi="宋体"/>
          <w:bCs/>
          <w:sz w:val="32"/>
          <w:szCs w:val="32"/>
          <w:lang w:eastAsia="zh-CN"/>
        </w:rPr>
        <w:t>。</w:t>
      </w:r>
    </w:p>
    <w:p>
      <w:pPr>
        <w:spacing w:line="600" w:lineRule="exact"/>
        <w:ind w:left="0" w:leftChars="0" w:firstLine="640" w:firstLineChars="200"/>
        <w:jc w:val="left"/>
        <w:rPr>
          <w:rFonts w:ascii="仿宋_GB2312" w:hAnsi="宋体" w:eastAsia="仿宋_GB2312"/>
          <w:bCs/>
          <w:sz w:val="32"/>
          <w:szCs w:val="32"/>
        </w:rPr>
      </w:pPr>
      <w:r>
        <w:rPr>
          <w:rFonts w:hint="eastAsia" w:ascii="仿宋_GB2312" w:hAnsi="宋体" w:eastAsia="仿宋_GB2312"/>
          <w:bCs/>
          <w:sz w:val="32"/>
          <w:szCs w:val="32"/>
        </w:rPr>
        <w:t>特克斯县住房和城乡建设局编制数92，实有人数144人，其中：在职88人，减少2人；退休56人，减少1人；离休0人，增加0人。</w:t>
      </w:r>
      <w:bookmarkStart w:id="0" w:name="_Hlk43849111"/>
      <w:bookmarkEnd w:id="0"/>
    </w:p>
    <w:p>
      <w:pPr>
        <w:spacing w:line="600" w:lineRule="exact"/>
        <w:ind w:left="0" w:leftChars="0" w:firstLine="643" w:firstLineChars="200"/>
        <w:jc w:val="left"/>
        <w:rPr>
          <w:rFonts w:hint="eastAsia" w:ascii="楷体_GB2312" w:hAnsi="楷体_GB2312" w:eastAsia="楷体_GB2312" w:cs="楷体_GB2312"/>
          <w:b/>
          <w:color w:val="000000" w:themeColor="text1"/>
          <w:sz w:val="32"/>
          <w:szCs w:val="32"/>
          <w:lang w:bidi="ar"/>
          <w14:textFill>
            <w14:solidFill>
              <w14:schemeClr w14:val="tx1"/>
            </w14:solidFill>
          </w14:textFill>
        </w:rPr>
      </w:pPr>
      <w:r>
        <w:rPr>
          <w:rFonts w:hint="eastAsia" w:ascii="楷体_GB2312" w:hAnsi="楷体_GB2312" w:eastAsia="楷体_GB2312" w:cs="楷体_GB2312"/>
          <w:b/>
          <w:color w:val="000000" w:themeColor="text1"/>
          <w:sz w:val="32"/>
          <w:szCs w:val="32"/>
          <w:lang w:bidi="ar"/>
          <w14:textFill>
            <w14:solidFill>
              <w14:schemeClr w14:val="tx1"/>
            </w14:solidFill>
          </w14:textFill>
        </w:rPr>
        <w:t>（二）部门单位年度重点工作：</w:t>
      </w:r>
    </w:p>
    <w:p>
      <w:pPr>
        <w:spacing w:line="600" w:lineRule="exact"/>
        <w:ind w:left="0" w:leftChars="0"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1.年度总体目标</w:t>
      </w:r>
      <w:r>
        <w:rPr>
          <w:rFonts w:hint="eastAsia" w:ascii="仿宋_GB2312" w:hAnsi="宋体" w:eastAsia="仿宋_GB2312"/>
          <w:bCs/>
          <w:sz w:val="32"/>
          <w:szCs w:val="32"/>
        </w:rPr>
        <w:cr/>
      </w:r>
      <w:r>
        <w:rPr>
          <w:rFonts w:hint="eastAsia" w:ascii="仿宋_GB2312" w:hAnsi="宋体" w:eastAsia="仿宋_GB2312"/>
          <w:bCs/>
          <w:sz w:val="32"/>
          <w:szCs w:val="32"/>
        </w:rPr>
        <w:t>扎实推进各项重点工作任务。坚持“稳”字当头，促进我县房地产业良性循环和健康发展；完善住房保障体系，解决好青年人等住房突出问题；实施新型城镇化战略，加快推进城市更新行动；推进智慧城市建设，提升城市精细化管理水平；实施乡村建设行动，巩固拓展脱贫攻坚成果同乡村振兴有效衔接；坚持强基固本，提升我县建筑业发展质量和效益；坚持“绿色低碳”，加快转变城乡建设发展方式；统筹发展与安全，健全住房和城乡建设行业安全体系；坚持改革创新，提升行业治理能力和治理体系现代化水平，持续推进本年度项目建设进度。</w:t>
      </w:r>
    </w:p>
    <w:p>
      <w:pPr>
        <w:spacing w:line="600" w:lineRule="exact"/>
        <w:ind w:left="640" w:leftChars="200" w:firstLine="0" w:firstLineChars="0"/>
        <w:jc w:val="left"/>
        <w:rPr>
          <w:rFonts w:hint="eastAsia" w:ascii="仿宋_GB2312" w:hAnsi="宋体" w:eastAsia="仿宋_GB2312"/>
          <w:bCs/>
          <w:sz w:val="32"/>
          <w:szCs w:val="32"/>
        </w:rPr>
      </w:pPr>
      <w:r>
        <w:rPr>
          <w:rFonts w:hint="eastAsia" w:ascii="仿宋_GB2312" w:hAnsi="宋体" w:eastAsia="仿宋_GB2312"/>
          <w:bCs/>
          <w:sz w:val="32"/>
          <w:szCs w:val="32"/>
        </w:rPr>
        <w:t>2.重点工作计划</w:t>
      </w:r>
    </w:p>
    <w:p>
      <w:pPr>
        <w:spacing w:line="600" w:lineRule="exact"/>
        <w:jc w:val="left"/>
        <w:rPr>
          <w:rFonts w:hint="eastAsia" w:ascii="仿宋_GB2312" w:hAnsi="宋体" w:eastAsia="仿宋_GB2312"/>
          <w:bCs/>
          <w:sz w:val="32"/>
          <w:szCs w:val="32"/>
        </w:rPr>
      </w:pPr>
      <w:r>
        <w:rPr>
          <w:rFonts w:hint="eastAsia" w:ascii="仿宋_GB2312" w:hAnsi="宋体"/>
          <w:bCs/>
          <w:sz w:val="32"/>
          <w:szCs w:val="32"/>
          <w:lang w:eastAsia="zh-CN"/>
        </w:rPr>
        <w:t>（</w:t>
      </w:r>
      <w:r>
        <w:rPr>
          <w:rFonts w:hint="eastAsia" w:ascii="仿宋_GB2312" w:hAnsi="宋体"/>
          <w:bCs/>
          <w:sz w:val="32"/>
          <w:szCs w:val="32"/>
          <w:lang w:val="en-US" w:eastAsia="zh-CN"/>
        </w:rPr>
        <w:t>1</w:t>
      </w:r>
      <w:r>
        <w:rPr>
          <w:rFonts w:hint="eastAsia" w:ascii="仿宋_GB2312" w:hAnsi="宋体"/>
          <w:bCs/>
          <w:sz w:val="32"/>
          <w:szCs w:val="32"/>
          <w:lang w:eastAsia="zh-CN"/>
        </w:rPr>
        <w:t>）</w:t>
      </w:r>
      <w:r>
        <w:rPr>
          <w:rFonts w:hint="eastAsia" w:ascii="仿宋_GB2312" w:hAnsi="宋体" w:eastAsia="仿宋_GB2312"/>
          <w:bCs/>
          <w:sz w:val="32"/>
          <w:szCs w:val="32"/>
        </w:rPr>
        <w:t>年度工作计划</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一是保障性租赁住房建设项目，计划投入7000万元，有效改善了我县保障性租赁住房紧缺的现状，扩大我县保障性租赁住房数量，解决了我县租房难的效果。</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二是完成老旧小区改造，计划投入2900万元，要完成有效改善老旧小区楼顶防水老化、解决了停车难及消除了用水用电安全隐患。</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三是完成保护修缮历史文化建筑工作，计划投资180万元，主要用于保护县域内富有年代的历史建筑。</w:t>
      </w:r>
    </w:p>
    <w:p>
      <w:pPr>
        <w:spacing w:line="600" w:lineRule="exact"/>
        <w:jc w:val="left"/>
        <w:rPr>
          <w:rFonts w:ascii="仿宋_GB2312" w:hAnsi="宋体" w:eastAsia="仿宋_GB2312"/>
          <w:bCs/>
          <w:sz w:val="32"/>
          <w:szCs w:val="32"/>
        </w:rPr>
      </w:pPr>
      <w:r>
        <w:rPr>
          <w:rFonts w:hint="eastAsia" w:ascii="仿宋_GB2312" w:hAnsi="宋体" w:eastAsia="仿宋_GB2312"/>
          <w:bCs/>
          <w:sz w:val="32"/>
          <w:szCs w:val="32"/>
        </w:rPr>
        <w:t>四是新增天燃气入户项目，积极组织对接天燃气入户工作，新增天燃气入户数量工作，有效改善我辖区居民用气不安全的情况，达到我瞎区居民用气安全、方便的效果。</w:t>
      </w:r>
    </w:p>
    <w:p>
      <w:pPr>
        <w:spacing w:line="600" w:lineRule="exact"/>
        <w:jc w:val="left"/>
        <w:rPr>
          <w:rFonts w:hint="eastAsia" w:ascii="楷体_GB2312" w:hAnsi="楷体_GB2312" w:eastAsia="楷体_GB2312" w:cs="楷体_GB2312"/>
          <w:b/>
          <w:color w:val="000000" w:themeColor="text1"/>
          <w:sz w:val="32"/>
          <w:szCs w:val="32"/>
          <w:lang w:bidi="ar"/>
          <w14:textFill>
            <w14:solidFill>
              <w14:schemeClr w14:val="tx1"/>
            </w14:solidFill>
          </w14:textFill>
        </w:rPr>
      </w:pPr>
      <w:r>
        <w:rPr>
          <w:rFonts w:hint="eastAsia" w:ascii="楷体_GB2312" w:hAnsi="楷体_GB2312" w:eastAsia="楷体_GB2312" w:cs="楷体_GB2312"/>
          <w:b/>
          <w:color w:val="000000" w:themeColor="text1"/>
          <w:sz w:val="32"/>
          <w:szCs w:val="32"/>
          <w:lang w:bidi="ar"/>
          <w14:textFill>
            <w14:solidFill>
              <w14:schemeClr w14:val="tx1"/>
            </w14:solidFill>
          </w14:textFill>
        </w:rPr>
        <w:t>（三）部门单位整体预算规模及安排情况：</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2024年特克斯县住房和城乡建设局年初预算安排10646.76万元，其中财政拨款8999.81万元，其他资金200万元，主要用于资金主要用于我单位所有的人员经费、办公费、特克斯县2024年农房抗震防灾工程、2024年保障性安居工程补助资金、2024年特克斯县市容卫生及绿化养护项目、棚户区改造项目征迁补偿费。</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年中调整38397.73万元，调整后全年预算49044.49万元，预算调整率360.65%，调整预算的主要原因为年中追加伊犁州特克斯县八卦城历史文化名城4A级景区四环外地下综合管网改造建设项目、伊犁州特克斯县生态停车场建设项目、伊犁州特克斯县县城供排水一体化建设项目、伊犁州特克斯县城区重点用能设备更新改造建设项目、伊犁州特克斯县四环内背街小巷给水管网建设项目、伊犁州特克斯县住建局智慧供热建设项目、伊犁州特克斯县住建局供热管网建设项目、伊犁州特克斯县集中供热管网及附属设施升级改造建设项目、特克斯县博斯坦历史文化街区等保护提升项目等建设项目，资金支出涉及范围为上级专项资金、本级安排的一般公共预算资金、专项债券资金以及其他资金。</w:t>
      </w:r>
    </w:p>
    <w:p>
      <w:pPr>
        <w:numPr>
          <w:ilvl w:val="0"/>
          <w:numId w:val="0"/>
        </w:numPr>
        <w:snapToGrid w:val="0"/>
        <w:spacing w:line="540" w:lineRule="exact"/>
        <w:ind w:left="648" w:leftChars="0"/>
        <w:rPr>
          <w:rFonts w:hint="eastAsia" w:ascii="黑体" w:hAnsi="黑体" w:eastAsia="黑体" w:cs="宋体"/>
          <w:b/>
          <w:color w:val="000000" w:themeColor="text1"/>
          <w:sz w:val="32"/>
          <w:szCs w:val="32"/>
          <w:lang w:val="en-US" w:eastAsia="zh-CN"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二、部门单位整体支出管理及使用情况：</w:t>
      </w:r>
    </w:p>
    <w:p>
      <w:pPr>
        <w:spacing w:line="600" w:lineRule="exact"/>
        <w:ind w:left="320" w:leftChars="100" w:firstLine="321" w:firstLineChars="100"/>
        <w:jc w:val="left"/>
        <w:rPr>
          <w:rFonts w:hint="eastAsia" w:ascii="楷体_GB2312" w:hAnsi="楷体_GB2312" w:eastAsia="楷体_GB2312" w:cs="楷体_GB2312"/>
          <w:b/>
          <w:color w:val="000000" w:themeColor="text1"/>
          <w:sz w:val="32"/>
          <w:szCs w:val="32"/>
          <w:lang w:bidi="ar"/>
          <w14:textFill>
            <w14:solidFill>
              <w14:schemeClr w14:val="tx1"/>
            </w14:solidFill>
          </w14:textFill>
        </w:rPr>
      </w:pPr>
      <w:r>
        <w:rPr>
          <w:rFonts w:hint="eastAsia" w:ascii="楷体_GB2312" w:hAnsi="楷体_GB2312" w:eastAsia="楷体_GB2312" w:cs="楷体_GB2312"/>
          <w:b/>
          <w:color w:val="000000" w:themeColor="text1"/>
          <w:sz w:val="32"/>
          <w:szCs w:val="32"/>
          <w:lang w:bidi="ar"/>
          <w14:textFill>
            <w14:solidFill>
              <w14:schemeClr w14:val="tx1"/>
            </w14:solidFill>
          </w14:textFill>
        </w:rPr>
        <w:t>（一）部门单位整体支出管理情况</w:t>
      </w:r>
    </w:p>
    <w:p>
      <w:pPr>
        <w:spacing w:line="600" w:lineRule="exact"/>
        <w:ind w:left="640" w:leftChars="200" w:firstLine="0" w:firstLineChars="0"/>
        <w:jc w:val="left"/>
        <w:rPr>
          <w:rFonts w:hint="eastAsia" w:ascii="仿宋_GB2312" w:hAnsi="宋体" w:eastAsia="仿宋_GB2312"/>
          <w:bCs/>
          <w:sz w:val="32"/>
          <w:szCs w:val="32"/>
        </w:rPr>
      </w:pPr>
      <w:r>
        <w:rPr>
          <w:rFonts w:hint="eastAsia" w:ascii="仿宋_GB2312" w:hAnsi="宋体" w:eastAsia="仿宋_GB2312"/>
          <w:bCs/>
          <w:sz w:val="32"/>
          <w:szCs w:val="32"/>
        </w:rPr>
        <w:t>1.预算编制</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2024年我部门坚持围绕中心工作，科学谋划预算资金安排，依据规定程序和要求，及时完成部门预算编制申报，同时合理设定入库项目绩效指标、年度目标值，科学构建部门整体支出核心绩效指标体系和编报部门整体预算申请绩效报告，推动提高财政资金配置效益。</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bCs/>
          <w:sz w:val="32"/>
          <w:szCs w:val="32"/>
          <w:lang w:val="en-US" w:eastAsia="zh-CN"/>
        </w:rPr>
        <w:t>2.</w:t>
      </w:r>
      <w:r>
        <w:rPr>
          <w:rFonts w:hint="eastAsia" w:ascii="仿宋_GB2312" w:hAnsi="宋体" w:eastAsia="仿宋_GB2312"/>
          <w:bCs/>
          <w:sz w:val="32"/>
          <w:szCs w:val="32"/>
        </w:rPr>
        <w:t>预算执行</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特克斯县财政批复预算后，我单位按要求及时制定并报批部门预算支出计划，严格落实预算执行定期分析机制，靠前抓好支出执行，坚持严肃财经纪律，硬化预算约束，持续树牢厉行节约理念，严控一般性支出，努力降低行政运行成本。</w:t>
      </w:r>
    </w:p>
    <w:p>
      <w:pPr>
        <w:numPr>
          <w:numId w:val="0"/>
        </w:numPr>
        <w:spacing w:line="600" w:lineRule="exact"/>
        <w:ind w:leftChars="200"/>
        <w:jc w:val="left"/>
        <w:rPr>
          <w:rFonts w:hint="eastAsia" w:ascii="仿宋_GB2312" w:hAnsi="宋体" w:eastAsia="仿宋_GB2312"/>
          <w:bCs/>
          <w:sz w:val="32"/>
          <w:szCs w:val="32"/>
        </w:rPr>
      </w:pPr>
      <w:r>
        <w:rPr>
          <w:rFonts w:hint="eastAsia" w:ascii="仿宋_GB2312" w:hAnsi="宋体"/>
          <w:bCs/>
          <w:sz w:val="32"/>
          <w:szCs w:val="32"/>
          <w:lang w:val="en-US" w:eastAsia="zh-CN"/>
        </w:rPr>
        <w:t>3.</w:t>
      </w:r>
      <w:r>
        <w:rPr>
          <w:rFonts w:hint="eastAsia" w:ascii="仿宋_GB2312" w:hAnsi="宋体" w:eastAsia="仿宋_GB2312"/>
          <w:bCs/>
          <w:sz w:val="32"/>
          <w:szCs w:val="32"/>
        </w:rPr>
        <w:t>绩效管理</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2024年，我单位严格按照财政要求，落实预算绩效管理全过程，包括①注重绩效目标编制，预算编制环节注重编细编实预算需求，科学选择绩效指标，合理设置绩效目标值，并严格按照财政统一要求，规范编制事前绩效报告，为财政资金发挥效益夯实基础。②落实绩效“双监控”，预算执行过程中，以年度支出计划为基础，定期分析预算执行和绩效目标落实情况，并依托财政预算绩效管理平台分5月、8月对预算执行动态进行实时监控，发现问题及时纠偏，确保绩效目标落地落实。③扎实开展自评工作，年度终了，扎实开展预算绩效目标完成情况部门审核和自评工作。</w:t>
      </w:r>
    </w:p>
    <w:p>
      <w:pPr>
        <w:numPr>
          <w:numId w:val="0"/>
        </w:numPr>
        <w:spacing w:line="600" w:lineRule="exact"/>
        <w:ind w:leftChars="200"/>
        <w:jc w:val="left"/>
        <w:rPr>
          <w:rFonts w:hint="eastAsia" w:ascii="仿宋_GB2312" w:hAnsi="宋体" w:eastAsia="仿宋_GB2312"/>
          <w:bCs/>
          <w:sz w:val="32"/>
          <w:szCs w:val="32"/>
        </w:rPr>
      </w:pPr>
      <w:r>
        <w:rPr>
          <w:rFonts w:hint="eastAsia" w:ascii="仿宋_GB2312" w:hAnsi="宋体"/>
          <w:bCs/>
          <w:sz w:val="32"/>
          <w:szCs w:val="32"/>
          <w:lang w:val="en-US" w:eastAsia="zh-CN"/>
        </w:rPr>
        <w:t>4.</w:t>
      </w:r>
      <w:r>
        <w:rPr>
          <w:rFonts w:hint="eastAsia" w:ascii="仿宋_GB2312" w:hAnsi="宋体" w:eastAsia="仿宋_GB2312"/>
          <w:bCs/>
          <w:sz w:val="32"/>
          <w:szCs w:val="32"/>
        </w:rPr>
        <w:t>信息公开</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我单位已按要求在特克斯县人民政府门户网站公开部门预算信息，同步公开绩效目标表；在特克斯县人民政府门户网站公开部门决算信息，同步公开自评表及自评报告。</w:t>
      </w:r>
    </w:p>
    <w:p>
      <w:pPr>
        <w:numPr>
          <w:ilvl w:val="0"/>
          <w:numId w:val="1"/>
        </w:numPr>
        <w:spacing w:line="600" w:lineRule="exact"/>
        <w:ind w:firstLine="643" w:firstLineChars="200"/>
        <w:jc w:val="left"/>
        <w:rPr>
          <w:rFonts w:hint="eastAsia" w:ascii="楷体_GB2312" w:hAnsi="楷体_GB2312" w:eastAsia="楷体_GB2312" w:cs="楷体_GB2312"/>
          <w:b/>
          <w:color w:val="000000" w:themeColor="text1"/>
          <w:sz w:val="32"/>
          <w:szCs w:val="32"/>
          <w:lang w:bidi="ar"/>
          <w14:textFill>
            <w14:solidFill>
              <w14:schemeClr w14:val="tx1"/>
            </w14:solidFill>
          </w14:textFill>
        </w:rPr>
      </w:pPr>
      <w:r>
        <w:rPr>
          <w:rFonts w:hint="eastAsia" w:ascii="楷体_GB2312" w:hAnsi="楷体_GB2312" w:eastAsia="楷体_GB2312" w:cs="楷体_GB2312"/>
          <w:b/>
          <w:color w:val="000000" w:themeColor="text1"/>
          <w:sz w:val="32"/>
          <w:szCs w:val="32"/>
          <w:lang w:bidi="ar"/>
          <w14:textFill>
            <w14:solidFill>
              <w14:schemeClr w14:val="tx1"/>
            </w14:solidFill>
          </w14:textFill>
        </w:rPr>
        <w:t>部门单位整体支出使用情况</w:t>
      </w:r>
    </w:p>
    <w:p>
      <w:pPr>
        <w:numPr>
          <w:numId w:val="0"/>
        </w:numPr>
        <w:spacing w:line="600" w:lineRule="exact"/>
        <w:ind w:leftChars="200"/>
        <w:jc w:val="left"/>
        <w:rPr>
          <w:rFonts w:hint="eastAsia" w:ascii="仿宋_GB2312" w:hAnsi="宋体" w:eastAsia="仿宋_GB2312"/>
          <w:bCs/>
          <w:sz w:val="32"/>
          <w:szCs w:val="32"/>
        </w:rPr>
      </w:pPr>
      <w:r>
        <w:rPr>
          <w:rFonts w:hint="eastAsia" w:ascii="仿宋_GB2312" w:hAnsi="宋体"/>
          <w:bCs/>
          <w:sz w:val="32"/>
          <w:szCs w:val="32"/>
          <w:lang w:val="en-US" w:eastAsia="zh-CN"/>
        </w:rPr>
        <w:t>1.</w:t>
      </w:r>
      <w:r>
        <w:rPr>
          <w:rFonts w:hint="eastAsia" w:ascii="仿宋_GB2312" w:hAnsi="宋体" w:eastAsia="仿宋_GB2312"/>
          <w:bCs/>
          <w:sz w:val="32"/>
          <w:szCs w:val="32"/>
        </w:rPr>
        <w:t>基本支出情况</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2024年基本支出支出1383.01万元，包括工资福利支出1295.45万元，商品和服务支出23.15万元，对个人和家庭的补助64.41万元，资本性支出0万元。其中：“三公”经费支出3.2万元，比上年增加0万元，主要原因是无；会议费支出0万元，比上年增加0万元，主要原因是无；培训费支出0万元，比上年增加0万元，主要原因是无。</w:t>
      </w:r>
    </w:p>
    <w:p>
      <w:pPr>
        <w:numPr>
          <w:numId w:val="0"/>
        </w:numPr>
        <w:spacing w:line="600" w:lineRule="exact"/>
        <w:ind w:leftChars="200"/>
        <w:jc w:val="left"/>
        <w:rPr>
          <w:rFonts w:hint="eastAsia" w:ascii="仿宋_GB2312" w:hAnsi="宋体" w:eastAsia="仿宋_GB2312"/>
          <w:bCs/>
          <w:sz w:val="32"/>
          <w:szCs w:val="32"/>
        </w:rPr>
      </w:pPr>
      <w:r>
        <w:rPr>
          <w:rFonts w:hint="eastAsia" w:ascii="仿宋_GB2312" w:hAnsi="宋体"/>
          <w:bCs/>
          <w:sz w:val="32"/>
          <w:szCs w:val="32"/>
          <w:lang w:val="en-US" w:eastAsia="zh-CN"/>
        </w:rPr>
        <w:t>2.</w:t>
      </w:r>
      <w:r>
        <w:rPr>
          <w:rFonts w:hint="eastAsia" w:ascii="仿宋_GB2312" w:hAnsi="宋体" w:eastAsia="仿宋_GB2312"/>
          <w:bCs/>
          <w:sz w:val="32"/>
          <w:szCs w:val="32"/>
        </w:rPr>
        <w:t>专项资金支出情况</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2024年专项项目支出47661.48万元，占总支出的97.18％，主要用于1.特克斯县2024年农房抗震防灾工程，2.2024年保障性安居工程补助资金，3.伊犁州特克斯县县城供排水一体化建设项目，4.伊犁州特克斯县住建局智慧供热建设项目，5.伊犁州特克斯县住建局供热管网建设项目，6.伊犁州特克斯县集中供热管网及附属设施升级改造建设项目，7.特克斯县博斯坦历史文化街区等保护提升项目等。</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bCs/>
          <w:sz w:val="32"/>
          <w:szCs w:val="32"/>
          <w:lang w:val="en-US" w:eastAsia="zh-CN"/>
        </w:rPr>
        <w:t>3.</w:t>
      </w:r>
      <w:r>
        <w:rPr>
          <w:rFonts w:hint="eastAsia" w:ascii="仿宋_GB2312" w:hAnsi="宋体" w:eastAsia="仿宋_GB2312"/>
          <w:bCs/>
          <w:sz w:val="32"/>
          <w:szCs w:val="32"/>
        </w:rPr>
        <w:t>部门单位专项组织实施情况</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年初我单位下发的特克斯县2024年农房抗震防灾工程项目专项、2024年保障性安居工程补助专项、该专项主要用于农村危房改造家庭进行补贴，保障农村房屋达到抗震标准，用于老旧小区改造及筹集保障性租赁住房。对项目的工作分工、任务分配、资金落实、完成时限等提出了明确、具体的要求，以确保项目保质、保量、按时完成。截至12月31日，完成专项25个，未完成专项0个。</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为规范专项资金使用，提高专项资金使用效益，我单位主要采取四项措施。一是制订专项资金管理制度；二是各专项资金建立了专账；三是制定了项目实施方案；四是认真组织项目验收。切实保证专项资金都做到了专款专用。</w:t>
      </w:r>
    </w:p>
    <w:p>
      <w:pPr>
        <w:numPr>
          <w:ilvl w:val="0"/>
          <w:numId w:val="2"/>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制定了专项资金管理办法，各项资金使用审批流程均按规定办理。涉及“三重一大”内容，严格按照规定提请局党组会审议决定，包括项目资金分配、重大项目确定、大额资金支付等。</w:t>
      </w:r>
    </w:p>
    <w:p>
      <w:pPr>
        <w:numPr>
          <w:numId w:val="0"/>
        </w:numPr>
        <w:spacing w:line="600" w:lineRule="exact"/>
        <w:ind w:firstLine="640" w:firstLineChars="200"/>
        <w:jc w:val="left"/>
        <w:rPr>
          <w:rFonts w:ascii="仿宋_GB2312" w:hAnsi="宋体" w:eastAsia="仿宋_GB2312"/>
          <w:bCs/>
          <w:sz w:val="32"/>
          <w:szCs w:val="32"/>
        </w:rPr>
      </w:pPr>
      <w:r>
        <w:rPr>
          <w:rFonts w:hint="eastAsia" w:ascii="仿宋_GB2312" w:hAnsi="宋体" w:eastAsia="仿宋_GB2312"/>
          <w:bCs/>
          <w:sz w:val="32"/>
          <w:szCs w:val="32"/>
        </w:rPr>
        <w:t>（2）建立2024年农房抗震防灾工程项目、2024年保障性安居工程补助专项资金专账，做到有据可依，有据可查。</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（3）制定了2024年农房抗震防灾工程项目、2024年保障性安居工程补助项目实施方案，确保项目专款专用。</w:t>
      </w:r>
    </w:p>
    <w:p>
      <w:pPr>
        <w:numPr>
          <w:numId w:val="0"/>
        </w:numPr>
        <w:spacing w:line="600" w:lineRule="exact"/>
        <w:ind w:firstLine="640" w:firstLineChars="200"/>
        <w:jc w:val="left"/>
        <w:rPr>
          <w:rFonts w:ascii="仿宋_GB2312" w:hAnsi="宋体" w:eastAsia="仿宋_GB2312"/>
          <w:bCs/>
          <w:sz w:val="32"/>
          <w:szCs w:val="32"/>
        </w:rPr>
      </w:pPr>
      <w:r>
        <w:rPr>
          <w:rFonts w:hint="eastAsia" w:ascii="仿宋_GB2312" w:hAnsi="宋体" w:eastAsia="仿宋_GB2312"/>
          <w:bCs/>
          <w:sz w:val="32"/>
          <w:szCs w:val="32"/>
        </w:rPr>
        <w:t>（4）认真组织2024年农房抗震防灾工程项目、2024年保障性安居工程补助项目验收，确保该项目达到预期水平。</w:t>
      </w:r>
    </w:p>
    <w:p>
      <w:pPr>
        <w:numPr>
          <w:ilvl w:val="0"/>
          <w:numId w:val="0"/>
        </w:numPr>
        <w:snapToGrid w:val="0"/>
        <w:spacing w:line="540" w:lineRule="exact"/>
        <w:ind w:left="648" w:leftChars="0"/>
        <w:rPr>
          <w:rFonts w:hint="eastAsia" w:ascii="黑体" w:hAnsi="黑体" w:eastAsia="黑体" w:cs="宋体"/>
          <w:b/>
          <w:color w:val="000000" w:themeColor="text1"/>
          <w:sz w:val="32"/>
          <w:szCs w:val="32"/>
          <w:lang w:val="en-US" w:eastAsia="zh-CN"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三、部门单位整体支出绩效分析：</w:t>
      </w:r>
    </w:p>
    <w:p>
      <w:pPr>
        <w:spacing w:line="600" w:lineRule="exact"/>
        <w:ind w:firstLine="803" w:firstLineChars="250"/>
        <w:jc w:val="left"/>
        <w:rPr>
          <w:rFonts w:hint="eastAsia" w:ascii="楷体_GB2312" w:hAnsi="楷体_GB2312" w:eastAsia="楷体_GB2312" w:cs="楷体_GB2312"/>
          <w:b/>
          <w:color w:val="000000" w:themeColor="text1"/>
          <w:sz w:val="32"/>
          <w:szCs w:val="32"/>
          <w:lang w:bidi="ar"/>
          <w14:textFill>
            <w14:solidFill>
              <w14:schemeClr w14:val="tx1"/>
            </w14:solidFill>
          </w14:textFill>
        </w:rPr>
      </w:pPr>
      <w:r>
        <w:rPr>
          <w:rFonts w:hint="eastAsia" w:ascii="楷体_GB2312" w:hAnsi="楷体_GB2312" w:eastAsia="楷体_GB2312" w:cs="楷体_GB2312"/>
          <w:b/>
          <w:color w:val="000000" w:themeColor="text1"/>
          <w:sz w:val="32"/>
          <w:szCs w:val="32"/>
          <w:lang w:bidi="ar"/>
          <w14:textFill>
            <w14:solidFill>
              <w14:schemeClr w14:val="tx1"/>
            </w14:solidFill>
          </w14:textFill>
        </w:rPr>
        <w:t>（一）预算执行情况</w:t>
      </w:r>
    </w:p>
    <w:p>
      <w:pPr>
        <w:spacing w:line="600" w:lineRule="exact"/>
        <w:ind w:firstLine="800" w:firstLineChars="250"/>
        <w:jc w:val="left"/>
        <w:rPr>
          <w:rFonts w:hint="eastAsia" w:ascii="仿宋_GB2312" w:hAnsi="宋体" w:eastAsia="仿宋_GB2312"/>
          <w:bCs/>
          <w:sz w:val="32"/>
          <w:szCs w:val="32"/>
        </w:rPr>
      </w:pPr>
      <w:r>
        <w:rPr>
          <w:rFonts w:hint="eastAsia" w:ascii="仿宋_GB2312" w:hAnsi="宋体" w:eastAsia="仿宋_GB2312"/>
          <w:bCs/>
          <w:sz w:val="32"/>
          <w:szCs w:val="32"/>
        </w:rPr>
        <w:t>2024年特克斯县住建局总支出49044.49万元，预算执行率100%，其中其他文化和旅游支出100万元，历史名城与古迹2400万元，机关事业单位基本养老保险缴费支出134.47万元，死亡抚恤23.15万元，行政单位医疗20.82万元，事业单位医疗35.95万元，公务员医疗补助0.56万元，其他行政事业单位医疗支出1.06万元，农村环境保护178万元，其他节能环保支出560万元，行政运行1058.95万元，城管执法11万元，城乡社区规划与管理4.08万元，小城镇基础设施建设2023.25万元，其他城乡社区公共设施支出7693.78万元，征地和拆迁补偿支出856.31万元，城市环境卫生600万元，棚户区改造1305万元，农村危房改造1374.55万元，老旧小区改造1301.9万元，保障性租赁住房737万元，其他保障性安居工程支出800万元，住房公积金108.05万元，其他城乡社区住宅支出1436.62万元，其他地方自行试点项目收益专项债券收入安排的支出26280万元。</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bCs/>
          <w:sz w:val="32"/>
          <w:szCs w:val="32"/>
          <w:lang w:val="en-US" w:eastAsia="zh-CN"/>
        </w:rPr>
        <w:t>1.</w:t>
      </w:r>
      <w:r>
        <w:rPr>
          <w:rFonts w:hint="eastAsia" w:ascii="仿宋_GB2312" w:hAnsi="宋体" w:eastAsia="仿宋_GB2312"/>
          <w:bCs/>
          <w:sz w:val="32"/>
          <w:szCs w:val="32"/>
        </w:rPr>
        <w:t>基本支出使用情况</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2024年，特克斯县住房和城乡建设局基本支出1383.01万元，占总支出的2.82％，其中：行政运行1058.95万元，机关事业单位基本养老保险缴费支出134.47万元，机关事业单位职业年金缴费支出0万元，行政/事业单位医疗56.77万元，公务员医疗补助0.56万元，其他行政事业单位医疗支出1.06万元，住房公积金108.05万元，死亡抚恤23.15万元。</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bCs/>
          <w:sz w:val="32"/>
          <w:szCs w:val="32"/>
          <w:lang w:val="en-US" w:eastAsia="zh-CN"/>
        </w:rPr>
        <w:t>2.</w:t>
      </w:r>
      <w:r>
        <w:rPr>
          <w:rFonts w:hint="eastAsia" w:ascii="仿宋_GB2312" w:hAnsi="宋体" w:eastAsia="仿宋_GB2312"/>
          <w:bCs/>
          <w:sz w:val="32"/>
          <w:szCs w:val="32"/>
        </w:rPr>
        <w:t>项目支出使用情况</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2024年，特克斯县住建局项目支出47661.48万元，占总支出的97.18％。其中：其他文化和旅游支出100万元，历史名城与古迹2400万元，农村环境保护178万元，其他节能环保支出560万元，城管执法11万元，城乡社区规划与管理4.08万元，小城镇基础设施建设2023.25万元，其他城乡社区公共设施支出7693.78万元，征地和拆迁补偿支出856.31万元，城市环境卫生600万元，棚户区改造1305万元，农村危房改造1374.55万元，老旧小区改造1301.9万元，保障性租赁住房737万元，其他保障性安居工程支出800万元，其他城乡社区住宅支出1436.62万元，其他地方自行试点项目收益专项债券收入安排的支出26280万元。</w:t>
      </w:r>
    </w:p>
    <w:p>
      <w:pPr>
        <w:numPr>
          <w:ilvl w:val="0"/>
          <w:numId w:val="1"/>
        </w:numPr>
        <w:spacing w:line="600" w:lineRule="exact"/>
        <w:ind w:left="0" w:leftChars="0" w:firstLine="643" w:firstLineChars="200"/>
        <w:jc w:val="left"/>
        <w:rPr>
          <w:rFonts w:hint="eastAsia" w:ascii="仿宋_GB2312" w:hAnsi="宋体" w:eastAsia="仿宋_GB2312"/>
          <w:bCs/>
          <w:sz w:val="32"/>
          <w:szCs w:val="32"/>
        </w:rPr>
      </w:pPr>
      <w:r>
        <w:rPr>
          <w:rFonts w:hint="eastAsia" w:ascii="楷体_GB2312" w:hAnsi="楷体_GB2312" w:eastAsia="楷体_GB2312" w:cs="楷体_GB2312"/>
          <w:b/>
          <w:color w:val="000000" w:themeColor="text1"/>
          <w:sz w:val="32"/>
          <w:szCs w:val="32"/>
          <w:lang w:bidi="ar"/>
          <w14:textFill>
            <w14:solidFill>
              <w14:schemeClr w14:val="tx1"/>
            </w14:solidFill>
          </w14:textFill>
        </w:rPr>
        <w:t>部门单位整体支出绩效指标完成情况</w:t>
      </w:r>
      <w:r>
        <w:rPr>
          <w:rFonts w:hint="eastAsia" w:ascii="楷体_GB2312" w:hAnsi="楷体_GB2312" w:eastAsia="楷体_GB2312" w:cs="楷体_GB2312"/>
          <w:b/>
          <w:color w:val="000000" w:themeColor="text1"/>
          <w:sz w:val="32"/>
          <w:szCs w:val="32"/>
          <w:lang w:bidi="ar"/>
          <w14:textFill>
            <w14:solidFill>
              <w14:schemeClr w14:val="tx1"/>
            </w14:solidFill>
          </w14:textFill>
        </w:rPr>
        <w:cr/>
      </w:r>
      <w:r>
        <w:rPr>
          <w:rFonts w:hint="eastAsia" w:ascii="仿宋_GB2312" w:hAnsi="宋体" w:eastAsia="仿宋_GB2312"/>
          <w:bCs/>
          <w:sz w:val="32"/>
          <w:szCs w:val="32"/>
        </w:rPr>
        <w:t>年初我单位设置部门整体绩效目标中包括一级指标1个二级指标1个，三级指标4个，指标完成情况分析如下：</w:t>
      </w:r>
    </w:p>
    <w:p>
      <w:pPr>
        <w:numPr>
          <w:numId w:val="0"/>
        </w:numPr>
        <w:spacing w:line="600" w:lineRule="exact"/>
        <w:ind w:left="640" w:leftChars="200" w:firstLine="0" w:firstLineChars="0"/>
        <w:jc w:val="left"/>
        <w:rPr>
          <w:rFonts w:hint="eastAsia" w:ascii="仿宋_GB2312" w:hAnsi="宋体" w:eastAsia="仿宋_GB2312"/>
          <w:bCs/>
          <w:sz w:val="32"/>
          <w:szCs w:val="32"/>
        </w:rPr>
      </w:pPr>
      <w:r>
        <w:rPr>
          <w:rFonts w:hint="eastAsia" w:ascii="仿宋_GB2312" w:hAnsi="宋体"/>
          <w:bCs/>
          <w:sz w:val="32"/>
          <w:szCs w:val="32"/>
          <w:lang w:val="en-US" w:eastAsia="zh-CN"/>
        </w:rPr>
        <w:t>1.</w:t>
      </w:r>
      <w:r>
        <w:rPr>
          <w:rFonts w:hint="eastAsia" w:ascii="仿宋_GB2312" w:hAnsi="宋体" w:eastAsia="仿宋_GB2312"/>
          <w:bCs/>
          <w:sz w:val="32"/>
          <w:szCs w:val="32"/>
        </w:rPr>
        <w:t>运行成本：本单位未涉及本条指标</w:t>
      </w:r>
      <w:r>
        <w:rPr>
          <w:rFonts w:hint="eastAsia" w:ascii="仿宋_GB2312" w:hAnsi="宋体" w:eastAsia="仿宋_GB2312"/>
          <w:bCs/>
          <w:sz w:val="32"/>
          <w:szCs w:val="32"/>
        </w:rPr>
        <w:cr/>
      </w:r>
      <w:r>
        <w:rPr>
          <w:rFonts w:hint="eastAsia" w:ascii="仿宋_GB2312" w:hAnsi="宋体" w:eastAsia="仿宋_GB2312"/>
          <w:bCs/>
          <w:sz w:val="32"/>
          <w:szCs w:val="32"/>
        </w:rPr>
        <w:t>2.管理效率：本单位未涉及本条指标</w:t>
      </w:r>
      <w:r>
        <w:rPr>
          <w:rFonts w:hint="eastAsia" w:ascii="仿宋_GB2312" w:hAnsi="宋体" w:eastAsia="仿宋_GB2312"/>
          <w:bCs/>
          <w:sz w:val="32"/>
          <w:szCs w:val="32"/>
        </w:rPr>
        <w:cr/>
      </w:r>
      <w:r>
        <w:rPr>
          <w:rFonts w:hint="eastAsia" w:ascii="仿宋_GB2312" w:hAnsi="宋体" w:eastAsia="仿宋_GB2312"/>
          <w:bCs/>
          <w:sz w:val="32"/>
          <w:szCs w:val="32"/>
        </w:rPr>
        <w:t>3.履职效能：本单位未涉及本条指标</w:t>
      </w:r>
    </w:p>
    <w:p>
      <w:pPr>
        <w:numPr>
          <w:numId w:val="0"/>
        </w:numPr>
        <w:spacing w:line="600" w:lineRule="exact"/>
        <w:ind w:left="640" w:leftChars="200" w:firstLine="0" w:firstLineChars="0"/>
        <w:jc w:val="left"/>
        <w:rPr>
          <w:rFonts w:hint="eastAsia" w:ascii="仿宋_GB2312" w:hAnsi="宋体" w:eastAsia="仿宋_GB2312"/>
          <w:bCs/>
          <w:sz w:val="32"/>
          <w:szCs w:val="32"/>
        </w:rPr>
      </w:pPr>
      <w:r>
        <w:rPr>
          <w:rFonts w:hint="eastAsia" w:ascii="仿宋_GB2312" w:hAnsi="宋体" w:eastAsia="仿宋_GB2312"/>
          <w:bCs/>
          <w:sz w:val="32"/>
          <w:szCs w:val="32"/>
        </w:rPr>
        <w:t>（1）数量指标</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指标1：保障性租赁住房建设数量，指标值：&gt;=336套，年中监控完成值：0套，自评完成值：336套，指标完成率100%，偏差0%，偏差原因及改进措施：无，通过完成保障性租赁住房建设工作，有效改善了我县保障性租赁住房紧缺的现状，扩大我县保障性租赁住房数量，解决了我县租房难的效果。</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指标2：老旧小区改造数量，指标值：&gt;=8个，年中监控完成值：6个，自评完成值：8个，指标完成率100%，偏差0%，偏差原因及改进措施：无，通过完成老旧小区改造工作，有效改善老旧小区楼顶防水老化、解决了停车难及消除了用水用电安全隐患，提升了县城居民满意度效果。</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指标3：保护修缮历史文化建筑，指标值：&gt;=36处，年中监控完成值：18处，自评完成值：36处，指标完成率100%，偏差0%，偏差原因及改进措施：无，通过完成保护修缮历史文化建筑工作，有效唤醒了历史建筑原有的面貌，见证了特克斯县发展的进程，达到提升特克斯县传统文化、民族特色、地域特征和时代风格的效果。</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指标4：新增天燃气入户数量，指标值：&gt;=800户，年中监控完成值：600户，自评完成值：800户，指标完成率100%，偏差0%，偏差原因及改进措施：无，通过完成新增天燃气入户数量工作，有效改善我辖区居民用气不安全的情况，达到我瞎区居民用气安全、方便的效果。</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bCs/>
          <w:sz w:val="32"/>
          <w:szCs w:val="32"/>
          <w:lang w:val="en-US" w:eastAsia="zh-CN"/>
        </w:rPr>
        <w:t>4.</w:t>
      </w:r>
      <w:r>
        <w:rPr>
          <w:rFonts w:hint="eastAsia" w:ascii="仿宋_GB2312" w:hAnsi="宋体" w:eastAsia="仿宋_GB2312"/>
          <w:bCs/>
          <w:sz w:val="32"/>
          <w:szCs w:val="32"/>
        </w:rPr>
        <w:t>社会效益：本单位未涉及本条指标</w:t>
      </w:r>
    </w:p>
    <w:p>
      <w:pPr>
        <w:numPr>
          <w:numId w:val="0"/>
        </w:numPr>
        <w:spacing w:line="600" w:lineRule="exact"/>
        <w:ind w:firstLine="640" w:firstLineChars="200"/>
        <w:jc w:val="left"/>
        <w:rPr>
          <w:rFonts w:ascii="仿宋_GB2312" w:hAnsi="宋体" w:eastAsia="仿宋_GB2312"/>
          <w:b/>
          <w:sz w:val="32"/>
          <w:szCs w:val="32"/>
        </w:rPr>
      </w:pPr>
      <w:r>
        <w:rPr>
          <w:rFonts w:hint="eastAsia" w:ascii="仿宋_GB2312" w:hAnsi="宋体" w:eastAsia="仿宋_GB2312"/>
          <w:bCs/>
          <w:sz w:val="32"/>
          <w:szCs w:val="32"/>
        </w:rPr>
        <w:t>5.可持续发展能力：本单位未涉及本条指标</w:t>
      </w:r>
    </w:p>
    <w:p>
      <w:pPr>
        <w:numPr>
          <w:numId w:val="0"/>
        </w:numPr>
        <w:spacing w:line="600" w:lineRule="exact"/>
        <w:ind w:firstLine="640" w:firstLineChars="200"/>
        <w:jc w:val="left"/>
        <w:rPr>
          <w:rFonts w:ascii="仿宋_GB2312" w:hAnsi="宋体" w:eastAsia="仿宋_GB2312"/>
          <w:b/>
          <w:sz w:val="32"/>
          <w:szCs w:val="32"/>
        </w:rPr>
      </w:pPr>
      <w:r>
        <w:rPr>
          <w:rFonts w:hint="eastAsia" w:ascii="仿宋_GB2312" w:hAnsi="宋体" w:eastAsia="仿宋_GB2312"/>
          <w:bCs/>
          <w:sz w:val="32"/>
          <w:szCs w:val="32"/>
        </w:rPr>
        <w:t>6.服务对象满意度：本单位未涉及本条指标</w:t>
      </w:r>
    </w:p>
    <w:p>
      <w:pPr>
        <w:numPr>
          <w:ilvl w:val="0"/>
          <w:numId w:val="0"/>
        </w:numPr>
        <w:snapToGrid w:val="0"/>
        <w:spacing w:line="540" w:lineRule="exact"/>
        <w:ind w:left="648" w:leftChars="0"/>
        <w:rPr>
          <w:rFonts w:hint="eastAsia" w:ascii="黑体" w:hAnsi="黑体" w:eastAsia="黑体" w:cs="宋体"/>
          <w:b/>
          <w:color w:val="000000" w:themeColor="text1"/>
          <w:sz w:val="32"/>
          <w:szCs w:val="32"/>
          <w:lang w:val="en-US" w:eastAsia="zh-CN"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四、评价结论：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2024年度部门整体支出绩效评价综合得分98分，评价结果为“优”。</w:t>
      </w:r>
    </w:p>
    <w:p>
      <w:pPr>
        <w:numPr>
          <w:ilvl w:val="0"/>
          <w:numId w:val="0"/>
        </w:numPr>
        <w:snapToGrid w:val="0"/>
        <w:spacing w:line="540" w:lineRule="exact"/>
        <w:ind w:left="648" w:leftChars="0"/>
        <w:rPr>
          <w:rFonts w:hint="eastAsia" w:ascii="黑体" w:hAnsi="黑体" w:eastAsia="黑体" w:cs="宋体"/>
          <w:b/>
          <w:color w:val="000000" w:themeColor="text1"/>
          <w:sz w:val="32"/>
          <w:szCs w:val="32"/>
          <w:lang w:val="en-US" w:eastAsia="zh-CN"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五、存在的主要问题及原因分析：</w:t>
      </w:r>
    </w:p>
    <w:p>
      <w:pPr>
        <w:spacing w:line="600" w:lineRule="exact"/>
        <w:ind w:left="320" w:leftChars="100" w:firstLine="321" w:firstLineChars="100"/>
        <w:jc w:val="left"/>
        <w:rPr>
          <w:rFonts w:hint="eastAsia" w:ascii="楷体_GB2312" w:hAnsi="楷体_GB2312" w:eastAsia="楷体_GB2312" w:cs="楷体_GB2312"/>
          <w:b/>
          <w:color w:val="000000" w:themeColor="text1"/>
          <w:sz w:val="32"/>
          <w:szCs w:val="32"/>
          <w:lang w:bidi="ar"/>
          <w14:textFill>
            <w14:solidFill>
              <w14:schemeClr w14:val="tx1"/>
            </w14:solidFill>
          </w14:textFill>
        </w:rPr>
      </w:pPr>
      <w:r>
        <w:rPr>
          <w:rFonts w:hint="eastAsia" w:ascii="楷体_GB2312" w:hAnsi="楷体_GB2312" w:eastAsia="楷体_GB2312" w:cs="楷体_GB2312"/>
          <w:b/>
          <w:color w:val="000000" w:themeColor="text1"/>
          <w:sz w:val="32"/>
          <w:szCs w:val="32"/>
          <w:lang w:bidi="ar"/>
          <w14:textFill>
            <w14:solidFill>
              <w14:schemeClr w14:val="tx1"/>
            </w14:solidFill>
          </w14:textFill>
        </w:rPr>
        <w:t>（一）绩效指标设置不够明确</w:t>
      </w:r>
    </w:p>
    <w:p>
      <w:pPr>
        <w:spacing w:line="600" w:lineRule="exact"/>
        <w:jc w:val="left"/>
        <w:rPr>
          <w:rFonts w:hint="eastAsia" w:ascii="仿宋_GB2312" w:hAnsi="宋体" w:eastAsia="仿宋_GB2312"/>
          <w:bCs/>
          <w:sz w:val="32"/>
          <w:szCs w:val="32"/>
        </w:rPr>
      </w:pPr>
      <w:r>
        <w:rPr>
          <w:rFonts w:hint="eastAsia" w:ascii="仿宋_GB2312" w:hAnsi="宋体" w:eastAsia="仿宋_GB2312"/>
          <w:bCs/>
          <w:sz w:val="32"/>
          <w:szCs w:val="32"/>
        </w:rPr>
        <w:t>我单位部分绩效指标设置存在不够精简、指标数据无法统计和指标值设置过低等问题，部分项目绩效指标值设定为定性的指标，指标设置的科学性、合理性有待进一步提高。</w:t>
      </w:r>
    </w:p>
    <w:p>
      <w:pPr>
        <w:numPr>
          <w:ilvl w:val="0"/>
          <w:numId w:val="3"/>
        </w:numPr>
        <w:spacing w:line="600" w:lineRule="exact"/>
        <w:ind w:left="320" w:leftChars="100" w:firstLine="321" w:firstLineChars="100"/>
        <w:jc w:val="left"/>
        <w:rPr>
          <w:rFonts w:hint="eastAsia" w:ascii="楷体_GB2312" w:hAnsi="楷体_GB2312" w:eastAsia="楷体_GB2312" w:cs="楷体_GB2312"/>
          <w:b/>
          <w:color w:val="000000" w:themeColor="text1"/>
          <w:sz w:val="32"/>
          <w:szCs w:val="32"/>
          <w:lang w:bidi="ar"/>
          <w14:textFill>
            <w14:solidFill>
              <w14:schemeClr w14:val="tx1"/>
            </w14:solidFill>
          </w14:textFill>
        </w:rPr>
      </w:pPr>
      <w:r>
        <w:rPr>
          <w:rFonts w:hint="eastAsia" w:ascii="楷体_GB2312" w:hAnsi="楷体_GB2312" w:eastAsia="楷体_GB2312" w:cs="楷体_GB2312"/>
          <w:b/>
          <w:color w:val="000000" w:themeColor="text1"/>
          <w:sz w:val="32"/>
          <w:szCs w:val="32"/>
          <w:lang w:bidi="ar"/>
          <w14:textFill>
            <w14:solidFill>
              <w14:schemeClr w14:val="tx1"/>
            </w14:solidFill>
          </w14:textFill>
        </w:rPr>
        <w:t>固定资产账务管理不够细致、严谨</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抽查发现，各单位固定资产账务管理普遍存在入账不及时、漏入、入账信息、金额不准确或资产台账未登记到具体使用人等问题。</w:t>
      </w:r>
    </w:p>
    <w:p>
      <w:pPr>
        <w:numPr>
          <w:ilvl w:val="0"/>
          <w:numId w:val="3"/>
        </w:numPr>
        <w:spacing w:line="600" w:lineRule="exact"/>
        <w:ind w:left="320" w:leftChars="100" w:firstLine="321" w:firstLineChars="100"/>
        <w:jc w:val="left"/>
        <w:rPr>
          <w:rFonts w:hint="eastAsia" w:ascii="楷体_GB2312" w:hAnsi="楷体_GB2312" w:eastAsia="楷体_GB2312" w:cs="楷体_GB2312"/>
          <w:b/>
          <w:color w:val="000000" w:themeColor="text1"/>
          <w:sz w:val="32"/>
          <w:szCs w:val="32"/>
          <w:lang w:bidi="ar"/>
          <w14:textFill>
            <w14:solidFill>
              <w14:schemeClr w14:val="tx1"/>
            </w14:solidFill>
          </w14:textFill>
        </w:rPr>
      </w:pPr>
      <w:r>
        <w:rPr>
          <w:rFonts w:hint="eastAsia" w:ascii="楷体_GB2312" w:hAnsi="楷体_GB2312" w:eastAsia="楷体_GB2312" w:cs="楷体_GB2312"/>
          <w:b/>
          <w:color w:val="000000" w:themeColor="text1"/>
          <w:sz w:val="32"/>
          <w:szCs w:val="32"/>
          <w:lang w:bidi="ar"/>
          <w14:textFill>
            <w14:solidFill>
              <w14:schemeClr w14:val="tx1"/>
            </w14:solidFill>
          </w14:textFill>
        </w:rPr>
        <w:t>项目监督工作存在薄弱环节</w:t>
      </w:r>
    </w:p>
    <w:p>
      <w:pPr>
        <w:numPr>
          <w:numId w:val="0"/>
        </w:numPr>
        <w:spacing w:line="600" w:lineRule="exact"/>
        <w:ind w:firstLine="640" w:firstLineChars="200"/>
        <w:jc w:val="left"/>
        <w:rPr>
          <w:rFonts w:ascii="仿宋_GB2312" w:hAnsi="宋体" w:eastAsia="仿宋_GB2312"/>
          <w:bCs/>
          <w:sz w:val="32"/>
          <w:szCs w:val="32"/>
        </w:rPr>
      </w:pPr>
      <w:r>
        <w:rPr>
          <w:rFonts w:hint="eastAsia" w:ascii="仿宋_GB2312" w:hAnsi="宋体" w:eastAsia="仿宋_GB2312"/>
          <w:bCs/>
          <w:sz w:val="32"/>
          <w:szCs w:val="32"/>
        </w:rPr>
        <w:t>项目实施过程中的上报、跟踪、反馈机制尚未真正形成，项目资金的使用、实施等监管措施仍然存在改进的空间。</w:t>
      </w:r>
    </w:p>
    <w:p>
      <w:pPr>
        <w:numPr>
          <w:numId w:val="0"/>
        </w:numPr>
        <w:snapToGrid w:val="0"/>
        <w:spacing w:line="540" w:lineRule="exact"/>
        <w:ind w:firstLine="643" w:firstLineChars="200"/>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六、</w:t>
      </w:r>
      <w:r>
        <w:rPr>
          <w:rFonts w:hint="eastAsia" w:ascii="黑体" w:hAnsi="黑体" w:eastAsia="黑体" w:cs="宋体"/>
          <w:b/>
          <w:color w:val="000000" w:themeColor="text1"/>
          <w:sz w:val="32"/>
          <w:szCs w:val="32"/>
          <w:lang w:bidi="ar"/>
          <w14:textFill>
            <w14:solidFill>
              <w14:schemeClr w14:val="tx1"/>
            </w14:solidFill>
          </w14:textFill>
        </w:rPr>
        <w:t>改进措施和建议：</w:t>
      </w:r>
    </w:p>
    <w:p>
      <w:pPr>
        <w:numPr>
          <w:numId w:val="0"/>
        </w:numPr>
        <w:spacing w:line="600" w:lineRule="exact"/>
        <w:ind w:left="961" w:leftChars="200" w:hanging="321" w:hangingChars="100"/>
        <w:jc w:val="left"/>
        <w:rPr>
          <w:rFonts w:hint="eastAsia" w:ascii="楷体_GB2312" w:hAnsi="楷体_GB2312" w:eastAsia="楷体_GB2312" w:cs="楷体_GB2312"/>
          <w:b/>
          <w:color w:val="000000" w:themeColor="text1"/>
          <w:sz w:val="32"/>
          <w:szCs w:val="32"/>
          <w:lang w:bidi="ar"/>
          <w14:textFill>
            <w14:solidFill>
              <w14:schemeClr w14:val="tx1"/>
            </w14:solidFill>
          </w14:textFill>
        </w:rPr>
      </w:pPr>
      <w:r>
        <w:rPr>
          <w:rFonts w:hint="eastAsia" w:ascii="楷体_GB2312" w:hAnsi="楷体_GB2312" w:eastAsia="楷体_GB2312" w:cs="楷体_GB2312"/>
          <w:b/>
          <w:color w:val="000000" w:themeColor="text1"/>
          <w:sz w:val="32"/>
          <w:szCs w:val="32"/>
          <w:lang w:eastAsia="zh-CN" w:bidi="ar"/>
          <w14:textFill>
            <w14:solidFill>
              <w14:schemeClr w14:val="tx1"/>
            </w14:solidFill>
          </w14:textFill>
        </w:rPr>
        <w:t>（</w:t>
      </w:r>
      <w:r>
        <w:rPr>
          <w:rFonts w:hint="eastAsia" w:ascii="楷体_GB2312" w:hAnsi="楷体_GB2312" w:eastAsia="楷体_GB2312" w:cs="楷体_GB2312"/>
          <w:b/>
          <w:color w:val="000000" w:themeColor="text1"/>
          <w:sz w:val="32"/>
          <w:szCs w:val="32"/>
          <w:lang w:val="en-US" w:eastAsia="zh-CN" w:bidi="ar"/>
          <w14:textFill>
            <w14:solidFill>
              <w14:schemeClr w14:val="tx1"/>
            </w14:solidFill>
          </w14:textFill>
        </w:rPr>
        <w:t>一</w:t>
      </w:r>
      <w:r>
        <w:rPr>
          <w:rFonts w:hint="eastAsia" w:ascii="楷体_GB2312" w:hAnsi="楷体_GB2312" w:eastAsia="楷体_GB2312" w:cs="楷体_GB2312"/>
          <w:b/>
          <w:color w:val="000000" w:themeColor="text1"/>
          <w:sz w:val="32"/>
          <w:szCs w:val="32"/>
          <w:lang w:eastAsia="zh-CN" w:bidi="ar"/>
          <w14:textFill>
            <w14:solidFill>
              <w14:schemeClr w14:val="tx1"/>
            </w14:solidFill>
          </w14:textFill>
        </w:rPr>
        <w:t>）</w:t>
      </w:r>
      <w:r>
        <w:rPr>
          <w:rFonts w:hint="eastAsia" w:ascii="楷体_GB2312" w:hAnsi="楷体_GB2312" w:eastAsia="楷体_GB2312" w:cs="楷体_GB2312"/>
          <w:b/>
          <w:color w:val="000000" w:themeColor="text1"/>
          <w:sz w:val="32"/>
          <w:szCs w:val="32"/>
          <w:lang w:bidi="ar"/>
          <w14:textFill>
            <w14:solidFill>
              <w14:schemeClr w14:val="tx1"/>
            </w14:solidFill>
          </w14:textFill>
        </w:rPr>
        <w:t>强化部门绩效管理体系建设</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一是建议以规章规则的形式，出台绩效管理制度，对绩效管理的目的、意义、性质和特点，以及组织实施绩效管理的程序、步骤、方法、原则和要求进行统一的规定。二是合理设置年度任务。提高各处室对部门中长期规划的重视程度，增强相关规划的落地性、导向性。三是探索符合部门工作特点的评价指标体系。在设定绩效目标时选取相关性强的量化指标，并注重选取符合实际工作情况的指标值。</w:t>
      </w:r>
    </w:p>
    <w:p>
      <w:pPr>
        <w:numPr>
          <w:ilvl w:val="0"/>
          <w:numId w:val="4"/>
        </w:numPr>
        <w:spacing w:line="600" w:lineRule="exact"/>
        <w:ind w:firstLine="643" w:firstLineChars="200"/>
        <w:jc w:val="left"/>
        <w:rPr>
          <w:rFonts w:hint="eastAsia" w:ascii="楷体_GB2312" w:hAnsi="楷体_GB2312" w:eastAsia="楷体_GB2312" w:cs="楷体_GB2312"/>
          <w:b/>
          <w:color w:val="000000" w:themeColor="text1"/>
          <w:sz w:val="32"/>
          <w:szCs w:val="32"/>
          <w:lang w:val="en-US" w:eastAsia="zh-CN" w:bidi="ar"/>
          <w14:textFill>
            <w14:solidFill>
              <w14:schemeClr w14:val="tx1"/>
            </w14:solidFill>
          </w14:textFill>
        </w:rPr>
      </w:pPr>
      <w:r>
        <w:rPr>
          <w:rFonts w:hint="eastAsia" w:ascii="楷体_GB2312" w:hAnsi="楷体_GB2312" w:eastAsia="楷体_GB2312" w:cs="楷体_GB2312"/>
          <w:b/>
          <w:color w:val="000000" w:themeColor="text1"/>
          <w:sz w:val="32"/>
          <w:szCs w:val="32"/>
          <w:lang w:val="en-US" w:eastAsia="zh-CN" w:bidi="ar"/>
          <w14:textFill>
            <w14:solidFill>
              <w14:schemeClr w14:val="tx1"/>
            </w14:solidFill>
          </w14:textFill>
        </w:rPr>
        <w:t>加强固定资产账务管理，确保账实相符</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针对抽查发现的问题，查找根源并改进，建议：一是加强年度政府采购台账和固定资产台账信息的比对，避免资产漏入、少入或录入不及时，二是资产领用应尽可能明确到具体使用人。三是资产入账时相关人员应再次确认发票、合同信息，避免基础信息录入错误</w:t>
      </w:r>
    </w:p>
    <w:p>
      <w:pPr>
        <w:numPr>
          <w:numId w:val="0"/>
        </w:numPr>
        <w:spacing w:line="600" w:lineRule="exact"/>
        <w:ind w:leftChars="200"/>
        <w:jc w:val="left"/>
        <w:rPr>
          <w:rFonts w:hint="eastAsia" w:ascii="仿宋_GB2312" w:hAnsi="宋体" w:eastAsia="仿宋_GB2312"/>
          <w:bCs/>
          <w:sz w:val="32"/>
          <w:szCs w:val="32"/>
        </w:rPr>
      </w:pPr>
      <w:r>
        <w:rPr>
          <w:rFonts w:hint="eastAsia" w:ascii="楷体_GB2312" w:hAnsi="楷体_GB2312" w:eastAsia="楷体_GB2312" w:cs="楷体_GB2312"/>
          <w:b/>
          <w:color w:val="000000" w:themeColor="text1"/>
          <w:sz w:val="32"/>
          <w:szCs w:val="32"/>
          <w:lang w:val="en-US" w:eastAsia="zh-CN" w:bidi="ar"/>
          <w14:textFill>
            <w14:solidFill>
              <w14:schemeClr w14:val="tx1"/>
            </w14:solidFill>
          </w14:textFill>
        </w:rPr>
        <w:t>（三</w:t>
      </w:r>
      <w:bookmarkStart w:id="2" w:name="_GoBack"/>
      <w:bookmarkEnd w:id="2"/>
      <w:r>
        <w:rPr>
          <w:rFonts w:hint="eastAsia" w:ascii="楷体_GB2312" w:hAnsi="楷体_GB2312" w:eastAsia="楷体_GB2312" w:cs="楷体_GB2312"/>
          <w:b/>
          <w:color w:val="000000" w:themeColor="text1"/>
          <w:sz w:val="32"/>
          <w:szCs w:val="32"/>
          <w:lang w:val="en-US" w:eastAsia="zh-CN" w:bidi="ar"/>
          <w14:textFill>
            <w14:solidFill>
              <w14:schemeClr w14:val="tx1"/>
            </w14:solidFill>
          </w14:textFill>
        </w:rPr>
        <w:t>）建立动态分析管理机制，提高项目监管主动性</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业务部门进行指导、监督和检查时进一步加强主动性，积极探索更有效和积极主动的监管方式。一方面要建立重点项目实施过程的反馈机制，依托相关XX信息平台，加大对重点部门、重点项目的监控力度，并建立对重点项目实施情况按月度上报机制，及时督促相关地区对政策的落地执行，提高对项目的整体把控能力。另一方面积极主动下基层进行抽查和检查，强化对基层单位和“微权力”的管理监督。同时进一步扩大抽查覆盖面，或聘请专业第三方机构对项目运行情况进行事中、事后监控。</w:t>
      </w:r>
    </w:p>
    <w:p>
      <w:pPr>
        <w:numPr>
          <w:ilvl w:val="0"/>
          <w:numId w:val="0"/>
        </w:numPr>
        <w:snapToGrid w:val="0"/>
        <w:spacing w:line="540" w:lineRule="exact"/>
        <w:ind w:firstLine="643" w:firstLineChars="200"/>
        <w:rPr>
          <w:rFonts w:hint="eastAsia" w:ascii="黑体" w:hAnsi="黑体" w:eastAsia="黑体" w:cs="宋体"/>
          <w:b/>
          <w:color w:val="000000" w:themeColor="text1"/>
          <w:sz w:val="32"/>
          <w:szCs w:val="32"/>
          <w:lang w:val="en-US" w:eastAsia="zh-CN" w:bidi="ar"/>
          <w14:textFill>
            <w14:solidFill>
              <w14:schemeClr w14:val="tx1"/>
            </w14:solidFill>
          </w14:textFill>
        </w:rPr>
      </w:pPr>
      <w:bookmarkStart w:id="1" w:name="_Toc26203"/>
      <w:r>
        <w:rPr>
          <w:rFonts w:hint="default" w:ascii="黑体" w:hAnsi="黑体" w:eastAsia="黑体" w:cs="宋体"/>
          <w:b/>
          <w:color w:val="000000" w:themeColor="text1"/>
          <w:sz w:val="32"/>
          <w:szCs w:val="32"/>
          <w:lang w:val="en-US" w:eastAsia="zh-CN" w:bidi="ar"/>
          <w14:textFill>
            <w14:solidFill>
              <w14:schemeClr w14:val="tx1"/>
            </w14:solidFill>
          </w14:textFill>
        </w:rPr>
        <w:t>七、附表：《部门整体支出绩效目标自评表》</w:t>
      </w:r>
      <w:bookmarkEnd w:id="1"/>
    </w:p>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62"/>
        <w:gridCol w:w="1120"/>
        <w:gridCol w:w="1322"/>
        <w:gridCol w:w="1277"/>
        <w:gridCol w:w="1151"/>
        <w:gridCol w:w="939"/>
        <w:gridCol w:w="940"/>
        <w:gridCol w:w="6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部门（单位）整体支出绩效目标自评表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部门（单位）名称</w:t>
            </w:r>
          </w:p>
        </w:tc>
        <w:tc>
          <w:tcPr>
            <w:tcW w:w="4082"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特克斯县住房和城乡建设局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9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部门资金（万元）</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资金来源</w:t>
            </w: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分值权重</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2" w:hRule="atLeast"/>
        </w:trPr>
        <w:tc>
          <w:tcPr>
            <w:tcW w:w="9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年度总资金</w:t>
            </w: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10646.76</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49044.49</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49044.49</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2" w:hRule="atLeast"/>
        </w:trPr>
        <w:tc>
          <w:tcPr>
            <w:tcW w:w="9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上级资金：</w:t>
            </w: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1446.95</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8879.02</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8879.02</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2" w:hRule="atLeast"/>
        </w:trPr>
        <w:tc>
          <w:tcPr>
            <w:tcW w:w="9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本级资金：</w:t>
            </w: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8999.81</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40165.47</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40165.47</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2" w:hRule="atLeast"/>
        </w:trPr>
        <w:tc>
          <w:tcPr>
            <w:tcW w:w="9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200</w:t>
            </w:r>
          </w:p>
        </w:tc>
        <w:tc>
          <w:tcPr>
            <w:tcW w:w="7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9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205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202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9" w:hRule="atLeast"/>
        </w:trPr>
        <w:tc>
          <w:tcPr>
            <w:tcW w:w="9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05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扎实推进各项重点工作任务。坚持“稳”字当头，促进我县房地产业良性循环和健康发展；完善住房保障体系，解决好青年人等住房突出问题；实施新型城镇化战略，加快推进城市更新行动；推进智慧城市建设，提升城市精细化管理水平；实施乡村建设行动，巩固拓展脱贫攻坚成果同乡村振兴有效衔接；坚持强基固本，提升我县建筑业发展质量和效益；坚持“绿色低碳”，加快转变城乡建设发展方式；统筹发展与安全，健全住房和城乡建设行业安全体系；坚持改革创新，提升行业治理能力和治理体系现代化水平，持续推进本年度项目建设进度。</w:t>
            </w:r>
          </w:p>
        </w:tc>
        <w:tc>
          <w:tcPr>
            <w:tcW w:w="202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推进各项重点工作任务。坚持“稳”字当头，促进我县房地产业良性循环和健康发展；完善住房保障体系，解决好青年人等住房突出问题；实施新型城镇化战略，加快推进城市更新行动；推进智慧城市建设，提升城市精细化管理水平；实施乡村建设行动，巩固拓展脱贫攻坚成果同乡村振兴有效衔接；坚持强基固本，提升我县建筑业发展质量和效益；坚持“绿色低碳”，加快转变城乡建设发展方式；统筹发展与安全，健全住房和城乡建设行业安全体系；坚持改革创新，提升行业治理能力和治理体系现代化水平，持续推进本年度项目建设进度。完成了各项工作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预期指标值</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分值权重</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实际完成指标值</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9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履职效能</w:t>
            </w:r>
          </w:p>
        </w:tc>
        <w:tc>
          <w:tcPr>
            <w:tcW w:w="6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保障性租赁住房建设数量</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&gt;=336套</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特克斯县人民政府工作报告</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336套</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9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老旧小区改造数量</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&gt;=8个</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特克斯县人民政府工作报告</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8个</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9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保护修缮历史文化建筑</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&gt;=36处</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工作计划</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36处</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9" w:hRule="atLeast"/>
        </w:trPr>
        <w:tc>
          <w:tcPr>
            <w:tcW w:w="9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新增天燃气入户数量</w:t>
            </w: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&gt;=800户</w:t>
            </w:r>
          </w:p>
        </w:tc>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工作计划</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800户</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r>
    </w:tbl>
    <w:p/>
    <w:sectPr>
      <w:pgSz w:w="11906" w:h="16838"/>
      <w:pgMar w:top="2098" w:right="1531" w:bottom="1984" w:left="153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B5F35D"/>
    <w:multiLevelType w:val="singleLevel"/>
    <w:tmpl w:val="DFB5F35D"/>
    <w:lvl w:ilvl="0" w:tentative="0">
      <w:start w:val="2"/>
      <w:numFmt w:val="chineseCounting"/>
      <w:suff w:val="nothing"/>
      <w:lvlText w:val="（%1）"/>
      <w:lvlJc w:val="left"/>
      <w:rPr>
        <w:rFonts w:hint="eastAsia"/>
      </w:rPr>
    </w:lvl>
  </w:abstractNum>
  <w:abstractNum w:abstractNumId="1">
    <w:nsid w:val="0EB68B02"/>
    <w:multiLevelType w:val="singleLevel"/>
    <w:tmpl w:val="0EB68B02"/>
    <w:lvl w:ilvl="0" w:tentative="0">
      <w:start w:val="2"/>
      <w:numFmt w:val="chineseCounting"/>
      <w:suff w:val="nothing"/>
      <w:lvlText w:val="（%1）"/>
      <w:lvlJc w:val="left"/>
      <w:rPr>
        <w:rFonts w:hint="eastAsia"/>
      </w:rPr>
    </w:lvl>
  </w:abstractNum>
  <w:abstractNum w:abstractNumId="2">
    <w:nsid w:val="3DAF6B96"/>
    <w:multiLevelType w:val="singleLevel"/>
    <w:tmpl w:val="3DAF6B96"/>
    <w:lvl w:ilvl="0" w:tentative="0">
      <w:start w:val="2"/>
      <w:numFmt w:val="chineseCounting"/>
      <w:suff w:val="nothing"/>
      <w:lvlText w:val="（%1）"/>
      <w:lvlJc w:val="left"/>
      <w:rPr>
        <w:rFonts w:hint="eastAsia"/>
      </w:rPr>
    </w:lvl>
  </w:abstractNum>
  <w:abstractNum w:abstractNumId="3">
    <w:nsid w:val="56958B70"/>
    <w:multiLevelType w:val="singleLevel"/>
    <w:tmpl w:val="56958B70"/>
    <w:lvl w:ilvl="0" w:tentative="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2FA5549B"/>
    <w:rsid w:val="4D0C7755"/>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640" w:firstLineChars="20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51</TotalTime>
  <ScaleCrop>false</ScaleCrop>
  <LinksUpToDate>false</LinksUpToDate>
  <CharactersWithSpaces>384</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Administrator</cp:lastModifiedBy>
  <dcterms:modified xsi:type="dcterms:W3CDTF">2025-07-17T09:10:02Z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4E2A216151A24EE5A190066F518526B7</vt:lpwstr>
  </property>
</Properties>
</file>