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新疆伊犁州特克斯县农业农村局</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（一）贯彻落实国家、自治区和自治州有关农业农村、畜牧兽医方面的法律、法规和政策，指导监督农业综合执法。</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（二）统筹推动发展农村社会事业、农村公共服务、农村文化、农村基础设施和乡村治理。牵头组织改善农村人居环境。指导农村精神文明和优秀农耕文化建设。指导农业行业安全生产工作。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三）贯彻深化农村经济体制改革和巩固完善农村基本经营制度的政策。负责农民承包地、农村宅基地改革和管理有关工作。负责农村集体产权制度改革，指导农村集体经济组织发展和集体资产管理工作。指导农民合作经济组织、农业社会化服务体系、新型农业经营主体建设与发展。</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指导乡村特色产业、农畜产品加工业、休闲农业和乡镇企业发展工作。提出促进大宗农畜产品流通的建议，培育、保护农牧业品牌。发布农业农村经济信息，监测分析农业农村经济运行。承担农牧业统计和农业农村信息化有关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五）负责种植业、畜牧业、农业机械化等农业各产业的监督管理。指导农业产业化发展。指导粮食等农产品生产。组织构建现代化农业产业体系、生产体系、经营体系，指导农牧业生产。指导落实畜牧业结构调整、畜禽遗传资源保护与利用、种畜禽管理及良种推广利用、标准化规模化生产、畜禽养殖场备案管理、畜禽粪污资源化利用、病死畜禽无害化处理、畜牧设施装备现代化。指导饲草良种体系建设、饲草生产加工流通、草牧业转型升级、农牧交错带产业结构调整。负责渔业监督管理和动植物防疫应急管理。</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六）负责农牧产品质量安全监督管理。组织开展农畜产品质量安全监测、追溯、风险评估。参与制定农畜产品质量安全地方标准并会同有关部门组织实施。指导农畜产品检验检测体系建设。负责畜牧业、兽药和兽医器械行业、饲料饲草业、畜禽屠宰行业监督管理。</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七）组织农业资源区划工作。指导农用地、农业生物物种资源的保护和管理，负责耕地及永久基本农田质量保护工作。指导蜂产业工作。指导农产品产地环境管理和农业清洁生产，指导设施农业、生态循环农业、节本农业发展以及农村可再生能源综合开发利用、农业生物质产业发展。承担外来物种相关管理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八）负责县域内有关农牧业生产资料和农牧业投入品的监督管理。组织农牧业生产资料市场体系建设，参与有关农牧业生产资料标准并监督实施。组织实施畜牧业、兽医器械行业、动物疫病防治、动物卫生、饲料饲草业、畜禽屠宰行业有和技术规范。负责实施动物及动物产品检疫、动物件审核、动物标识及动物产品可追溯、动物卫生监督、兽医生物制品、动物病原微生物和实验室生物安全分级管理。</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九）负责兽医医政监督管理，负责兽医相关人员、中兽医和动物诊疗机构管理。承担畜牧兽医体系建设工作。负责兽药及兽医器械、饲料及饲料添加剂、生鲜乳生产收购运输环节、畜禽屠宰环节质量安全监督管理。</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负责农业防灾减灾、农作物重大病虫害防治工作。指导动植物防疫检疫体系建设，组织、监督县内动植物防疫工作，发布疫情并组织扑灭。组织实施全县畜禽遗传资源、饲料饲草资源保护和开发利用工作。依法开展种子、农药许可及监督管理工作，权限内核发兽药经营（不含生物制品）许可。</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一）负责农牧业投资管理。提出农牧业投融资体制机制改革建设。编制中央、自治区、自治州投资安排的农牧业投资项目建设规划，提出农牧业投资规模、方向和扶持农业农村发展财政项目的建设，按规定权限审批农业投资项目，负责农牧业投资项目资金安排和监督管理。</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二）承担农业科技体制改革和农业科技创新体系建设。指导农业产业技术体系和农技推广体系建设，组织开展农业领域的高新技术和应用技术研究、科技成果转化和技术推广。负责农业转基因生物安全监督管理和农业植物新品种保护。</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（十三）指导农业农村人才工作。拟定农业农村人才队伍建设规划并组织实施，指导农业教育和农业职业技能开发，指导新型职业农民培育、农业科技人才培养和农村实用人才培训工作。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（十四）牵头开展农业对外合作工作。承办农业涉外事务，参与县域内农业贸易促进和有关国际交流合作，参与县内对外援县政策和规划制定，协助有关部门组织实施有关农业援外项目。</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五）指导全县畜牧业生产、抗灾保畜、防灾基地建设和对口扶贫开发工作。承担对县、乡镇各类畜牧业业和业务指导服务及协调工作。指导全县畜牧业结构和布局调整，组织标准化生产和规模饲养，指导县畜牧业社会服务体系规划和建设。指导全县畜牧业科学研究和新技术推广，组织协调畜牧业重大科技项目的联合攻关。组织协调县畜牧业对外经济技术合作项目、科技交流及技术引进等涉外工作，拟定畜牧业县级标准并组织监督实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六）职能转变。统筹实施乡村振兴战略，深化农业和畜牧业供给侧结构性改革，提升农牧业发展质量，扎实推进美丽乡村建设，推动农业全面升级、农村全面进步、农民全面发展，加快实现农业村现代化，提升农业、畜牧业绿色发展水平。加强农产品、畜产品质量安全和相关农牧业生产资料、农牧业投入品、生鲜乳和畜禽养殖、屠宰等各环节监督管理和动植物疫病防控，坚持最严谨的标准、最严格的监管、最严厉的处罚、最严肃的问责，严防、严管、严控质量安全风险，让人民群众吃得放心、安心。深入推进简政放权，加强对行业内交叉重复以及性质相同、用途相近的农业投资项目的统筹整合，最大限度缩小项目审批范围和简化畜牧兽医有关行政审批事项办理程序及要求，加强事中、事后监管，切实提升国家、自治区、自治州支农政策效果和资金使用效益。</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七）有关职责分工。县农业农村局与县市场监督管理局的有关职责分工：县农业农村局负责食用农产品、畜产品人种植养殖环节到进入批发、零售市场或生产加工企业前的质量安全监督管理。食用农产品、畜产品进入批发、零售市场或生产加工企业后，由县市场监督管理局监督管理。县农业农村局负责动植物疫病防控、畜禽屠宰环节、生鲜乳收购环节质量安全的监督管理。县农业农村局和县市场监督管理局加强协调配合和工作衔接，建立食品安全产地准出、市场准入和追溯机制，形成监管合力。</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（十八）承办县委、县人民政府交办的其他任务。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新疆伊犁州特克斯县农业农村局2021年度，实有人数179人，其中：在职人员85人，离休人员0人，退休人员94人。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从部门决算单位构成看，新疆伊犁州特克斯县农业农村局部门决算包括：新疆伊犁州特克斯县农业农村局部门本级决算及所属单位决算。</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新疆伊犁州特克斯县农业农村局本级下设4个处室，分别是：乡村振兴办公室、农牧业产业发展科、农田建设管理科、畜牧兽医管理科。</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纳入新疆伊犁州特克斯县农业农村局2021年度部门决算编制范围的单位名单见下表：</w:t>
      </w:r>
    </w:p>
    <w:tbl>
      <w:tblPr>
        <w:tblStyle w:val="8"/>
        <w:tblpPr w:leftFromText="180" w:rightFromText="180" w:vertAnchor="text" w:horzAnchor="page" w:tblpX="491" w:tblpY="17"/>
        <w:tblOverlap w:val="never"/>
        <w:tblW w:w="571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5"/>
        <w:gridCol w:w="5095"/>
        <w:gridCol w:w="4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85" w:type="pct"/>
            <w:noWrap w:val="0"/>
            <w:vAlign w:val="center"/>
          </w:tcPr>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bookmarkStart w:id="6" w:name="_Toc29374"/>
            <w:bookmarkStart w:id="7" w:name="_Toc3092"/>
            <w:r>
              <w:rPr>
                <w:rFonts w:hint="eastAsia" w:ascii="仿宋_GB2312" w:eastAsia="仿宋_GB2312"/>
                <w:color w:val="auto"/>
                <w:sz w:val="32"/>
                <w:szCs w:val="32"/>
                <w:highlight w:val="none"/>
                <w:lang w:val="en-US" w:eastAsia="zh-CN"/>
              </w:rPr>
              <w:t>序号</w:t>
            </w:r>
          </w:p>
          <w:p>
            <w:pPr>
              <w:keepNext w:val="0"/>
              <w:keepLines w:val="0"/>
              <w:pageBreakBefore w:val="0"/>
              <w:widowControl w:val="0"/>
              <w:kinsoku/>
              <w:wordWrap/>
              <w:overflowPunct/>
              <w:topLinePunct w:val="0"/>
              <w:bidi w:val="0"/>
              <w:adjustRightInd/>
              <w:snapToGrid/>
              <w:spacing w:line="240" w:lineRule="auto"/>
              <w:jc w:val="left"/>
              <w:textAlignment w:val="auto"/>
              <w:rPr>
                <w:rFonts w:hint="default" w:ascii="仿宋_GB2312" w:eastAsia="仿宋_GB2312"/>
                <w:sz w:val="32"/>
                <w:szCs w:val="32"/>
                <w:highlight w:val="none"/>
                <w:lang w:val="en-US" w:eastAsia="zh-CN"/>
              </w:rPr>
            </w:pPr>
          </w:p>
        </w:tc>
        <w:tc>
          <w:tcPr>
            <w:tcW w:w="2614" w:type="pct"/>
            <w:noWrap w:val="0"/>
            <w:vAlign w:val="top"/>
          </w:tcPr>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单位名称</w:t>
            </w:r>
          </w:p>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仿宋_GB2312" w:eastAsia="仿宋_GB2312"/>
                <w:sz w:val="32"/>
                <w:szCs w:val="32"/>
                <w:highlight w:val="none"/>
                <w:lang w:val="en-US" w:eastAsia="zh-CN"/>
              </w:rPr>
            </w:pPr>
          </w:p>
        </w:tc>
        <w:tc>
          <w:tcPr>
            <w:tcW w:w="2099" w:type="pct"/>
            <w:noWrap w:val="0"/>
            <w:vAlign w:val="top"/>
          </w:tcPr>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单位性质</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仿宋_GB2312" w:eastAsia="仿宋_GB2312"/>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85" w:type="pct"/>
            <w:noWrap w:val="0"/>
            <w:vAlign w:val="center"/>
          </w:tcPr>
          <w:p>
            <w:pPr>
              <w:keepNext w:val="0"/>
              <w:keepLines w:val="0"/>
              <w:pageBreakBefore w:val="0"/>
              <w:widowControl w:val="0"/>
              <w:kinsoku/>
              <w:wordWrap/>
              <w:overflowPunct/>
              <w:topLinePunct w:val="0"/>
              <w:bidi w:val="0"/>
              <w:adjustRightInd/>
              <w:snapToGrid/>
              <w:spacing w:line="240" w:lineRule="auto"/>
              <w:jc w:val="left"/>
              <w:textAlignment w:val="auto"/>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1</w:t>
            </w:r>
          </w:p>
        </w:tc>
        <w:tc>
          <w:tcPr>
            <w:tcW w:w="2614" w:type="pct"/>
            <w:noWrap w:val="0"/>
            <w:vAlign w:val="top"/>
          </w:tcPr>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特克斯县农业农村局</w:t>
            </w:r>
          </w:p>
        </w:tc>
        <w:tc>
          <w:tcPr>
            <w:tcW w:w="2099" w:type="pct"/>
            <w:noWrap w:val="0"/>
            <w:vAlign w:val="top"/>
          </w:tcPr>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行政单位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85" w:type="pct"/>
            <w:noWrap w:val="0"/>
            <w:vAlign w:val="center"/>
          </w:tcPr>
          <w:p>
            <w:pPr>
              <w:keepNext w:val="0"/>
              <w:keepLines w:val="0"/>
              <w:pageBreakBefore w:val="0"/>
              <w:widowControl w:val="0"/>
              <w:kinsoku/>
              <w:wordWrap/>
              <w:overflowPunct/>
              <w:topLinePunct w:val="0"/>
              <w:bidi w:val="0"/>
              <w:adjustRightInd/>
              <w:snapToGrid/>
              <w:spacing w:line="240" w:lineRule="auto"/>
              <w:jc w:val="left"/>
              <w:textAlignment w:val="auto"/>
              <w:rPr>
                <w:rFonts w:hint="default" w:ascii="仿宋_GB2312" w:eastAsia="仿宋_GB2312"/>
                <w:sz w:val="32"/>
                <w:szCs w:val="32"/>
                <w:highlight w:val="none"/>
                <w:lang w:val="en-US" w:eastAsia="zh-CN"/>
              </w:rPr>
            </w:pPr>
            <w:r>
              <w:rPr>
                <w:rFonts w:hint="eastAsia" w:ascii="仿宋_GB2312" w:eastAsia="仿宋_GB2312"/>
                <w:color w:val="auto"/>
                <w:sz w:val="32"/>
                <w:szCs w:val="32"/>
                <w:highlight w:val="none"/>
                <w:lang w:val="en-US" w:eastAsia="zh-CN"/>
              </w:rPr>
              <w:t>2</w:t>
            </w:r>
          </w:p>
        </w:tc>
        <w:tc>
          <w:tcPr>
            <w:tcW w:w="2614" w:type="pct"/>
            <w:noWrap w:val="0"/>
            <w:vAlign w:val="top"/>
          </w:tcPr>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特克斯县农村经济管理局</w:t>
            </w:r>
          </w:p>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仿宋_GB2312" w:eastAsia="仿宋_GB2312"/>
                <w:sz w:val="32"/>
                <w:szCs w:val="32"/>
                <w:highlight w:val="none"/>
                <w:lang w:val="en-US" w:eastAsia="zh-CN"/>
              </w:rPr>
            </w:pPr>
          </w:p>
        </w:tc>
        <w:tc>
          <w:tcPr>
            <w:tcW w:w="2099" w:type="pct"/>
            <w:noWrap w:val="0"/>
            <w:vAlign w:val="top"/>
          </w:tcPr>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参照公务员法管理事业单位</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仿宋_GB2312" w:eastAsia="仿宋_GB2312"/>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85" w:type="pct"/>
            <w:noWrap w:val="0"/>
            <w:vAlign w:val="center"/>
          </w:tcPr>
          <w:p>
            <w:pPr>
              <w:keepNext w:val="0"/>
              <w:keepLines w:val="0"/>
              <w:pageBreakBefore w:val="0"/>
              <w:widowControl w:val="0"/>
              <w:kinsoku/>
              <w:wordWrap/>
              <w:overflowPunct/>
              <w:topLinePunct w:val="0"/>
              <w:bidi w:val="0"/>
              <w:adjustRightInd/>
              <w:snapToGrid/>
              <w:spacing w:line="240" w:lineRule="auto"/>
              <w:jc w:val="left"/>
              <w:textAlignment w:val="auto"/>
              <w:rPr>
                <w:rFonts w:hint="default" w:ascii="仿宋_GB2312" w:eastAsia="仿宋_GB2312"/>
                <w:sz w:val="32"/>
                <w:szCs w:val="32"/>
                <w:highlight w:val="none"/>
                <w:lang w:val="en-US" w:eastAsia="zh-CN"/>
              </w:rPr>
            </w:pPr>
            <w:r>
              <w:rPr>
                <w:rFonts w:hint="eastAsia" w:ascii="仿宋_GB2312" w:eastAsia="仿宋_GB2312"/>
                <w:color w:val="auto"/>
                <w:sz w:val="32"/>
                <w:szCs w:val="32"/>
                <w:highlight w:val="none"/>
                <w:lang w:val="en-US" w:eastAsia="zh-CN"/>
              </w:rPr>
              <w:t>3</w:t>
            </w:r>
          </w:p>
        </w:tc>
        <w:tc>
          <w:tcPr>
            <w:tcW w:w="2614" w:type="pct"/>
            <w:noWrap w:val="0"/>
            <w:vAlign w:val="top"/>
          </w:tcPr>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特克斯县人工影响天气办公室</w:t>
            </w:r>
          </w:p>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仿宋_GB2312" w:eastAsia="仿宋_GB2312"/>
                <w:sz w:val="32"/>
                <w:szCs w:val="32"/>
                <w:highlight w:val="none"/>
                <w:lang w:val="en-US" w:eastAsia="zh-CN"/>
              </w:rPr>
            </w:pPr>
          </w:p>
        </w:tc>
        <w:tc>
          <w:tcPr>
            <w:tcW w:w="2099" w:type="pct"/>
            <w:noWrap w:val="0"/>
            <w:vAlign w:val="top"/>
          </w:tcPr>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参照公务员法管理事业单位</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仿宋_GB2312" w:eastAsia="仿宋_GB2312"/>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85" w:type="pct"/>
            <w:noWrap w:val="0"/>
            <w:vAlign w:val="center"/>
          </w:tcPr>
          <w:p>
            <w:pPr>
              <w:keepNext w:val="0"/>
              <w:keepLines w:val="0"/>
              <w:pageBreakBefore w:val="0"/>
              <w:widowControl w:val="0"/>
              <w:kinsoku/>
              <w:wordWrap/>
              <w:overflowPunct/>
              <w:topLinePunct w:val="0"/>
              <w:bidi w:val="0"/>
              <w:adjustRightInd/>
              <w:snapToGrid/>
              <w:spacing w:line="240" w:lineRule="auto"/>
              <w:jc w:val="left"/>
              <w:textAlignment w:val="auto"/>
              <w:rPr>
                <w:rFonts w:hint="default" w:ascii="仿宋_GB2312" w:eastAsia="仿宋_GB2312"/>
                <w:sz w:val="32"/>
                <w:szCs w:val="32"/>
                <w:highlight w:val="none"/>
                <w:lang w:val="en-US" w:eastAsia="zh-CN"/>
              </w:rPr>
            </w:pPr>
            <w:r>
              <w:rPr>
                <w:rFonts w:hint="eastAsia" w:ascii="仿宋_GB2312" w:eastAsia="仿宋_GB2312"/>
                <w:color w:val="auto"/>
                <w:sz w:val="32"/>
                <w:szCs w:val="32"/>
                <w:highlight w:val="none"/>
                <w:lang w:val="en-US" w:eastAsia="zh-CN"/>
              </w:rPr>
              <w:t>4</w:t>
            </w:r>
          </w:p>
        </w:tc>
        <w:tc>
          <w:tcPr>
            <w:tcW w:w="2614" w:type="pct"/>
            <w:noWrap w:val="0"/>
            <w:vAlign w:val="top"/>
          </w:tcPr>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特克斯县农业技术推广中心</w:t>
            </w:r>
          </w:p>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仿宋_GB2312" w:eastAsia="仿宋_GB2312"/>
                <w:sz w:val="32"/>
                <w:szCs w:val="32"/>
                <w:highlight w:val="none"/>
                <w:lang w:val="en-US" w:eastAsia="zh-CN"/>
              </w:rPr>
            </w:pPr>
          </w:p>
        </w:tc>
        <w:tc>
          <w:tcPr>
            <w:tcW w:w="2099" w:type="pct"/>
            <w:noWrap w:val="0"/>
            <w:vAlign w:val="top"/>
          </w:tcPr>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财政补助事业单位</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仿宋_GB2312" w:eastAsia="仿宋_GB2312"/>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85" w:type="pct"/>
            <w:noWrap w:val="0"/>
            <w:vAlign w:val="center"/>
          </w:tcPr>
          <w:p>
            <w:pPr>
              <w:keepNext w:val="0"/>
              <w:keepLines w:val="0"/>
              <w:pageBreakBefore w:val="0"/>
              <w:widowControl w:val="0"/>
              <w:kinsoku/>
              <w:wordWrap/>
              <w:overflowPunct/>
              <w:topLinePunct w:val="0"/>
              <w:bidi w:val="0"/>
              <w:adjustRightInd/>
              <w:snapToGrid/>
              <w:spacing w:line="240" w:lineRule="auto"/>
              <w:jc w:val="left"/>
              <w:textAlignment w:val="auto"/>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5</w:t>
            </w:r>
          </w:p>
        </w:tc>
        <w:tc>
          <w:tcPr>
            <w:tcW w:w="2614" w:type="pct"/>
            <w:noWrap w:val="0"/>
            <w:vAlign w:val="top"/>
          </w:tcPr>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特克斯县种子管理站</w:t>
            </w:r>
          </w:p>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仿宋_GB2312" w:eastAsia="仿宋_GB2312"/>
                <w:sz w:val="32"/>
                <w:szCs w:val="32"/>
                <w:highlight w:val="none"/>
                <w:lang w:val="en-US" w:eastAsia="zh-CN"/>
              </w:rPr>
            </w:pPr>
          </w:p>
        </w:tc>
        <w:tc>
          <w:tcPr>
            <w:tcW w:w="2099" w:type="pct"/>
            <w:noWrap w:val="0"/>
            <w:vAlign w:val="top"/>
          </w:tcPr>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财政补助事业单位</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仿宋_GB2312" w:eastAsia="仿宋_GB2312"/>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85" w:type="pct"/>
            <w:noWrap w:val="0"/>
            <w:vAlign w:val="center"/>
          </w:tcPr>
          <w:p>
            <w:pPr>
              <w:keepNext w:val="0"/>
              <w:keepLines w:val="0"/>
              <w:pageBreakBefore w:val="0"/>
              <w:widowControl w:val="0"/>
              <w:kinsoku/>
              <w:wordWrap/>
              <w:overflowPunct/>
              <w:topLinePunct w:val="0"/>
              <w:bidi w:val="0"/>
              <w:adjustRightInd/>
              <w:snapToGrid/>
              <w:spacing w:line="240" w:lineRule="auto"/>
              <w:jc w:val="left"/>
              <w:textAlignment w:val="auto"/>
              <w:rPr>
                <w:rFonts w:hint="default" w:ascii="仿宋_GB2312" w:eastAsia="仿宋_GB2312"/>
                <w:sz w:val="32"/>
                <w:szCs w:val="32"/>
                <w:highlight w:val="none"/>
                <w:lang w:val="en-US" w:eastAsia="zh-CN"/>
              </w:rPr>
            </w:pPr>
            <w:r>
              <w:rPr>
                <w:rFonts w:hint="eastAsia" w:ascii="仿宋_GB2312" w:eastAsia="仿宋_GB2312"/>
                <w:color w:val="auto"/>
                <w:sz w:val="32"/>
                <w:szCs w:val="32"/>
                <w:highlight w:val="none"/>
                <w:lang w:val="en-US" w:eastAsia="zh-CN"/>
              </w:rPr>
              <w:t>6</w:t>
            </w:r>
          </w:p>
        </w:tc>
        <w:tc>
          <w:tcPr>
            <w:tcW w:w="2614" w:type="pct"/>
            <w:noWrap w:val="0"/>
            <w:vAlign w:val="top"/>
          </w:tcPr>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特克斯县菜篮子工程办公室</w:t>
            </w:r>
          </w:p>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仿宋_GB2312" w:eastAsia="仿宋_GB2312"/>
                <w:sz w:val="32"/>
                <w:szCs w:val="32"/>
                <w:highlight w:val="none"/>
                <w:lang w:val="en-US" w:eastAsia="zh-CN"/>
              </w:rPr>
            </w:pPr>
          </w:p>
        </w:tc>
        <w:tc>
          <w:tcPr>
            <w:tcW w:w="2099" w:type="pct"/>
            <w:noWrap w:val="0"/>
            <w:vAlign w:val="top"/>
          </w:tcPr>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参照公务员法管理事业单位</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仿宋_GB2312" w:eastAsia="仿宋_GB2312"/>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85" w:type="pct"/>
            <w:noWrap w:val="0"/>
            <w:vAlign w:val="center"/>
          </w:tcPr>
          <w:p>
            <w:pPr>
              <w:keepNext w:val="0"/>
              <w:keepLines w:val="0"/>
              <w:pageBreakBefore w:val="0"/>
              <w:widowControl w:val="0"/>
              <w:kinsoku/>
              <w:wordWrap/>
              <w:overflowPunct/>
              <w:topLinePunct w:val="0"/>
              <w:bidi w:val="0"/>
              <w:adjustRightInd/>
              <w:snapToGrid/>
              <w:spacing w:line="240" w:lineRule="auto"/>
              <w:jc w:val="left"/>
              <w:textAlignment w:val="auto"/>
              <w:rPr>
                <w:rFonts w:hint="default" w:ascii="仿宋_GB2312" w:eastAsia="仿宋_GB2312"/>
                <w:sz w:val="32"/>
                <w:szCs w:val="32"/>
                <w:highlight w:val="none"/>
                <w:lang w:val="en-US" w:eastAsia="zh-CN"/>
              </w:rPr>
            </w:pPr>
            <w:r>
              <w:rPr>
                <w:rFonts w:hint="eastAsia" w:ascii="仿宋_GB2312" w:eastAsia="仿宋_GB2312"/>
                <w:color w:val="auto"/>
                <w:sz w:val="32"/>
                <w:szCs w:val="32"/>
                <w:highlight w:val="none"/>
                <w:lang w:val="en-US" w:eastAsia="zh-CN"/>
              </w:rPr>
              <w:t>7</w:t>
            </w:r>
          </w:p>
        </w:tc>
        <w:tc>
          <w:tcPr>
            <w:tcW w:w="2614" w:type="pct"/>
            <w:noWrap w:val="0"/>
            <w:vAlign w:val="top"/>
          </w:tcPr>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特克斯县（黑蜂）蜂业保护办公室</w:t>
            </w:r>
          </w:p>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仿宋_GB2312" w:eastAsia="仿宋_GB2312"/>
                <w:sz w:val="32"/>
                <w:szCs w:val="32"/>
                <w:highlight w:val="none"/>
                <w:lang w:val="en-US" w:eastAsia="zh-CN"/>
              </w:rPr>
            </w:pPr>
          </w:p>
        </w:tc>
        <w:tc>
          <w:tcPr>
            <w:tcW w:w="2099" w:type="pct"/>
            <w:noWrap w:val="0"/>
            <w:vAlign w:val="top"/>
          </w:tcPr>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财政补助事业单位</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仿宋_GB2312" w:eastAsia="仿宋_GB2312"/>
                <w:sz w:val="32"/>
                <w:szCs w:val="32"/>
                <w:highlight w:val="none"/>
              </w:rPr>
            </w:pPr>
          </w:p>
        </w:tc>
      </w:tr>
    </w:tbl>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2021年度本年收入12031.59万元，与上年相比，减少5468.14万元，降低31.25%</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项目资金减少，人员死亡1人，调出6人，退休1人</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本年支出16378.2万元，与上年相比，减少554.41万元，降低3.39%</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color w:val="auto"/>
          <w:sz w:val="32"/>
          <w:szCs w:val="32"/>
          <w:highlight w:val="none"/>
          <w:lang w:val="en-US" w:eastAsia="zh-CN"/>
        </w:rPr>
        <w:t>项目资金减少，人员死亡1人，调出6人，退休1人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w:t>
      </w:r>
      <w:r>
        <w:rPr>
          <w:rFonts w:hint="eastAsia" w:ascii="仿宋_GB2312" w:eastAsia="仿宋_GB2312"/>
          <w:b w:val="0"/>
          <w:bCs w:val="0"/>
          <w:color w:val="auto"/>
          <w:spacing w:val="0"/>
          <w:sz w:val="32"/>
          <w:szCs w:val="32"/>
          <w:highlight w:val="none"/>
          <w:lang w:val="en-US" w:eastAsia="zh-CN"/>
        </w:rPr>
        <w:t>12031.59</w:t>
      </w:r>
      <w:r>
        <w:rPr>
          <w:rFonts w:hint="eastAsia" w:ascii="仿宋_GB2312" w:eastAsia="仿宋_GB2312"/>
          <w:color w:val="auto"/>
          <w:spacing w:val="0"/>
          <w:sz w:val="32"/>
          <w:szCs w:val="32"/>
          <w:highlight w:val="none"/>
          <w:lang w:val="en-US" w:eastAsia="zh-CN"/>
        </w:rPr>
        <w:t>万元，其中：财政拨款收入</w:t>
      </w:r>
      <w:r>
        <w:rPr>
          <w:rFonts w:hint="eastAsia" w:ascii="仿宋_GB2312" w:eastAsia="仿宋_GB2312"/>
          <w:b w:val="0"/>
          <w:bCs w:val="0"/>
          <w:color w:val="auto"/>
          <w:spacing w:val="0"/>
          <w:sz w:val="32"/>
          <w:szCs w:val="32"/>
          <w:highlight w:val="none"/>
          <w:lang w:val="en-US" w:eastAsia="zh-CN"/>
        </w:rPr>
        <w:t>12031.59</w:t>
      </w:r>
      <w:r>
        <w:rPr>
          <w:rFonts w:hint="eastAsia" w:ascii="仿宋_GB2312" w:eastAsia="仿宋_GB2312"/>
          <w:color w:val="auto"/>
          <w:spacing w:val="0"/>
          <w:sz w:val="32"/>
          <w:szCs w:val="32"/>
          <w:highlight w:val="none"/>
          <w:lang w:val="en-US" w:eastAsia="zh-CN"/>
        </w:rPr>
        <w:t>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w:t>
      </w:r>
      <w:r>
        <w:rPr>
          <w:rFonts w:hint="eastAsia" w:ascii="仿宋_GB2312" w:eastAsia="仿宋_GB2312"/>
          <w:b w:val="0"/>
          <w:bCs w:val="0"/>
          <w:color w:val="auto"/>
          <w:sz w:val="32"/>
          <w:szCs w:val="32"/>
          <w:highlight w:val="none"/>
          <w:lang w:val="en-US" w:eastAsia="zh-CN"/>
        </w:rPr>
        <w:t>16378.2</w:t>
      </w:r>
      <w:r>
        <w:rPr>
          <w:rFonts w:hint="eastAsia" w:ascii="仿宋_GB2312" w:eastAsia="仿宋_GB2312"/>
          <w:color w:val="auto"/>
          <w:spacing w:val="0"/>
          <w:sz w:val="32"/>
          <w:szCs w:val="32"/>
          <w:highlight w:val="none"/>
          <w:lang w:val="en-US" w:eastAsia="zh-CN"/>
        </w:rPr>
        <w:t>万元，其中：基本支出2400.8万元，占14.66%；项目支出13977.4万元，占85.34%；上缴上级支出0.00万元，占0.00%；经营支出0.00万元，占0.00%；对附属单位补助支出0.00万元，占0.00%。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2021年度财政拨款收入</w:t>
      </w:r>
      <w:r>
        <w:rPr>
          <w:rFonts w:hint="eastAsia" w:ascii="仿宋_GB2312" w:eastAsia="仿宋_GB2312"/>
          <w:b w:val="0"/>
          <w:bCs w:val="0"/>
          <w:color w:val="auto"/>
          <w:spacing w:val="0"/>
          <w:sz w:val="32"/>
          <w:szCs w:val="32"/>
          <w:highlight w:val="none"/>
          <w:lang w:val="en-US" w:eastAsia="zh-CN"/>
        </w:rPr>
        <w:t>12031.59</w:t>
      </w:r>
      <w:r>
        <w:rPr>
          <w:rFonts w:hint="eastAsia" w:ascii="仿宋_GB2312" w:eastAsia="仿宋_GB2312"/>
          <w:color w:val="auto"/>
          <w:spacing w:val="0"/>
          <w:sz w:val="32"/>
          <w:szCs w:val="32"/>
          <w:highlight w:val="none"/>
          <w:lang w:val="en-US" w:eastAsia="zh-CN"/>
        </w:rPr>
        <w:t>万元，与上年相比，减少5468.14</w:t>
      </w:r>
      <w:r>
        <w:rPr>
          <w:rFonts w:hint="eastAsia" w:ascii="仿宋_GB2312" w:eastAsia="仿宋_GB2312"/>
          <w:b w:val="0"/>
          <w:bCs w:val="0"/>
          <w:color w:val="auto"/>
          <w:sz w:val="32"/>
          <w:szCs w:val="32"/>
          <w:highlight w:val="none"/>
          <w:lang w:val="en-US" w:eastAsia="zh-CN"/>
        </w:rPr>
        <w:t>万元，降低31.25%</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项目资金减少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eastAsia="仿宋_GB2312"/>
          <w:b w:val="0"/>
          <w:bCs w:val="0"/>
          <w:color w:val="auto"/>
          <w:sz w:val="32"/>
          <w:szCs w:val="32"/>
          <w:highlight w:val="none"/>
          <w:lang w:eastAsia="zh-CN"/>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w:t>
      </w:r>
      <w:r>
        <w:rPr>
          <w:rFonts w:hint="eastAsia" w:ascii="仿宋_GB2312" w:eastAsia="仿宋_GB2312"/>
          <w:b w:val="0"/>
          <w:bCs w:val="0"/>
          <w:color w:val="auto"/>
          <w:sz w:val="32"/>
          <w:szCs w:val="32"/>
          <w:highlight w:val="none"/>
          <w:lang w:val="en-US" w:eastAsia="zh-CN"/>
        </w:rPr>
        <w:t>16378.2</w:t>
      </w:r>
      <w:r>
        <w:rPr>
          <w:rFonts w:hint="eastAsia" w:ascii="仿宋_GB2312" w:eastAsia="仿宋_GB2312"/>
          <w:color w:val="auto"/>
          <w:sz w:val="32"/>
          <w:szCs w:val="32"/>
          <w:highlight w:val="none"/>
          <w:lang w:val="en-US" w:eastAsia="zh-CN"/>
        </w:rPr>
        <w:t>万元，与上年相比，</w:t>
      </w:r>
      <w:r>
        <w:rPr>
          <w:rFonts w:hint="eastAsia" w:ascii="仿宋_GB2312" w:eastAsia="仿宋_GB2312"/>
          <w:b w:val="0"/>
          <w:bCs w:val="0"/>
          <w:color w:val="auto"/>
          <w:sz w:val="32"/>
          <w:szCs w:val="32"/>
          <w:highlight w:val="none"/>
          <w:lang w:val="en-US" w:eastAsia="zh-CN"/>
        </w:rPr>
        <w:t>减少554.41万元，降低3.39%</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color w:val="auto"/>
          <w:sz w:val="32"/>
          <w:szCs w:val="32"/>
          <w:highlight w:val="none"/>
          <w:lang w:val="en-US" w:eastAsia="zh-CN"/>
        </w:rPr>
        <w:t>项目资金减少，人员死亡1人，调出6人，退休1人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与年初预算数相比情况：财政拨款收入年初预算数9,058.97万元，决算数</w:t>
      </w:r>
      <w:r>
        <w:rPr>
          <w:rFonts w:hint="eastAsia" w:ascii="仿宋_GB2312" w:eastAsia="仿宋_GB2312"/>
          <w:b w:val="0"/>
          <w:bCs w:val="0"/>
          <w:color w:val="auto"/>
          <w:spacing w:val="0"/>
          <w:sz w:val="32"/>
          <w:szCs w:val="32"/>
          <w:highlight w:val="none"/>
          <w:lang w:val="en-US" w:eastAsia="zh-CN"/>
        </w:rPr>
        <w:t>12031.59</w:t>
      </w:r>
      <w:r>
        <w:rPr>
          <w:rFonts w:hint="eastAsia" w:ascii="仿宋_GB2312" w:eastAsia="仿宋_GB2312"/>
          <w:color w:val="auto"/>
          <w:sz w:val="32"/>
          <w:szCs w:val="32"/>
          <w:highlight w:val="none"/>
          <w:lang w:val="en-US" w:eastAsia="zh-CN"/>
        </w:rPr>
        <w:t>万元，预决算差异率24.8%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年初工资基数上调，年中项目增加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财政拨款支出年初预算数9,058.97万元，决算数</w:t>
      </w:r>
      <w:r>
        <w:rPr>
          <w:rFonts w:hint="eastAsia" w:ascii="仿宋_GB2312" w:eastAsia="仿宋_GB2312"/>
          <w:b w:val="0"/>
          <w:bCs w:val="0"/>
          <w:color w:val="auto"/>
          <w:sz w:val="32"/>
          <w:szCs w:val="32"/>
          <w:highlight w:val="none"/>
          <w:lang w:val="en-US" w:eastAsia="zh-CN"/>
        </w:rPr>
        <w:t>16378.2</w:t>
      </w:r>
      <w:r>
        <w:rPr>
          <w:rFonts w:hint="eastAsia" w:ascii="仿宋_GB2312" w:eastAsia="仿宋_GB2312"/>
          <w:color w:val="auto"/>
          <w:sz w:val="32"/>
          <w:szCs w:val="32"/>
          <w:highlight w:val="none"/>
          <w:lang w:val="en-US" w:eastAsia="zh-CN"/>
        </w:rPr>
        <w:t>万元，预决算差异率44.69%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年初工资基数上调，年中项目增加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000000" w:themeColor="text1"/>
          <w:kern w:val="0"/>
          <w:sz w:val="32"/>
          <w:szCs w:val="32"/>
          <w:highlight w:val="none"/>
          <w:lang w:eastAsia="zh-CN"/>
          <w14:textFill>
            <w14:solidFill>
              <w14:schemeClr w14:val="tx1"/>
            </w14:solidFill>
          </w14:textFill>
        </w:rPr>
      </w:pPr>
      <w:bookmarkStart w:id="16" w:name="_Toc20360"/>
      <w:bookmarkStart w:id="17" w:name="_Toc13833"/>
      <w:r>
        <w:rPr>
          <w:rFonts w:hint="eastAsia" w:ascii="黑体" w:hAnsi="黑体" w:eastAsia="黑体" w:cs="宋体"/>
          <w:bCs/>
          <w:color w:val="000000" w:themeColor="text1"/>
          <w:kern w:val="0"/>
          <w:sz w:val="32"/>
          <w:szCs w:val="32"/>
          <w:highlight w:val="none"/>
          <w:lang w:eastAsia="zh-CN"/>
          <w14:textFill>
            <w14:solidFill>
              <w14:schemeClr w14:val="tx1"/>
            </w14:solidFill>
          </w14:textFill>
        </w:rPr>
        <w:t>五、一般公共预算财政拨款支出决算情况说明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2021年度一般公共预算财政拨款支出16378.2万元。按功能分类科目项级科目公开，其中：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2080503 离退休人员管理机构0.27万元;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机关事业单位基本养老保险缴费支出199.17万元;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2080506 机关事业单位职业年金缴费支出21.91万元;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2080799 其他就业补助支出4.71万元;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行政单位医疗30.83万元;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事业单位医疗95.09万元;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公务员医疗补助14.82万元;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2101199 其他行政事业单位医疗支出7.08万元;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2130101 行政运行1,119.82万元;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2130104 事业运行706.27万元;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2130108 病虫害控制688.21万元;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2130110 执法监管8.00万元;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2130119 防灾救灾282.66万元;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2130122 农业生产发展1,065.63万元;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2130135 农业资源保护修复与利用3,155.15万元;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2130153 农田建设2,138.00万元;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2130199 其他农业农村支出224.36万元;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2130701 对村级公益事业建设的补助18.18万元;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2130803 农业保险保费补贴5,691.51万元;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2139999 其他农林水支出419.70万元;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2160299 其他商业流通事务支出286.00万元;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住房公积金159.91万元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000000" w:themeColor="text1"/>
          <w:kern w:val="0"/>
          <w:sz w:val="32"/>
          <w:szCs w:val="32"/>
          <w:highlight w:val="none"/>
          <w:lang w:eastAsia="zh-CN"/>
          <w14:textFill>
            <w14:solidFill>
              <w14:schemeClr w14:val="tx1"/>
            </w14:solidFill>
          </w14:textFill>
        </w:rPr>
      </w:pPr>
      <w:bookmarkStart w:id="18" w:name="_Toc30870"/>
      <w:bookmarkStart w:id="19" w:name="_Toc11146"/>
      <w:r>
        <w:rPr>
          <w:rFonts w:hint="eastAsia" w:ascii="黑体" w:hAnsi="黑体" w:eastAsia="黑体" w:cs="宋体"/>
          <w:bCs/>
          <w:color w:val="000000" w:themeColor="text1"/>
          <w:kern w:val="0"/>
          <w:sz w:val="32"/>
          <w:szCs w:val="32"/>
          <w:highlight w:val="none"/>
          <w:lang w:eastAsia="zh-CN"/>
          <w14:textFill>
            <w14:solidFill>
              <w14:schemeClr w14:val="tx1"/>
            </w14:solidFill>
          </w14:textFill>
        </w:rPr>
        <w:t>六、一般公共预算财政拨款基本支出决算情况说明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2021年度一般公共预算财政拨款基本支出16337.29万元，其中：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2289.54万元，包括：基本工资、津贴补贴、奖金、绩效工资、机关事业单位基本养老保险缴费、职业年金缴费、职工基本医疗保险缴费、公务员医疗补助缴费、其他社会保障缴费、住房公积金、其他工资福利支出、退休费、抚恤金、生活补助。</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公用经费70.34万元，包括：电费、办公费、水费、邮电费、差旅费、维修（护）费、培训费、委托业务费、工会经费、公务用车运行维护费。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21518"/>
      <w:bookmarkStart w:id="21"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20"/>
      <w:bookmarkEnd w:id="21"/>
      <w:bookmarkStart w:id="54" w:name="_GoBack"/>
      <w:bookmarkEnd w:id="54"/>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2021年度一般公共预算“三公”经费支出决算4.33万元，比上年减少3.48万元，降低44.56%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财政紧张只拨付至5月</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公务用车购置及运行维护费支出4.33万元，占100%，比上年减少3.48万元，降低44.56%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财政紧张只拨付至5月</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无公务接待费支出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无因公出国（境）费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公务用车购置及运行维护费4.33万元，其中，公务用车购置费0.00万元，公务用车运行维护费4.33万元。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加油费、公务用车维修费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公务用车购置数0辆，公务用车保有量13辆。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加油费、公务用车维修费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与年初预算数相比情况：一般公共预算“三公”经费支出年初预算数4.33万元，决算数4.33万元，预决算差异率0.00%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一般公共预算“三公”经费支出预决算持平</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无因公出国（境）费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无公务用车购置费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公务用车运行费预算数4.33万元，决算数4.33万元，预决算差异率0.00%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公务用车运行费预决算持平</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无公务接待费</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927"/>
      <w:bookmarkStart w:id="23" w:name="_Toc5810"/>
      <w:r>
        <w:rPr>
          <w:rFonts w:hint="eastAsia" w:ascii="黑体" w:hAnsi="黑体" w:eastAsia="黑体" w:cs="宋体"/>
          <w:bCs/>
          <w:color w:val="auto"/>
          <w:kern w:val="0"/>
          <w:sz w:val="32"/>
          <w:szCs w:val="32"/>
          <w:highlight w:val="none"/>
          <w:lang w:eastAsia="zh-CN"/>
        </w:rPr>
        <w:t>八、政府性基金预算收入支出决算情况说明</w:t>
      </w:r>
      <w:bookmarkEnd w:id="22"/>
      <w:bookmarkEnd w:id="23"/>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性基金预算财政拨款收入40.91万元，与上年相比，增加40.91万元，增长100.00%，主要原因是：2021年增加政府性基金项目40.91万元。政府性基金预算支出40.91万元。与上年相比，增加40.91万元，增长100.00%，主要原因是：2021年增加政府性基金项目40.91万元。</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政府性基金预算财政拨款支出40.91万元。按功能分类科目项级科目公开，其中：</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2121100 农业土地开发资金安排的支出40.91万元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4" w:name="_Toc1235"/>
      <w:bookmarkStart w:id="25"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6" w:name="_Toc13105"/>
      <w:bookmarkStart w:id="27"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2021年度新疆伊犁州特克斯县农业农村局（行政单位和参照公务员法管理事业单位）机关运行经费支出70.34万元，比上年增加21.58万元，增长52.78%</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本年度项目增加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8" w:name="_Toc227"/>
      <w:bookmarkStart w:id="29" w:name="_Toc26704"/>
      <w:r>
        <w:rPr>
          <w:rFonts w:hint="eastAsia" w:ascii="黑体" w:hAnsi="黑体" w:eastAsia="黑体"/>
          <w:color w:val="auto"/>
          <w:sz w:val="32"/>
          <w:szCs w:val="32"/>
          <w:highlight w:val="none"/>
          <w:lang w:eastAsia="zh-CN"/>
        </w:rPr>
        <w:t>（二）政府采购情况</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2021年度政府采购支出总额108.00万元，其中：政府采购货物支出108.00万元、政府采购工程支出0.00万元、政府采购服务支出0.00万元。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30" w:name="_Toc4591"/>
      <w:bookmarkStart w:id="31" w:name="_Toc83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5714.00（平方米），价值222.50万元。车辆13辆，价值171.15万元，其中：副部（省）级及以上领导用车0辆、主要领导干部用车0辆、机要通信用车0辆、应急保障用车0辆、执法执勤用车4辆、特种专业技术用车0辆、离退休干部用车0辆、其他用车9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一般公务用车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2" w:name="_Toc11283"/>
      <w:bookmarkStart w:id="33"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2"/>
      <w:bookmarkEnd w:id="33"/>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3267.4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强化绩效目标管理，不断提高绩效目标的科学性、规范性。组织开展绩效运行监控，加强监控结果应用。全面开展绩效自评，强化绩效自评结果抽查机制，推动自评质量提升。建立财政重点评价常态化机制，每年选择部分重点民生政策和重大项目实施第三方评价。二是将绩效结果作为完善政策、安排预算、改进管理的重要依据。在制定各类资金管理办法时，明确绩效结果应用要求，规范绩效因素使用方式。将重点绩效评价结果反馈被评价部门和单位，及时督促整改</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根据年度实施项目内容，设置合理的绩效指标，严格按照指向明确、具体细化和合理可行这三个标准，设定绩效目标，从而能更有利的推动项目实施效果。二是存在的问题是项工作不全面，没有深入细致科学规划地做好各项前期工作，实施前期已根据设置绩效目标，但项目绩效目标级绩效指标设置过于笼统，不够细化，在实际实施绩效监控和绩效评价时较为困难。绩效目标的设置应符合量化、细化的要求</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科学的预算编制应该保证预算和目标在质和量上相匹配，即一方面预算应该根据目标来编制，保证每一个目标的实现均有相应的预算安排，另一方面应在合理测算工作量的基础上保证预算编制的准确性</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4" w:name="_Toc3250"/>
      <w:bookmarkStart w:id="35" w:name="_Toc24143"/>
      <w:bookmarkStart w:id="36" w:name="_Toc22784"/>
      <w:bookmarkStart w:id="37" w:name="_Toc28903"/>
      <w:r>
        <w:rPr>
          <w:rFonts w:hint="eastAsia" w:ascii="黑体" w:hAnsi="黑体" w:eastAsia="黑体"/>
          <w:sz w:val="32"/>
          <w:szCs w:val="32"/>
          <w:highlight w:val="none"/>
        </w:rPr>
        <w:t>第三部分 专业名词解释</w:t>
      </w:r>
      <w:bookmarkEnd w:id="34"/>
      <w:bookmarkEnd w:id="35"/>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183"/>
      <w:bookmarkStart w:id="39" w:name="_Toc6062"/>
      <w:r>
        <w:rPr>
          <w:rFonts w:hint="eastAsia" w:ascii="黑体" w:hAnsi="黑体" w:eastAsia="黑体" w:cs="宋体"/>
          <w:bCs/>
          <w:kern w:val="0"/>
          <w:sz w:val="32"/>
          <w:szCs w:val="32"/>
          <w:highlight w:val="none"/>
        </w:rPr>
        <w:t>一、《收入支出决算总表》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4532"/>
      <w:bookmarkStart w:id="41" w:name="_Toc30364"/>
      <w:r>
        <w:rPr>
          <w:rFonts w:hint="eastAsia" w:ascii="黑体" w:hAnsi="黑体" w:eastAsia="黑体" w:cs="宋体"/>
          <w:bCs/>
          <w:kern w:val="0"/>
          <w:sz w:val="32"/>
          <w:szCs w:val="32"/>
          <w:highlight w:val="none"/>
        </w:rPr>
        <w:t>二、《收入决算表》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1304"/>
      <w:bookmarkStart w:id="43" w:name="_Toc32434"/>
      <w:r>
        <w:rPr>
          <w:rFonts w:hint="eastAsia" w:ascii="黑体" w:hAnsi="黑体" w:eastAsia="黑体" w:cs="宋体"/>
          <w:bCs/>
          <w:kern w:val="0"/>
          <w:sz w:val="32"/>
          <w:szCs w:val="32"/>
          <w:highlight w:val="none"/>
        </w:rPr>
        <w:t>三、《支出决算表》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238"/>
      <w:bookmarkStart w:id="45" w:name="_Toc28786"/>
      <w:r>
        <w:rPr>
          <w:rFonts w:hint="eastAsia" w:ascii="黑体" w:hAnsi="黑体" w:eastAsia="黑体" w:cs="宋体"/>
          <w:bCs/>
          <w:kern w:val="0"/>
          <w:sz w:val="32"/>
          <w:szCs w:val="32"/>
          <w:highlight w:val="none"/>
        </w:rPr>
        <w:t>四、《财政拨款收入支出决算总表》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14869"/>
      <w:bookmarkStart w:id="47" w:name="_Toc10347"/>
      <w:r>
        <w:rPr>
          <w:rFonts w:hint="eastAsia" w:ascii="黑体" w:hAnsi="黑体" w:eastAsia="黑体" w:cs="宋体"/>
          <w:bCs/>
          <w:kern w:val="0"/>
          <w:sz w:val="32"/>
          <w:szCs w:val="32"/>
          <w:highlight w:val="none"/>
        </w:rPr>
        <w:t>五、《一般公共预算财政拨款支出决算表》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8884"/>
      <w:bookmarkStart w:id="49" w:name="_Toc5626"/>
      <w:r>
        <w:rPr>
          <w:rFonts w:hint="eastAsia" w:ascii="黑体" w:hAnsi="黑体" w:eastAsia="黑体" w:cs="宋体"/>
          <w:bCs/>
          <w:kern w:val="0"/>
          <w:sz w:val="32"/>
          <w:szCs w:val="32"/>
          <w:highlight w:val="none"/>
        </w:rPr>
        <w:t>六、《一般公共预算财政拨款基本支出决算表》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29106"/>
      <w:bookmarkStart w:id="51" w:name="_Toc32663"/>
      <w:r>
        <w:rPr>
          <w:rFonts w:hint="eastAsia" w:ascii="黑体" w:hAnsi="黑体" w:eastAsia="黑体" w:cs="宋体"/>
          <w:bCs/>
          <w:kern w:val="0"/>
          <w:sz w:val="32"/>
          <w:szCs w:val="32"/>
          <w:highlight w:val="none"/>
        </w:rPr>
        <w:t>七、《一般公共预算财政拨款“三公”经费支出决算表》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2" w:name="_Toc7643"/>
      <w:bookmarkStart w:id="53" w:name="_Toc5453"/>
      <w:r>
        <w:rPr>
          <w:rFonts w:hint="eastAsia" w:ascii="黑体" w:hAnsi="黑体" w:eastAsia="黑体" w:cs="宋体"/>
          <w:bCs/>
          <w:kern w:val="0"/>
          <w:sz w:val="32"/>
          <w:szCs w:val="32"/>
          <w:highlight w:val="none"/>
        </w:rPr>
        <w:t>八、《政府性基金预算财政拨款收入支出决算表》</w:t>
      </w:r>
      <w:bookmarkEnd w:id="52"/>
      <w:bookmarkEnd w:id="5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5ZjYzZWM5YzE2MmJlY2E4NzY0ZDEyNjQ2YTMyNTMifQ=="/>
  </w:docVars>
  <w:rsids>
    <w:rsidRoot w:val="00000000"/>
    <w:rsid w:val="0131169A"/>
    <w:rsid w:val="01734C27"/>
    <w:rsid w:val="01DD6073"/>
    <w:rsid w:val="02014C29"/>
    <w:rsid w:val="024D6046"/>
    <w:rsid w:val="02890C73"/>
    <w:rsid w:val="04044ED1"/>
    <w:rsid w:val="041B6CAE"/>
    <w:rsid w:val="041C5E18"/>
    <w:rsid w:val="04AA63C1"/>
    <w:rsid w:val="04EE377F"/>
    <w:rsid w:val="051C631E"/>
    <w:rsid w:val="0562142B"/>
    <w:rsid w:val="063D2F0C"/>
    <w:rsid w:val="06792773"/>
    <w:rsid w:val="074F280E"/>
    <w:rsid w:val="075B1482"/>
    <w:rsid w:val="075F768F"/>
    <w:rsid w:val="07BA7C7F"/>
    <w:rsid w:val="07C3443C"/>
    <w:rsid w:val="08476613"/>
    <w:rsid w:val="084876D1"/>
    <w:rsid w:val="085F360E"/>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6355C7A"/>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754C15"/>
    <w:rsid w:val="2FC614E6"/>
    <w:rsid w:val="30236790"/>
    <w:rsid w:val="30802486"/>
    <w:rsid w:val="31175173"/>
    <w:rsid w:val="314D12BC"/>
    <w:rsid w:val="316F250C"/>
    <w:rsid w:val="31BD13AC"/>
    <w:rsid w:val="31C63837"/>
    <w:rsid w:val="32082F98"/>
    <w:rsid w:val="32A6143E"/>
    <w:rsid w:val="336D09C0"/>
    <w:rsid w:val="354A37A9"/>
    <w:rsid w:val="35E825E5"/>
    <w:rsid w:val="36273CF4"/>
    <w:rsid w:val="36827C07"/>
    <w:rsid w:val="36AA5F52"/>
    <w:rsid w:val="36C058A7"/>
    <w:rsid w:val="36E000FD"/>
    <w:rsid w:val="374146AF"/>
    <w:rsid w:val="37D36EBD"/>
    <w:rsid w:val="399731E4"/>
    <w:rsid w:val="39E66E3B"/>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B6605"/>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7A4164"/>
    <w:rsid w:val="568D63A8"/>
    <w:rsid w:val="569D71D3"/>
    <w:rsid w:val="570E289D"/>
    <w:rsid w:val="57211AEC"/>
    <w:rsid w:val="57AF4592"/>
    <w:rsid w:val="57D04F5B"/>
    <w:rsid w:val="5813797A"/>
    <w:rsid w:val="58344842"/>
    <w:rsid w:val="588E1D40"/>
    <w:rsid w:val="58D46AFA"/>
    <w:rsid w:val="58E4063C"/>
    <w:rsid w:val="58F356A0"/>
    <w:rsid w:val="58FB4926"/>
    <w:rsid w:val="5A492DA3"/>
    <w:rsid w:val="5A8C5C64"/>
    <w:rsid w:val="5B0A3C7C"/>
    <w:rsid w:val="5B9B2F4D"/>
    <w:rsid w:val="5C145D5F"/>
    <w:rsid w:val="5C8850C2"/>
    <w:rsid w:val="5DE43C4B"/>
    <w:rsid w:val="5E256662"/>
    <w:rsid w:val="5E8D0FF0"/>
    <w:rsid w:val="5EA92E5B"/>
    <w:rsid w:val="5EB34C8F"/>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5B2050"/>
    <w:rsid w:val="64766BFD"/>
    <w:rsid w:val="647D0508"/>
    <w:rsid w:val="6537230D"/>
    <w:rsid w:val="656325C7"/>
    <w:rsid w:val="65BF2B26"/>
    <w:rsid w:val="65CF3090"/>
    <w:rsid w:val="65D57A52"/>
    <w:rsid w:val="668019BE"/>
    <w:rsid w:val="668147BE"/>
    <w:rsid w:val="66A71241"/>
    <w:rsid w:val="67CB7D39"/>
    <w:rsid w:val="69316E1A"/>
    <w:rsid w:val="69554902"/>
    <w:rsid w:val="697A07C5"/>
    <w:rsid w:val="69A94B4A"/>
    <w:rsid w:val="69AD798C"/>
    <w:rsid w:val="69C70FA3"/>
    <w:rsid w:val="69E5430E"/>
    <w:rsid w:val="6A197EE3"/>
    <w:rsid w:val="6A4F6540"/>
    <w:rsid w:val="6A553318"/>
    <w:rsid w:val="6A733F65"/>
    <w:rsid w:val="6AAD748A"/>
    <w:rsid w:val="6B4F02DD"/>
    <w:rsid w:val="6B68175F"/>
    <w:rsid w:val="6B8E27EF"/>
    <w:rsid w:val="6C360AF8"/>
    <w:rsid w:val="6C6B3009"/>
    <w:rsid w:val="6C6B3214"/>
    <w:rsid w:val="6C747BB9"/>
    <w:rsid w:val="6D3D14C4"/>
    <w:rsid w:val="6D8A575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4C7CF4"/>
    <w:rsid w:val="738E33C3"/>
    <w:rsid w:val="73FB6630"/>
    <w:rsid w:val="74937274"/>
    <w:rsid w:val="750B5BF1"/>
    <w:rsid w:val="75B51FC0"/>
    <w:rsid w:val="75B60031"/>
    <w:rsid w:val="76DD091D"/>
    <w:rsid w:val="77466E92"/>
    <w:rsid w:val="774B26E2"/>
    <w:rsid w:val="77720CA8"/>
    <w:rsid w:val="77ED6F44"/>
    <w:rsid w:val="78224413"/>
    <w:rsid w:val="78FD1F20"/>
    <w:rsid w:val="79870A12"/>
    <w:rsid w:val="7A1C6325"/>
    <w:rsid w:val="7A7632AD"/>
    <w:rsid w:val="7AC8434A"/>
    <w:rsid w:val="7B2A5E81"/>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7397</Words>
  <Characters>8176</Characters>
  <Lines>0</Lines>
  <Paragraphs>0</Paragraphs>
  <TotalTime>5</TotalTime>
  <ScaleCrop>false</ScaleCrop>
  <LinksUpToDate>false</LinksUpToDate>
  <CharactersWithSpaces>8365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2023-01-03T09:05:19Z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080AE09B1D784C3EA29A48E412F89FFD</vt:lpwstr>
  </property>
</Properties>
</file>