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新疆伊犁州特克斯县城镇卫生院</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rPr>
        <w:t>2021</w:t>
      </w:r>
      <w:r>
        <w:rPr>
          <w:rFonts w:hint="eastAsia" w:ascii="方正小标宋_GBK" w:hAnsi="宋体" w:eastAsia="方正小标宋_GBK"/>
          <w:color w:val="auto"/>
          <w:sz w:val="44"/>
          <w:szCs w:val="44"/>
          <w:highlight w:val="none"/>
        </w:rPr>
        <w:t>年度部门决算公开说明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方正小标宋_GBK" w:hAnsi="宋体" w:eastAsia="方正小标宋_GBK"/>
          <w:color w:val="auto"/>
          <w:sz w:val="44"/>
          <w:szCs w:val="44"/>
          <w:highlight w:val="none"/>
        </w:rPr>
        <w:br w:type="page"/>
      </w: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_Toc32314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_Toc30567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_Toc2151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_Toc29374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第二部分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_Toc25314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_Toc12142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_Toc13201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_Toc26564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_Toc20360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_Toc30870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七</w:t>
      </w:r>
      <w:r>
        <w:rPr>
          <w:rFonts w:hint="eastAsia" w:ascii="仿宋_GB2312" w:hAnsi="仿宋_GB2312" w:eastAsia="仿宋_GB2312" w:cs="仿宋_GB2312"/>
          <w:bCs/>
          <w:kern w:val="0"/>
          <w:sz w:val="32"/>
          <w:szCs w:val="32"/>
          <w:highlight w:val="none"/>
        </w:rPr>
        <w:t>、一般公共预算</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_Toc5810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八、政府性基金预算财政拨款收入支出决算情况说明</w:t>
      </w:r>
      <w:r>
        <w:rPr>
          <w:rFonts w:hint="eastAsia" w:ascii="仿宋_GB2312" w:hAnsi="仿宋_GB2312" w:eastAsia="仿宋_GB2312" w:cs="仿宋_GB2312"/>
          <w:sz w:val="32"/>
          <w:szCs w:val="32"/>
          <w:highlight w:val="none"/>
        </w:rPr>
        <w:fldChar w:fldCharType="end"/>
      </w:r>
    </w:p>
    <w:p>
      <w:pPr>
        <w:rPr>
          <w:rFonts w:hint="eastAsia"/>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_Toc5810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九、国有资本经营预算财政拨款收入支出决算情况说明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_Toc1235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_Toc14519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_Toc8391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_Toc11283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十一、预算绩效的情况说明</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_Toc3250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第三部分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_Toc22784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_Toc2183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_Toc24532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_Toc32434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_Toc28786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_Toc14869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_Toc8884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_Toc29106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七、《一般公共预算财政拨款“三公”经费支出决算表》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kern w:val="0"/>
          <w:sz w:val="32"/>
          <w:szCs w:val="32"/>
          <w:highlight w:val="none"/>
        </w:rPr>
      </w:pPr>
      <w:r>
        <w:rPr>
          <w:rFonts w:hint="eastAsia" w:ascii="仿宋_GB2312" w:hAnsi="仿宋_GB2312" w:eastAsia="仿宋_GB2312" w:cs="仿宋_GB2312"/>
          <w:bCs/>
          <w:kern w:val="0"/>
          <w:sz w:val="32"/>
          <w:szCs w:val="32"/>
          <w:highlight w:val="none"/>
        </w:rPr>
        <w:fldChar w:fldCharType="begin"/>
      </w:r>
      <w:r>
        <w:rPr>
          <w:rFonts w:hint="eastAsia" w:ascii="仿宋_GB2312" w:hAnsi="仿宋_GB2312" w:eastAsia="仿宋_GB2312" w:cs="仿宋_GB2312"/>
          <w:bCs/>
          <w:kern w:val="0"/>
          <w:sz w:val="32"/>
          <w:szCs w:val="32"/>
          <w:highlight w:val="none"/>
        </w:rPr>
        <w:instrText xml:space="preserve"> HYPERLINK \l _Toc7643 </w:instrText>
      </w:r>
      <w:r>
        <w:rPr>
          <w:rFonts w:hint="eastAsia" w:ascii="仿宋_GB2312" w:hAnsi="仿宋_GB2312" w:eastAsia="仿宋_GB2312" w:cs="仿宋_GB2312"/>
          <w:bCs/>
          <w:kern w:val="0"/>
          <w:sz w:val="32"/>
          <w:szCs w:val="32"/>
          <w:highlight w:val="none"/>
        </w:rPr>
        <w:fldChar w:fldCharType="separate"/>
      </w:r>
      <w:r>
        <w:rPr>
          <w:rFonts w:hint="eastAsia" w:ascii="仿宋_GB2312" w:hAnsi="仿宋_GB2312" w:eastAsia="仿宋_GB2312" w:cs="仿宋_GB2312"/>
          <w:bCs/>
          <w:kern w:val="0"/>
          <w:sz w:val="32"/>
          <w:szCs w:val="32"/>
          <w:highlight w:val="none"/>
        </w:rPr>
        <w:t>八、《政府性基金预算财政拨款收入支出决算表》</w:t>
      </w:r>
      <w:r>
        <w:rPr>
          <w:rFonts w:hint="eastAsia" w:ascii="仿宋_GB2312" w:hAnsi="仿宋_GB2312" w:eastAsia="仿宋_GB2312" w:cs="仿宋_GB2312"/>
          <w:bCs/>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kern w:val="0"/>
          <w:sz w:val="32"/>
          <w:szCs w:val="32"/>
          <w:highlight w:val="none"/>
          <w:lang w:eastAsia="zh-CN"/>
        </w:rPr>
      </w:pPr>
      <w:r>
        <w:rPr>
          <w:rFonts w:hint="eastAsia" w:ascii="仿宋_GB2312" w:hAnsi="仿宋_GB2312" w:eastAsia="仿宋_GB2312" w:cs="仿宋_GB2312"/>
          <w:bCs/>
          <w:kern w:val="0"/>
          <w:sz w:val="32"/>
          <w:szCs w:val="32"/>
          <w:highlight w:val="none"/>
          <w:lang w:eastAsia="zh-CN"/>
        </w:rPr>
        <w:t>九、《国有资本经营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bCs/>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sz w:val="32"/>
          <w:szCs w:val="32"/>
          <w:highlight w:val="none"/>
        </w:rPr>
        <w:fldChar w:fldCharType="end"/>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bookmarkStart w:id="0" w:name="_Toc32314"/>
      <w:bookmarkStart w:id="1" w:name="_Toc24028"/>
      <w:r>
        <w:rPr>
          <w:rFonts w:hint="eastAsia" w:ascii="黑体" w:hAnsi="黑体" w:eastAsia="黑体"/>
          <w:color w:val="auto"/>
          <w:sz w:val="32"/>
          <w:szCs w:val="32"/>
          <w:highlight w:val="none"/>
        </w:rPr>
        <w:t>第一部分 部门单位概况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（一）为人民健康医疗与预防保健服务，常见病多发病治疗和护理；</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（二）预防保健；卫生人员技术培训；</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（三）职能表现形式有:疾病控制防疫、妇幼儿童保健、门诊住院医疗、急诊抢救、防病治病等救死扶伤等;</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(四）承担辖区内乡村级公共卫生的管理并负责村级卫生机构的技术指导和乡村医生的培训。</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新疆伊犁州特克斯县城镇卫生院2021年度，实有人数32人，其中：在职人员25人，离休人员0人，退休人员7人。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从部门决算单位构成看，新疆伊犁州特克斯县城镇卫生院部门决算包括：新疆伊犁州特克斯县城镇卫生院决算。单位无下属预算单位，下设6个处室，分别是：体检科、内科、外科、妇产科、药房、公共卫生科。</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eastAsia="仿宋_GB2312"/>
          <w:color w:val="auto"/>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both"/>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br w:type="page"/>
      </w:r>
    </w:p>
    <w:p>
      <w:pPr>
        <w:keepNext w:val="0"/>
        <w:keepLines w:val="0"/>
        <w:pageBreakBefore w:val="0"/>
        <w:widowControl w:val="0"/>
        <w:kinsoku/>
        <w:wordWrap/>
        <w:overflowPunct/>
        <w:topLinePunct w:val="0"/>
        <w:autoSpaceDE/>
        <w:autoSpaceDN/>
        <w:bidi w:val="0"/>
        <w:adjustRightInd/>
        <w:snapToGrid/>
        <w:spacing w:line="240" w:lineRule="auto"/>
        <w:ind w:left="1680" w:leftChars="0" w:firstLine="420" w:firstLineChars="0"/>
        <w:jc w:val="both"/>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第二部分 部门决算情况说明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6" w:name="_Toc12566"/>
      <w:bookmarkStart w:id="7" w:name="_Toc25314"/>
      <w:r>
        <w:rPr>
          <w:rFonts w:hint="eastAsia" w:ascii="黑体" w:hAnsi="黑体" w:eastAsia="黑体" w:cs="宋体"/>
          <w:bCs/>
          <w:color w:val="auto"/>
          <w:kern w:val="0"/>
          <w:sz w:val="32"/>
          <w:szCs w:val="32"/>
          <w:highlight w:val="none"/>
        </w:rPr>
        <w:t>一、收入支出决算总体情况说明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b w:val="0"/>
          <w:bCs w:val="0"/>
          <w:color w:val="auto"/>
          <w:sz w:val="32"/>
          <w:szCs w:val="32"/>
          <w:highlight w:val="none"/>
          <w:lang w:eastAsia="zh-CN"/>
        </w:rPr>
      </w:pPr>
      <w:r>
        <w:rPr>
          <w:rFonts w:hint="eastAsia" w:ascii="仿宋_GB2312" w:eastAsia="仿宋_GB2312"/>
          <w:b w:val="0"/>
          <w:bCs w:val="0"/>
          <w:color w:val="auto"/>
          <w:spacing w:val="0"/>
          <w:sz w:val="32"/>
          <w:szCs w:val="32"/>
          <w:highlight w:val="none"/>
          <w:lang w:val="en-US" w:eastAsia="zh-CN"/>
        </w:rPr>
        <w:t>2021年度本年收入757.17万元，与上年相比，增加107.71万元，增长16.58%</w:t>
      </w:r>
      <w:r>
        <w:rPr>
          <w:rFonts w:hint="eastAsia" w:ascii="仿宋_GB2312" w:eastAsia="仿宋_GB2312"/>
          <w:b w:val="0"/>
          <w:bCs w:val="0"/>
          <w:color w:val="auto"/>
          <w:sz w:val="32"/>
          <w:szCs w:val="32"/>
          <w:highlight w:val="none"/>
          <w:lang w:eastAsia="zh-CN"/>
        </w:rPr>
        <w:t>，主要原因是</w:t>
      </w:r>
      <w:r>
        <w:rPr>
          <w:rFonts w:hint="eastAsia" w:ascii="仿宋_GB2312" w:eastAsia="仿宋_GB2312"/>
          <w:b w:val="0"/>
          <w:bCs w:val="0"/>
          <w:color w:val="auto"/>
          <w:sz w:val="32"/>
          <w:szCs w:val="32"/>
          <w:highlight w:val="none"/>
        </w:rPr>
        <w:t>：</w:t>
      </w:r>
      <w:r>
        <w:rPr>
          <w:rFonts w:hint="eastAsia" w:ascii="仿宋_GB2312" w:eastAsia="仿宋_GB2312"/>
          <w:b w:val="0"/>
          <w:bCs w:val="0"/>
          <w:color w:val="auto"/>
          <w:sz w:val="32"/>
          <w:szCs w:val="32"/>
          <w:highlight w:val="none"/>
          <w:lang w:val="en-US" w:eastAsia="zh-CN"/>
        </w:rPr>
        <w:t>本年度增加项目收入，收入增加</w:t>
      </w:r>
      <w:r>
        <w:rPr>
          <w:rFonts w:hint="eastAsia" w:ascii="仿宋_GB2312" w:eastAsia="仿宋_GB2312"/>
          <w:b w:val="0"/>
          <w:bCs w:val="0"/>
          <w:color w:val="auto"/>
          <w:sz w:val="32"/>
          <w:szCs w:val="32"/>
          <w:highlight w:val="none"/>
          <w:lang w:eastAsia="zh-CN"/>
        </w:rPr>
        <w:t>。</w:t>
      </w:r>
      <w:r>
        <w:rPr>
          <w:rFonts w:hint="eastAsia" w:ascii="仿宋_GB2312" w:eastAsia="仿宋_GB2312"/>
          <w:b w:val="0"/>
          <w:bCs w:val="0"/>
          <w:color w:val="auto"/>
          <w:sz w:val="32"/>
          <w:szCs w:val="32"/>
          <w:highlight w:val="none"/>
          <w:lang w:val="en-US" w:eastAsia="zh-CN"/>
        </w:rPr>
        <w:t>本年支出758.57万元，与上年相比，增加110.51万元，增长17.05%</w:t>
      </w:r>
      <w:r>
        <w:rPr>
          <w:rFonts w:hint="eastAsia" w:ascii="仿宋_GB2312" w:eastAsia="仿宋_GB2312"/>
          <w:b w:val="0"/>
          <w:bCs w:val="0"/>
          <w:color w:val="auto"/>
          <w:sz w:val="32"/>
          <w:szCs w:val="32"/>
          <w:highlight w:val="none"/>
          <w:lang w:eastAsia="zh-CN"/>
        </w:rPr>
        <w:t>，主要原因是</w:t>
      </w:r>
      <w:r>
        <w:rPr>
          <w:rFonts w:hint="eastAsia" w:ascii="仿宋_GB2312" w:eastAsia="仿宋_GB2312"/>
          <w:b w:val="0"/>
          <w:bCs w:val="0"/>
          <w:color w:val="auto"/>
          <w:sz w:val="32"/>
          <w:szCs w:val="32"/>
          <w:highlight w:val="none"/>
        </w:rPr>
        <w:t>：</w:t>
      </w:r>
      <w:r>
        <w:rPr>
          <w:rFonts w:hint="eastAsia" w:ascii="仿宋_GB2312" w:eastAsia="仿宋_GB2312"/>
          <w:b w:val="0"/>
          <w:bCs w:val="0"/>
          <w:color w:val="auto"/>
          <w:sz w:val="32"/>
          <w:szCs w:val="32"/>
          <w:highlight w:val="none"/>
          <w:lang w:val="en-US" w:eastAsia="zh-CN"/>
        </w:rPr>
        <w:t>本年度增加项目支出，支出增加</w:t>
      </w:r>
      <w:r>
        <w:rPr>
          <w:rFonts w:hint="eastAsia" w:ascii="仿宋_GB2312" w:eastAsia="仿宋_GB2312"/>
          <w:b w:val="0"/>
          <w:bCs w:val="0"/>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979"/>
      <w:bookmarkStart w:id="9"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pacing w:val="0"/>
          <w:sz w:val="32"/>
          <w:szCs w:val="32"/>
          <w:highlight w:val="none"/>
          <w:lang w:val="en-US" w:eastAsia="zh-CN"/>
        </w:rPr>
        <w:t>2021年度本年收入757.17万元，其中：财政拨款收入610.17万元，占80.59%；上级补助收入0.00万元，占0.00%；事业收入120.02万元，占15.85%；经营收入0.00万元，占0.00%；附属单位上缴收入0.00万元，占0.00%；其他收入26.98万元，占3.56%。</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0" w:name="_Toc27961"/>
      <w:bookmarkStart w:id="11" w:name="_Toc13201"/>
      <w:r>
        <w:rPr>
          <w:rFonts w:hint="eastAsia" w:ascii="黑体" w:hAnsi="黑体" w:eastAsia="黑体" w:cs="宋体"/>
          <w:bCs/>
          <w:color w:val="auto"/>
          <w:kern w:val="0"/>
          <w:sz w:val="32"/>
          <w:szCs w:val="32"/>
          <w:highlight w:val="none"/>
          <w:lang w:eastAsia="zh-CN"/>
        </w:rPr>
        <w:t>三、支出决算情况说明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olor w:val="auto"/>
          <w:sz w:val="32"/>
          <w:szCs w:val="32"/>
          <w:highlight w:val="none"/>
          <w:lang w:eastAsia="zh-CN"/>
        </w:rPr>
      </w:pPr>
      <w:r>
        <w:rPr>
          <w:rFonts w:hint="eastAsia" w:ascii="仿宋_GB2312" w:eastAsia="仿宋_GB2312"/>
          <w:color w:val="auto"/>
          <w:spacing w:val="0"/>
          <w:sz w:val="32"/>
          <w:szCs w:val="32"/>
          <w:highlight w:val="none"/>
          <w:lang w:val="en-US" w:eastAsia="zh-CN"/>
        </w:rPr>
        <w:t>2021年度本年支出758.57万元，其中：基本支出484.71万元，占63.90%；项目支出273.87万元，占36.10%；上缴上级支出0.00万元，占0.00%；经营支出0.00万元，占0.00%；对附属单位补助支出0.00万元，占0.00%。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2" w:name="_Toc26564"/>
      <w:bookmarkStart w:id="13" w:name="_Toc4393"/>
      <w:r>
        <w:rPr>
          <w:rFonts w:hint="eastAsia" w:ascii="黑体" w:hAnsi="黑体" w:eastAsia="黑体" w:cs="宋体"/>
          <w:bCs/>
          <w:color w:val="auto"/>
          <w:kern w:val="0"/>
          <w:sz w:val="32"/>
          <w:szCs w:val="32"/>
          <w:highlight w:val="none"/>
          <w:lang w:eastAsia="zh-CN"/>
        </w:rPr>
        <w:t>四、财政拨款收入支出决算总体情况说明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pacing w:val="0"/>
          <w:sz w:val="32"/>
          <w:szCs w:val="32"/>
          <w:highlight w:val="none"/>
          <w:lang w:val="en-US" w:eastAsia="zh-CN"/>
        </w:rPr>
        <w:t>2021年度财政拨款收入610.17万元，与上年相比，增加184.91万元，增长43.48%</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本年度增加项目收入，收入增加</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财政拨款支出611.57万元，与上年相比，增加187.71万元，增长44.29%</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本年度增加项目支出，支出增加</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与年初预算数相比情况：财政拨款收入年初预算数276.50万元，决算数610.17万元，预决算差异率120.68%</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本年度追加项目收入</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财政拨款支出年初预算数276.50万元，决算数611.57万元，预决算差异率121.18%</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本年度追加项目支出</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4" w:name="_Toc20360"/>
      <w:bookmarkStart w:id="15"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4"/>
      <w:bookmarkEnd w:id="15"/>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val="en-US" w:eastAsia="zh-CN"/>
        </w:rPr>
        <w:t>2021年度一般公共预算财政拨款支出610.17万元。按功能分类科目项级科目公开，其中：</w:t>
      </w:r>
    </w:p>
    <w:p>
      <w:pPr>
        <w:keepNext w:val="0"/>
        <w:keepLines w:val="0"/>
        <w:pageBreakBefore w:val="0"/>
        <w:widowControl w:val="0"/>
        <w:kinsoku/>
        <w:wordWrap/>
        <w:overflowPunct/>
        <w:topLinePunct w:val="0"/>
        <w:bidi w:val="0"/>
        <w:adjustRightInd/>
        <w:snapToGrid/>
        <w:spacing w:line="240" w:lineRule="auto"/>
        <w:textAlignment w:val="auto"/>
        <w:rPr>
          <w:rFonts w:hint="default" w:ascii="仿宋_GB2312" w:eastAsia="仿宋_GB2312"/>
          <w:b/>
          <w:bCs/>
          <w:color w:val="auto"/>
          <w:sz w:val="32"/>
          <w:szCs w:val="32"/>
          <w:highlight w:val="none"/>
          <w:lang w:val="en-US" w:eastAsia="zh-CN"/>
        </w:rPr>
      </w:pPr>
      <w:r>
        <w:rPr>
          <w:rFonts w:hint="eastAsia" w:ascii="仿宋_GB2312" w:eastAsia="仿宋_GB2312"/>
          <w:color w:val="auto"/>
          <w:sz w:val="32"/>
          <w:szCs w:val="32"/>
          <w:highlight w:val="none"/>
          <w:lang w:val="en-US" w:eastAsia="zh-CN"/>
        </w:rPr>
        <w:t xml:space="preserve">    2080505 机关事业单位基本养老保险缴费支出29.15万元;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2080799 其他就业补助支出2.24万元;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2100302 乡镇卫生院268.05万元;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2100399 其他基层医疗卫生机构支出30.05万元;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2100408 基本公共卫生服务242.41万元;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2101102 事业单位医疗14.01万元;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2101199 其他行政事业单位医疗支出0.61万元;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2210201 住房公积金23.64万元</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6" w:name="_Toc11146"/>
      <w:bookmarkStart w:id="17" w:name="_Toc30870"/>
      <w:r>
        <w:rPr>
          <w:rFonts w:hint="eastAsia" w:ascii="黑体" w:hAnsi="黑体" w:eastAsia="黑体" w:cs="宋体"/>
          <w:bCs/>
          <w:color w:val="auto"/>
          <w:kern w:val="0"/>
          <w:sz w:val="32"/>
          <w:szCs w:val="32"/>
          <w:highlight w:val="none"/>
          <w:lang w:eastAsia="zh-CN"/>
        </w:rPr>
        <w:t>六、一般公共预算财政拨款基本支出决算情况说明</w:t>
      </w:r>
      <w:bookmarkEnd w:id="16"/>
      <w:bookmarkEnd w:id="17"/>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2021年度一般公共预算财政拨款基本支出337.70万元，其中：</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人员经费334.62万元，包括：基本工资、津贴补贴、奖金、绩效工资、机关事业单位基本养老保险缴费、职工基本医疗保险缴费、其他社会保障缴费、住房公积金、退休费、生活补助、奖励金。</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val="en-US" w:eastAsia="zh-CN"/>
        </w:rPr>
        <w:t>公用经费3.08万元，包括：办公费、工会经费。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8" w:name="_Toc7190"/>
      <w:bookmarkStart w:id="19" w:name="_Toc21518"/>
      <w:r>
        <w:rPr>
          <w:rFonts w:hint="eastAsia" w:ascii="黑体" w:hAnsi="黑体" w:eastAsia="黑体" w:cs="宋体"/>
          <w:bCs/>
          <w:color w:val="auto"/>
          <w:kern w:val="0"/>
          <w:sz w:val="32"/>
          <w:szCs w:val="32"/>
          <w:highlight w:val="none"/>
          <w:lang w:eastAsia="zh-CN"/>
        </w:rPr>
        <w:t>七</w:t>
      </w:r>
      <w:r>
        <w:rPr>
          <w:rFonts w:hint="eastAsia" w:ascii="黑体" w:hAnsi="黑体" w:eastAsia="黑体" w:cs="宋体"/>
          <w:bCs/>
          <w:color w:val="auto"/>
          <w:kern w:val="0"/>
          <w:sz w:val="32"/>
          <w:szCs w:val="32"/>
          <w:highlight w:val="none"/>
        </w:rPr>
        <w:t>、一般公共预算</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bookmarkEnd w:id="18"/>
      <w:bookmarkEnd w:id="19"/>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val="en-US" w:eastAsia="zh-CN"/>
        </w:rPr>
        <w:t>2021年度一般公共预算“三公”经费支出决算0.00万元，比上年增加0.00万元，增长0.00%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本年度未安排预算</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其中，因公出国（境）费支出0.00万元，占0.00%，比上年增加0.00万元，增长0.00%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本年度未安排预算</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公务用车购置及运行维护费支出0.00万元，占0%，比上年增加0.00万元，增长0.00%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本年度未安排预算</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公务接待费支出0.00万元，占0%，比上年增加0.00万元，增长0.00%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本年度未安排预算</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因公出国（境）费支出0.00万元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开支内容包括：</w:t>
      </w:r>
      <w:r>
        <w:rPr>
          <w:rFonts w:hint="eastAsia" w:ascii="仿宋_GB2312" w:eastAsia="仿宋_GB2312"/>
          <w:color w:val="auto"/>
          <w:sz w:val="32"/>
          <w:szCs w:val="32"/>
          <w:highlight w:val="none"/>
          <w:lang w:val="en-US" w:eastAsia="zh-CN"/>
        </w:rPr>
        <w:t>本年度未安排预算</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公务用车购置及运行维护费0.00万元，其中，公务用车购置费0.00万元，公务用车运行维护费0.00万元。</w:t>
      </w:r>
      <w:r>
        <w:rPr>
          <w:rFonts w:hint="eastAsia" w:ascii="仿宋_GB2312" w:eastAsia="仿宋_GB2312"/>
          <w:color w:val="auto"/>
          <w:sz w:val="32"/>
          <w:szCs w:val="32"/>
          <w:highlight w:val="none"/>
        </w:rPr>
        <w:t>公务用车运行维护费开支内容包括</w:t>
      </w:r>
      <w:r>
        <w:rPr>
          <w:rFonts w:hint="eastAsia" w:ascii="仿宋_GB2312" w:eastAsia="仿宋_GB2312"/>
          <w:color w:val="auto"/>
          <w:sz w:val="32"/>
          <w:szCs w:val="32"/>
          <w:highlight w:val="none"/>
          <w:lang w:val="en-US" w:eastAsia="zh-CN"/>
        </w:rPr>
        <w:t>本年度未安排预算</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公务用车购置数0辆，公务用车保有量0辆。</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公务接待费0.00万元</w:t>
      </w:r>
      <w:r>
        <w:rPr>
          <w:rFonts w:hint="eastAsia" w:ascii="仿宋_GB2312" w:eastAsia="仿宋_GB2312"/>
          <w:color w:val="auto"/>
          <w:sz w:val="32"/>
          <w:szCs w:val="32"/>
          <w:highlight w:val="none"/>
        </w:rPr>
        <w:t>，开支内容包括</w:t>
      </w:r>
      <w:r>
        <w:rPr>
          <w:rFonts w:hint="eastAsia" w:ascii="仿宋_GB2312" w:eastAsia="仿宋_GB2312"/>
          <w:color w:val="auto"/>
          <w:sz w:val="32"/>
          <w:szCs w:val="32"/>
          <w:highlight w:val="none"/>
          <w:lang w:val="en-US" w:eastAsia="zh-CN"/>
        </w:rPr>
        <w:t>本年度未安排预算</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与年初预算数相比情况：一般公共预算“三公”经费支出年初预算数0.00万元，决算数0.00万元，预决算差异率0.00%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本年度未安排预算</w:t>
      </w:r>
      <w:r>
        <w:rPr>
          <w:rFonts w:hint="eastAsia" w:ascii="仿宋_GB2312"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其中：因公出国（境）费预算数0.00万元，决算数0.00万元，预决算差异率0.00%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本年度未安排预算</w:t>
      </w:r>
      <w:r>
        <w:rPr>
          <w:rFonts w:hint="eastAsia" w:ascii="仿宋_GB2312"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公务用车购置费预算数0.00万元，决算数0.00万元，预决算差异率0.00%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本年度未安排预算</w:t>
      </w:r>
      <w:r>
        <w:rPr>
          <w:rFonts w:hint="eastAsia" w:ascii="仿宋_GB2312"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公务用车运行费预算数0.00万元，决算数0.00万元，预决算差异率0.00%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本年度未安排预算</w:t>
      </w:r>
      <w:r>
        <w:rPr>
          <w:rFonts w:hint="eastAsia" w:ascii="仿宋_GB2312"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公务接待费预算数0.00万元，决算数0.00万元，预决算差异率0.00%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本年度未安排预算</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20" w:name="_Toc7927"/>
      <w:bookmarkStart w:id="21" w:name="_Toc5810"/>
      <w:r>
        <w:rPr>
          <w:rFonts w:hint="eastAsia" w:ascii="黑体" w:hAnsi="黑体" w:eastAsia="黑体" w:cs="宋体"/>
          <w:bCs/>
          <w:color w:val="auto"/>
          <w:kern w:val="0"/>
          <w:sz w:val="32"/>
          <w:szCs w:val="32"/>
          <w:highlight w:val="none"/>
          <w:lang w:eastAsia="zh-CN"/>
        </w:rPr>
        <w:t>八、政府性基金预算收入支出决算情况说明</w:t>
      </w:r>
      <w:bookmarkEnd w:id="20"/>
      <w:bookmarkEnd w:id="21"/>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2021年度政府性基金预算财政拨款收入0.00万元，与上年相比，减少1.40万元，降低100.00%，主要原因是：本年度未安排政府性基金预算财政拨款收入。政府性基金预算支出1.40万元。与上年相比，增加1.40万元，增长100.00%，主要原因是：</w:t>
      </w:r>
      <w:r>
        <w:rPr>
          <w:rFonts w:hint="eastAsia" w:ascii="仿宋_GB2312" w:eastAsia="仿宋_GB2312"/>
          <w:sz w:val="32"/>
          <w:szCs w:val="32"/>
        </w:rPr>
        <w:t>年初结转和结余的</w:t>
      </w:r>
      <w:r>
        <w:rPr>
          <w:rFonts w:hint="eastAsia" w:ascii="仿宋_GB2312" w:eastAsia="仿宋_GB2312"/>
          <w:sz w:val="32"/>
          <w:szCs w:val="32"/>
          <w:lang w:val="en-US" w:eastAsia="zh-CN"/>
        </w:rPr>
        <w:t>资金</w:t>
      </w:r>
      <w:r>
        <w:rPr>
          <w:rFonts w:hint="eastAsia" w:ascii="仿宋_GB2312" w:eastAsia="仿宋_GB2312"/>
          <w:sz w:val="32"/>
          <w:szCs w:val="32"/>
        </w:rPr>
        <w:t>用于</w:t>
      </w:r>
      <w:r>
        <w:rPr>
          <w:rFonts w:hint="eastAsia" w:ascii="仿宋_GB2312" w:eastAsia="仿宋_GB2312"/>
          <w:sz w:val="32"/>
          <w:szCs w:val="32"/>
          <w:lang w:val="en-US" w:eastAsia="zh-CN"/>
        </w:rPr>
        <w:t>社会福利</w:t>
      </w:r>
      <w:bookmarkStart w:id="52" w:name="_GoBack"/>
      <w:bookmarkEnd w:id="52"/>
      <w:r>
        <w:rPr>
          <w:rFonts w:hint="eastAsia" w:ascii="仿宋_GB2312" w:eastAsia="仿宋_GB2312"/>
          <w:sz w:val="32"/>
          <w:szCs w:val="32"/>
        </w:rPr>
        <w:t>的彩票公益金支出。</w:t>
      </w:r>
      <w:r>
        <w:rPr>
          <w:rFonts w:hint="eastAsia" w:ascii="仿宋_GB2312" w:eastAsia="仿宋_GB2312"/>
          <w:sz w:val="32"/>
          <w:szCs w:val="32"/>
        </w:rPr>
        <w:br w:type="textWrapping"/>
      </w:r>
      <w:r>
        <w:rPr>
          <w:rFonts w:hint="eastAsia" w:ascii="仿宋_GB2312" w:eastAsia="仿宋_GB2312"/>
          <w:color w:val="auto"/>
          <w:spacing w:val="0"/>
          <w:sz w:val="32"/>
          <w:szCs w:val="32"/>
          <w:highlight w:val="none"/>
          <w:lang w:val="en-US" w:eastAsia="zh-CN"/>
        </w:rPr>
        <w:t xml:space="preserve">    2296002 用于社会福利的彩票公益金支出 1.40万元。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r>
        <w:rPr>
          <w:rFonts w:hint="eastAsia" w:ascii="黑体" w:hAnsi="黑体" w:eastAsia="黑体" w:cs="宋体"/>
          <w:bCs/>
          <w:kern w:val="0"/>
          <w:sz w:val="32"/>
          <w:szCs w:val="32"/>
          <w:highlight w:val="none"/>
          <w:lang w:eastAsia="zh-CN"/>
        </w:rPr>
        <w:t>九、国有资本经营预算财政拨款收入支出决算情况说明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我单位本年度无国有资本经营预算财政拨款收入支出，国有资本经营预算财政拨款收入支出决算表为空表。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22" w:name="_Toc1235"/>
      <w:bookmarkStart w:id="23" w:name="_Toc7314"/>
      <w:r>
        <w:rPr>
          <w:rFonts w:hint="eastAsia" w:ascii="黑体" w:hAnsi="黑体" w:eastAsia="黑体" w:cs="宋体"/>
          <w:bCs/>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color w:val="auto"/>
          <w:sz w:val="32"/>
          <w:szCs w:val="32"/>
          <w:highlight w:val="none"/>
        </w:rPr>
      </w:pPr>
      <w:bookmarkStart w:id="24" w:name="_Toc14519"/>
      <w:bookmarkStart w:id="25"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4"/>
      <w:bookmarkEnd w:id="25"/>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pacing w:val="0"/>
          <w:sz w:val="32"/>
          <w:szCs w:val="32"/>
          <w:highlight w:val="none"/>
          <w:lang w:val="en-US" w:eastAsia="zh-CN"/>
        </w:rPr>
        <w:t>2021年度新疆伊犁州特克斯县城镇卫生院（事业单位）公用经费3.08万元，比上年增加2.98万元，增长2,980.00%</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val="en-US" w:eastAsia="zh-CN"/>
        </w:rPr>
        <w:t>本年度增加办公费、工会费等日常开支</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color w:val="auto"/>
          <w:sz w:val="32"/>
          <w:szCs w:val="32"/>
          <w:highlight w:val="none"/>
          <w:lang w:eastAsia="zh-CN"/>
        </w:rPr>
      </w:pPr>
      <w:bookmarkStart w:id="26" w:name="_Toc26704"/>
      <w:bookmarkStart w:id="27" w:name="_Toc227"/>
      <w:r>
        <w:rPr>
          <w:rFonts w:hint="eastAsia" w:ascii="黑体" w:hAnsi="黑体" w:eastAsia="黑体"/>
          <w:color w:val="auto"/>
          <w:sz w:val="32"/>
          <w:szCs w:val="32"/>
          <w:highlight w:val="none"/>
          <w:lang w:eastAsia="zh-CN"/>
        </w:rPr>
        <w:t>（二）政府采购情况</w:t>
      </w:r>
      <w:bookmarkEnd w:id="26"/>
      <w:bookmarkEnd w:id="27"/>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val="en-US" w:eastAsia="zh-CN"/>
        </w:rPr>
        <w:t>2021年度政府采购支出总额0.00万元，其中：政府采购货物支出0.00万元、政府采购工程支出0.00万元、政府采购服务支出0.00万元。</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pacing w:val="0"/>
          <w:sz w:val="32"/>
          <w:szCs w:val="32"/>
          <w:highlight w:val="none"/>
          <w:lang w:val="en-US" w:eastAsia="zh-CN"/>
        </w:rPr>
      </w:pPr>
      <w:bookmarkStart w:id="28" w:name="_Toc4591"/>
      <w:bookmarkStart w:id="29" w:name="_Toc8391"/>
      <w:r>
        <w:rPr>
          <w:rFonts w:hint="eastAsia" w:ascii="仿宋_GB2312" w:eastAsia="仿宋_GB2312"/>
          <w:color w:val="auto"/>
          <w:spacing w:val="0"/>
          <w:sz w:val="32"/>
          <w:szCs w:val="32"/>
          <w:highlight w:val="none"/>
          <w:lang w:val="en-US" w:eastAsia="zh-CN"/>
        </w:rPr>
        <w:t>授予中小企业合同金额0.00万元，占政府采购支出总额的0%，其中：授予小微企业合同金额0.00万元，占政府采购支出总额的0.00%。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（三）国有资产占用情况说明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截止2021年12月31日，单位共有房屋938.80（平方米），价值85.38万元。车辆1辆，价值3.80万元，其中：副部（省）级及以上领导用车0辆、主要领导干部用车0辆、机要通信用车0辆、应急保障用车0辆、执法执勤用车0辆、特种专业技术用车0辆、离退休干部用车0辆、其他用车1辆</w:t>
      </w:r>
      <w:r>
        <w:rPr>
          <w:rFonts w:hint="eastAsia" w:ascii="仿宋_GB2312" w:eastAsia="仿宋_GB2312"/>
          <w:color w:val="auto"/>
          <w:sz w:val="32"/>
          <w:szCs w:val="32"/>
          <w:highlight w:val="none"/>
        </w:rPr>
        <w:t>，其他用车主要是：</w:t>
      </w:r>
      <w:r>
        <w:rPr>
          <w:rFonts w:hint="eastAsia" w:ascii="仿宋_GB2312" w:eastAsia="仿宋_GB2312"/>
          <w:color w:val="auto"/>
          <w:sz w:val="32"/>
          <w:szCs w:val="32"/>
          <w:highlight w:val="none"/>
          <w:lang w:val="en-US" w:eastAsia="zh-CN"/>
        </w:rPr>
        <w:t>一般业务用车</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单位价值50万元以上通用设备2台（套）、单位价值100万元以上专用设备1台（套）。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30" w:name="_Toc435"/>
      <w:bookmarkStart w:id="31" w:name="_Toc11283"/>
      <w:r>
        <w:rPr>
          <w:rFonts w:hint="eastAsia" w:ascii="黑体" w:hAnsi="黑体" w:eastAsia="黑体" w:cs="宋体"/>
          <w:bCs/>
          <w:kern w:val="0"/>
          <w:sz w:val="32"/>
          <w:szCs w:val="32"/>
          <w:highlight w:val="none"/>
          <w:lang w:eastAsia="zh-CN"/>
        </w:rPr>
        <w:t>十一</w:t>
      </w:r>
      <w:r>
        <w:rPr>
          <w:rFonts w:hint="eastAsia" w:ascii="黑体" w:hAnsi="黑体" w:eastAsia="黑体" w:cs="宋体"/>
          <w:bCs/>
          <w:color w:val="auto"/>
          <w:kern w:val="0"/>
          <w:sz w:val="32"/>
          <w:szCs w:val="32"/>
          <w:highlight w:val="none"/>
          <w:lang w:eastAsia="zh-CN"/>
        </w:rPr>
        <w:t>、预算绩效的情况说明</w:t>
      </w:r>
      <w:bookmarkEnd w:id="30"/>
      <w:bookmarkEnd w:id="31"/>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根据预算绩效管理要求，我单位</w:t>
      </w:r>
      <w:r>
        <w:rPr>
          <w:rFonts w:hint="eastAsia" w:ascii="仿宋_GB2312" w:eastAsia="仿宋_GB2312"/>
          <w:color w:val="auto"/>
          <w:sz w:val="32"/>
          <w:szCs w:val="32"/>
          <w:highlight w:val="none"/>
          <w:lang w:val="en-US" w:eastAsia="zh-CN"/>
        </w:rPr>
        <w:t>2021</w:t>
      </w:r>
      <w:r>
        <w:rPr>
          <w:rFonts w:hint="eastAsia" w:ascii="仿宋_GB2312" w:eastAsia="仿宋_GB2312"/>
          <w:color w:val="auto"/>
          <w:sz w:val="32"/>
          <w:szCs w:val="32"/>
          <w:highlight w:val="none"/>
          <w:lang w:eastAsia="zh-CN"/>
        </w:rPr>
        <w:t>年度开展预算绩效评价项目</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eastAsia="zh-CN"/>
        </w:rPr>
        <w:t>个，共涉及资金</w:t>
      </w:r>
      <w:r>
        <w:rPr>
          <w:rFonts w:hint="eastAsia" w:ascii="仿宋_GB2312" w:eastAsia="仿宋_GB2312"/>
          <w:color w:val="auto"/>
          <w:sz w:val="32"/>
          <w:szCs w:val="32"/>
          <w:highlight w:val="none"/>
          <w:lang w:val="en-US" w:eastAsia="zh-CN"/>
        </w:rPr>
        <w:t>273.87</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预算绩效管理取得的成效：</w:t>
      </w:r>
      <w:r>
        <w:rPr>
          <w:rFonts w:hint="eastAsia" w:ascii="仿宋_GB2312" w:eastAsia="仿宋_GB2312"/>
          <w:color w:val="auto"/>
          <w:sz w:val="32"/>
          <w:szCs w:val="32"/>
          <w:highlight w:val="none"/>
          <w:lang w:val="en-US" w:eastAsia="zh-CN"/>
        </w:rPr>
        <w:t>基本公共卫生主要实现全县卫生人才培训任务及本系统的党性教育基地建设。以儿童、孕产妇、老年人、慢性疾病患者为重点人群，面向全体居民免费提供的最基本的公共卫生服务。开展服务项目所需资金主要乡居民可直接受益。本年自评完成93%以上。保障全区所有政府办基层医疗卫生机构实施国家基本药物制度，推进综合改革顺利进行。对实施国家基本药物制度的村卫生室给予补助，支持国家基本药物制度在村卫生室顺利实施</w:t>
      </w:r>
      <w:r>
        <w:rPr>
          <w:rFonts w:hint="eastAsia" w:ascii="仿宋_GB2312" w:eastAsia="仿宋_GB2312"/>
          <w:color w:val="auto"/>
          <w:sz w:val="32"/>
          <w:szCs w:val="32"/>
          <w:highlight w:val="none"/>
          <w:lang w:eastAsia="zh-CN"/>
        </w:rPr>
        <w:t>。发现的问题及原因：</w:t>
      </w:r>
      <w:r>
        <w:rPr>
          <w:rFonts w:hint="eastAsia" w:ascii="仿宋_GB2312" w:eastAsia="仿宋_GB2312"/>
          <w:color w:val="auto"/>
          <w:sz w:val="32"/>
          <w:szCs w:val="32"/>
          <w:highlight w:val="none"/>
          <w:lang w:val="en-US" w:eastAsia="zh-CN"/>
        </w:rPr>
        <w:t>居民健康档案的质量有待加强。对居民健康档案的建立有明确的流程和方法，但因工作人员的疏忽和粗心致使建档内容出现缺项、漏项、人员信息不完整及居民健康档案更新不及时等异常现象。对重点人群的随访管理不到位，高血压、糖尿病系统随访管理性欠规范，随访录入不及时或随访次数不够及健康指导无记录等现象。严重精神障碍患者的管理需要进一步完善。健康教育宣传效果不够理想。虽然发放了一定数量的关于健康知识方面的宣传资料，并且通过开展健康讲座、宣传栏更新、个体化宣教、广播、电视播放健康宣教片等方式广泛开展健康宣教，但部分群众对健康宣教的目的和意义仍然不能领会。老年人的健康管理主要对中医药健康管理工作不能很规范，专业服务的能力和水平相对较低。群众对家庭医生签约服务积极性不高，履约意识不强，存在签而不约现象，服务质量有待提升；手机APP家庭医生签约工作进度缓慢，签约软件不稳定存在数据经常丢失，数据衔接及共享在目前信息时代未同步更新。基层机构工作人员经常多次与冠新公司技术人员联系，未能及时解决反馈的问题。基层医疗卫生机构专业技术人员缺乏，从事基本公共卫生服务项目的多为临聘人员，且承担工作内容种类繁多，工作人员流动性大，造成基本公共卫生服务项目工作在开展过程中出现质量问题</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下一步改进措施：</w:t>
      </w:r>
      <w:r>
        <w:rPr>
          <w:rFonts w:hint="eastAsia" w:ascii="仿宋_GB2312" w:eastAsia="仿宋_GB2312"/>
          <w:color w:val="auto"/>
          <w:sz w:val="32"/>
          <w:szCs w:val="32"/>
          <w:highlight w:val="none"/>
          <w:lang w:val="en-US" w:eastAsia="zh-CN"/>
        </w:rPr>
        <w:t>规范基本公共卫生服务项目管理流程，结合全民健康体检工作，及时将体检中发现的高血压、糖尿病患者及时纳入慢病管理系统，积极开展好随访服务工作，并对居民健康档案实行动态管理，杜绝弄虚作假，确保基本公共卫生服务项目工作高质量稳步推进。建全工作机制，强化工作职责，加强对公共卫生服务工作的领导。在督察中发现问题及时采取有效措施整改，确保项目工作全面有序健康发展。加大宣传力度，提高健康意识。结合实际，要求各级医疗机构有针对性开展健康宣传活动，目的是提高各族群众的防病意识，减少因病致贫和因病返贫的现象。以全民健康体检为契机，对在体检中发现的各类疾病及时纳入管理范围，开展好个体化宣教，实心实意服务群众，进一步提高群众的健康意识，自觉自愿接受公共卫生服务</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项目自评情况附项目支出绩效自评表。</w:t>
      </w:r>
    </w:p>
    <w:p>
      <w:pPr>
        <w:keepNext w:val="0"/>
        <w:keepLines w:val="0"/>
        <w:pageBreakBefore w:val="0"/>
        <w:widowControl w:val="0"/>
        <w:kinsoku/>
        <w:wordWrap/>
        <w:overflowPunct/>
        <w:topLinePunct w:val="0"/>
        <w:bidi w:val="0"/>
        <w:adjustRightInd/>
        <w:snapToGrid/>
        <w:spacing w:line="240" w:lineRule="auto"/>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val="en-US" w:eastAsia="zh-CN"/>
        </w:rPr>
        <w:br w:type="page"/>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sz w:val="32"/>
          <w:szCs w:val="32"/>
          <w:highlight w:val="none"/>
        </w:rPr>
      </w:pPr>
      <w:bookmarkStart w:id="32" w:name="_Toc3250"/>
      <w:bookmarkStart w:id="33" w:name="_Toc24143"/>
      <w:bookmarkStart w:id="34" w:name="_Toc28903"/>
      <w:bookmarkStart w:id="35" w:name="_Toc22784"/>
      <w:r>
        <w:rPr>
          <w:rFonts w:hint="eastAsia" w:ascii="黑体" w:hAnsi="黑体" w:eastAsia="黑体"/>
          <w:sz w:val="32"/>
          <w:szCs w:val="32"/>
          <w:highlight w:val="none"/>
        </w:rPr>
        <w:t>第三部分 专业名词解释</w:t>
      </w:r>
      <w:bookmarkEnd w:id="32"/>
      <w:bookmarkEnd w:id="33"/>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财政拨款收入：指同级财政当年拨付的资金。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上级补助收入：指事业单位从主管部门和上级单位取得的非财政补助收入。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事业收入：指事业单位开展专业业务活动及其辅助活动所取得的收入。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附属单位上缴收入：指事业单位附属的独立核算单位按有关规定上缴的收入。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其他收入：指除上述“财政拨款收入”、“事业收入”、“经营收入”、“附属单位上缴收入”等之外取得的收入。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lang w:eastAsia="zh-CN"/>
        </w:rPr>
        <w:t>年初</w:t>
      </w:r>
      <w:r>
        <w:rPr>
          <w:rFonts w:hint="eastAsia" w:ascii="仿宋_GB2312" w:eastAsia="仿宋_GB2312"/>
          <w:sz w:val="32"/>
          <w:szCs w:val="32"/>
          <w:highlight w:val="none"/>
        </w:rPr>
        <w:t>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基本支出：指为保障机构正常运转、完成日常工作任务而发生的人员支出和公用支出。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项目支出：指在基本支出之外为完成特定行政任务和事业发展目标所发生的支出。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对附属单位补助支出：指事业单位发生的用非财政预算资金对附属单位的补助支出。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rPr>
        <w:t>“三公”经费：指用一般公共预算财政拨款安排的因公出国（境）费、公务用车购置及运行费和公务接待费。其中，因公出国（境）费反映单位公务出国（境）的</w:t>
      </w:r>
      <w:r>
        <w:rPr>
          <w:rFonts w:hint="eastAsia" w:ascii="仿宋_GB2312" w:eastAsia="仿宋_GB2312"/>
          <w:sz w:val="32"/>
          <w:szCs w:val="32"/>
          <w:highlight w:val="none"/>
          <w:lang w:eastAsia="zh-CN"/>
        </w:rPr>
        <w:t>国际旅费、国外城市间交通费、</w:t>
      </w:r>
      <w:r>
        <w:rPr>
          <w:rFonts w:hint="eastAsia" w:ascii="仿宋_GB2312" w:eastAsia="仿宋_GB2312"/>
          <w:sz w:val="32"/>
          <w:szCs w:val="32"/>
          <w:highlight w:val="none"/>
        </w:rPr>
        <w:t>住宿费、伙食费、培训费、</w:t>
      </w:r>
      <w:r>
        <w:rPr>
          <w:rFonts w:hint="eastAsia" w:ascii="仿宋_GB2312" w:eastAsia="仿宋_GB2312"/>
          <w:sz w:val="32"/>
          <w:szCs w:val="32"/>
          <w:highlight w:val="none"/>
          <w:lang w:eastAsia="zh-CN"/>
        </w:rPr>
        <w:t>公</w:t>
      </w:r>
      <w:r>
        <w:rPr>
          <w:rFonts w:hint="eastAsia" w:ascii="仿宋_GB2312" w:eastAsia="仿宋_GB2312"/>
          <w:sz w:val="32"/>
          <w:szCs w:val="32"/>
          <w:highlight w:val="none"/>
        </w:rPr>
        <w:t>杂费等支出；公务用车购置费</w:t>
      </w:r>
      <w:r>
        <w:rPr>
          <w:rFonts w:hint="eastAsia" w:ascii="仿宋_GB2312" w:eastAsia="仿宋_GB2312"/>
          <w:sz w:val="32"/>
          <w:szCs w:val="32"/>
          <w:highlight w:val="none"/>
          <w:lang w:eastAsia="zh-CN"/>
        </w:rPr>
        <w:t>反映公务用车购置支出（含车辆购置税、牌照费）；</w:t>
      </w:r>
      <w:r>
        <w:rPr>
          <w:rFonts w:hint="eastAsia" w:ascii="仿宋_GB2312" w:eastAsia="仿宋_GB2312"/>
          <w:sz w:val="32"/>
          <w:szCs w:val="32"/>
          <w:highlight w:val="none"/>
        </w:rPr>
        <w:t>公务用车运行</w:t>
      </w:r>
      <w:r>
        <w:rPr>
          <w:rFonts w:hint="eastAsia" w:ascii="仿宋_GB2312" w:eastAsia="仿宋_GB2312"/>
          <w:sz w:val="32"/>
          <w:szCs w:val="32"/>
          <w:highlight w:val="none"/>
          <w:lang w:eastAsia="zh-CN"/>
        </w:rPr>
        <w:t>维护</w:t>
      </w:r>
      <w:r>
        <w:rPr>
          <w:rFonts w:hint="eastAsia" w:ascii="仿宋_GB2312" w:eastAsia="仿宋_GB2312"/>
          <w:sz w:val="32"/>
          <w:szCs w:val="32"/>
          <w:highlight w:val="none"/>
        </w:rPr>
        <w:t>费反映</w:t>
      </w:r>
      <w:r>
        <w:rPr>
          <w:rFonts w:hint="eastAsia" w:ascii="仿宋_GB2312" w:eastAsia="仿宋_GB2312"/>
          <w:sz w:val="32"/>
          <w:szCs w:val="32"/>
          <w:highlight w:val="none"/>
          <w:lang w:eastAsia="zh-CN"/>
        </w:rPr>
        <w:t>单位按规定保留的公务用车燃料费、维修费、</w:t>
      </w:r>
      <w:r>
        <w:rPr>
          <w:rFonts w:hint="eastAsia" w:ascii="仿宋_GB2312" w:eastAsia="仿宋_GB2312"/>
          <w:sz w:val="32"/>
          <w:szCs w:val="32"/>
          <w:highlight w:val="none"/>
        </w:rPr>
        <w:t>过路过桥费、保险费、安全奖励费用等支出</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公务接待费反映单位按规定开支的各类公务接待（含外宾接待）</w:t>
      </w:r>
      <w:r>
        <w:rPr>
          <w:rFonts w:hint="eastAsia" w:ascii="仿宋_GB2312" w:eastAsia="仿宋_GB2312"/>
          <w:sz w:val="32"/>
          <w:szCs w:val="32"/>
          <w:highlight w:val="none"/>
          <w:lang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bidi w:val="0"/>
        <w:adjustRightInd/>
        <w:snapToGrid/>
        <w:spacing w:line="240" w:lineRule="auto"/>
        <w:jc w:val="both"/>
        <w:textAlignment w:val="auto"/>
        <w:rPr>
          <w:rFonts w:hint="eastAsia" w:ascii="仿宋_GB2312" w:eastAsia="仿宋_GB2312"/>
          <w:sz w:val="32"/>
          <w:szCs w:val="32"/>
          <w:highlight w:val="none"/>
        </w:rPr>
      </w:pPr>
      <w:r>
        <w:rPr>
          <w:rFonts w:hint="eastAsia" w:ascii="仿宋_GB2312" w:eastAsia="仿宋_GB2312"/>
          <w:color w:val="auto"/>
          <w:sz w:val="32"/>
          <w:szCs w:val="32"/>
          <w:highlight w:val="none"/>
          <w:lang w:val="en-US" w:eastAsia="zh-CN"/>
        </w:rPr>
        <w:br w:type="page"/>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第四部分 部门决算报表（见附表）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36" w:name="_Toc2183"/>
      <w:bookmarkStart w:id="37" w:name="_Toc6062"/>
      <w:r>
        <w:rPr>
          <w:rFonts w:hint="eastAsia" w:ascii="黑体" w:hAnsi="黑体" w:eastAsia="黑体" w:cs="宋体"/>
          <w:bCs/>
          <w:kern w:val="0"/>
          <w:sz w:val="32"/>
          <w:szCs w:val="32"/>
          <w:highlight w:val="none"/>
        </w:rPr>
        <w:t>一、《收入支出决算总表》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38" w:name="_Toc30364"/>
      <w:bookmarkStart w:id="39" w:name="_Toc24532"/>
      <w:r>
        <w:rPr>
          <w:rFonts w:hint="eastAsia" w:ascii="黑体" w:hAnsi="黑体" w:eastAsia="黑体" w:cs="宋体"/>
          <w:bCs/>
          <w:kern w:val="0"/>
          <w:sz w:val="32"/>
          <w:szCs w:val="32"/>
          <w:highlight w:val="none"/>
        </w:rPr>
        <w:t>二、《收入决算表》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40" w:name="_Toc21304"/>
      <w:bookmarkStart w:id="41" w:name="_Toc32434"/>
      <w:r>
        <w:rPr>
          <w:rFonts w:hint="eastAsia" w:ascii="黑体" w:hAnsi="黑体" w:eastAsia="黑体" w:cs="宋体"/>
          <w:bCs/>
          <w:kern w:val="0"/>
          <w:sz w:val="32"/>
          <w:szCs w:val="32"/>
          <w:highlight w:val="none"/>
        </w:rPr>
        <w:t>三、《支出决算表》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42" w:name="_Toc28786"/>
      <w:bookmarkStart w:id="43" w:name="_Toc14238"/>
      <w:r>
        <w:rPr>
          <w:rFonts w:hint="eastAsia" w:ascii="黑体" w:hAnsi="黑体" w:eastAsia="黑体" w:cs="宋体"/>
          <w:bCs/>
          <w:kern w:val="0"/>
          <w:sz w:val="32"/>
          <w:szCs w:val="32"/>
          <w:highlight w:val="none"/>
        </w:rPr>
        <w:t>四、《财政拨款收入支出决算总表》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44" w:name="_Toc10347"/>
      <w:bookmarkStart w:id="45" w:name="_Toc14869"/>
      <w:r>
        <w:rPr>
          <w:rFonts w:hint="eastAsia" w:ascii="黑体" w:hAnsi="黑体" w:eastAsia="黑体" w:cs="宋体"/>
          <w:bCs/>
          <w:kern w:val="0"/>
          <w:sz w:val="32"/>
          <w:szCs w:val="32"/>
          <w:highlight w:val="none"/>
        </w:rPr>
        <w:t>五、《一般公共预算财政拨款支出决算表》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46" w:name="_Toc5626"/>
      <w:bookmarkStart w:id="47" w:name="_Toc8884"/>
      <w:r>
        <w:rPr>
          <w:rFonts w:hint="eastAsia" w:ascii="黑体" w:hAnsi="黑体" w:eastAsia="黑体" w:cs="宋体"/>
          <w:bCs/>
          <w:kern w:val="0"/>
          <w:sz w:val="32"/>
          <w:szCs w:val="32"/>
          <w:highlight w:val="none"/>
        </w:rPr>
        <w:t>六、《一般公共预算财政拨款基本支出决算表》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48" w:name="_Toc29106"/>
      <w:bookmarkStart w:id="49" w:name="_Toc32663"/>
      <w:r>
        <w:rPr>
          <w:rFonts w:hint="eastAsia" w:ascii="黑体" w:hAnsi="黑体" w:eastAsia="黑体" w:cs="宋体"/>
          <w:bCs/>
          <w:kern w:val="0"/>
          <w:sz w:val="32"/>
          <w:szCs w:val="32"/>
          <w:highlight w:val="none"/>
        </w:rPr>
        <w:t>七、《一般公共预算财政拨款“三公”经费支出决算表》</w:t>
      </w:r>
      <w:bookmarkEnd w:id="48"/>
      <w:bookmarkEnd w:id="4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50" w:name="_Toc5453"/>
      <w:bookmarkStart w:id="51" w:name="_Toc7643"/>
      <w:r>
        <w:rPr>
          <w:rFonts w:hint="eastAsia" w:ascii="黑体" w:hAnsi="黑体" w:eastAsia="黑体" w:cs="宋体"/>
          <w:bCs/>
          <w:kern w:val="0"/>
          <w:sz w:val="32"/>
          <w:szCs w:val="32"/>
          <w:highlight w:val="none"/>
        </w:rPr>
        <w:t>八、《政府性基金预算财政拨款收入支出决算表》</w:t>
      </w:r>
      <w:bookmarkEnd w:id="50"/>
      <w:bookmarkEnd w:id="5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kern w:val="0"/>
          <w:sz w:val="32"/>
          <w:szCs w:val="32"/>
          <w:highlight w:val="none"/>
          <w:lang w:eastAsia="zh-CN"/>
        </w:rPr>
        <w:t>九</w:t>
      </w:r>
      <w:r>
        <w:rPr>
          <w:rFonts w:hint="eastAsia" w:ascii="黑体" w:hAnsi="黑体" w:eastAsia="黑体" w:cs="宋体"/>
          <w:bCs/>
          <w:kern w:val="0"/>
          <w:sz w:val="32"/>
          <w:szCs w:val="32"/>
          <w:highlight w:val="none"/>
        </w:rPr>
        <w:t>、《</w:t>
      </w:r>
      <w:r>
        <w:rPr>
          <w:rFonts w:hint="eastAsia" w:ascii="黑体" w:hAnsi="黑体" w:eastAsia="黑体" w:cs="宋体"/>
          <w:bCs/>
          <w:kern w:val="0"/>
          <w:sz w:val="32"/>
          <w:szCs w:val="32"/>
          <w:highlight w:val="none"/>
          <w:lang w:eastAsia="zh-CN"/>
        </w:rPr>
        <w:t>国有资本经营</w:t>
      </w:r>
      <w:r>
        <w:rPr>
          <w:rFonts w:hint="eastAsia" w:ascii="黑体" w:hAnsi="黑体" w:eastAsia="黑体" w:cs="宋体"/>
          <w:bCs/>
          <w:kern w:val="0"/>
          <w:sz w:val="32"/>
          <w:szCs w:val="32"/>
          <w:highlight w:val="none"/>
        </w:rPr>
        <w:t>预算财政拨款收入支出决算表》</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zql5uc8AAAAFAQAADwAAAAAAAAABACAAAAAiAAAA&#10;ZHJzL2Rvd25yZXYueG1sUEsBAhQAFAAAAAgAh07iQDd/Ew/XAQAAsAMAAA4AAAAAAAAAAQAgAAAA&#10;HgEAAGRycy9lMm9Eb2MueG1sUEsFBgAAAAAGAAYAWQEAAGc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jOTdiM2IzMjQ5YzJhOTNmMzc5N2M3ZjNmMzc0YTUifQ=="/>
  </w:docVars>
  <w:rsids>
    <w:rsidRoot w:val="00000000"/>
    <w:rsid w:val="0009293E"/>
    <w:rsid w:val="0131169A"/>
    <w:rsid w:val="01734C27"/>
    <w:rsid w:val="01DD6073"/>
    <w:rsid w:val="02014C29"/>
    <w:rsid w:val="02890C73"/>
    <w:rsid w:val="04044ED1"/>
    <w:rsid w:val="041C5E18"/>
    <w:rsid w:val="04AA63C1"/>
    <w:rsid w:val="04EE377F"/>
    <w:rsid w:val="051C631E"/>
    <w:rsid w:val="0562142B"/>
    <w:rsid w:val="060477EF"/>
    <w:rsid w:val="06792773"/>
    <w:rsid w:val="074F280E"/>
    <w:rsid w:val="075B1482"/>
    <w:rsid w:val="075F768F"/>
    <w:rsid w:val="07BA7C7F"/>
    <w:rsid w:val="07C3443C"/>
    <w:rsid w:val="08476613"/>
    <w:rsid w:val="084876D1"/>
    <w:rsid w:val="09026D66"/>
    <w:rsid w:val="090B11F4"/>
    <w:rsid w:val="0A2E4EB6"/>
    <w:rsid w:val="0A611FB0"/>
    <w:rsid w:val="0A6D05E4"/>
    <w:rsid w:val="0AC520F0"/>
    <w:rsid w:val="0B21162A"/>
    <w:rsid w:val="0B557DD5"/>
    <w:rsid w:val="0B701F05"/>
    <w:rsid w:val="0BED1442"/>
    <w:rsid w:val="0C595DFB"/>
    <w:rsid w:val="0C7A5D15"/>
    <w:rsid w:val="0CD00AF9"/>
    <w:rsid w:val="0CFEBB4E"/>
    <w:rsid w:val="0D0A4F7E"/>
    <w:rsid w:val="0D0B27DC"/>
    <w:rsid w:val="0D7C3599"/>
    <w:rsid w:val="0E003458"/>
    <w:rsid w:val="0E1F036C"/>
    <w:rsid w:val="0EB33F18"/>
    <w:rsid w:val="0F1410FB"/>
    <w:rsid w:val="0F444009"/>
    <w:rsid w:val="0F923480"/>
    <w:rsid w:val="1056158D"/>
    <w:rsid w:val="10F929CB"/>
    <w:rsid w:val="10FF31A4"/>
    <w:rsid w:val="1142269D"/>
    <w:rsid w:val="11450985"/>
    <w:rsid w:val="11545A13"/>
    <w:rsid w:val="11CA45A9"/>
    <w:rsid w:val="11E8712A"/>
    <w:rsid w:val="11FE3AAA"/>
    <w:rsid w:val="122451E5"/>
    <w:rsid w:val="126B62A8"/>
    <w:rsid w:val="12951F13"/>
    <w:rsid w:val="12B1037D"/>
    <w:rsid w:val="12CC4CD9"/>
    <w:rsid w:val="13326CE6"/>
    <w:rsid w:val="14284AED"/>
    <w:rsid w:val="158112F6"/>
    <w:rsid w:val="159D66C1"/>
    <w:rsid w:val="15CF1AC0"/>
    <w:rsid w:val="17083B88"/>
    <w:rsid w:val="1742163F"/>
    <w:rsid w:val="176E53C3"/>
    <w:rsid w:val="1805797E"/>
    <w:rsid w:val="18124080"/>
    <w:rsid w:val="182E453B"/>
    <w:rsid w:val="189A656F"/>
    <w:rsid w:val="198202DA"/>
    <w:rsid w:val="19AF7A44"/>
    <w:rsid w:val="1A6109EF"/>
    <w:rsid w:val="1B424E9E"/>
    <w:rsid w:val="1BB07761"/>
    <w:rsid w:val="1C2A54A9"/>
    <w:rsid w:val="1C3737FD"/>
    <w:rsid w:val="1C88403A"/>
    <w:rsid w:val="1CB729A5"/>
    <w:rsid w:val="1CC56B97"/>
    <w:rsid w:val="1D34682A"/>
    <w:rsid w:val="1D4A73D5"/>
    <w:rsid w:val="1D9C2D67"/>
    <w:rsid w:val="1DAF458D"/>
    <w:rsid w:val="1DE34574"/>
    <w:rsid w:val="1F77716A"/>
    <w:rsid w:val="1F825A11"/>
    <w:rsid w:val="206034DD"/>
    <w:rsid w:val="20DF6845"/>
    <w:rsid w:val="21132B48"/>
    <w:rsid w:val="233B4784"/>
    <w:rsid w:val="233E5923"/>
    <w:rsid w:val="235C5523"/>
    <w:rsid w:val="236A6149"/>
    <w:rsid w:val="23B146B9"/>
    <w:rsid w:val="240038BA"/>
    <w:rsid w:val="240A65B7"/>
    <w:rsid w:val="263D5951"/>
    <w:rsid w:val="265E582C"/>
    <w:rsid w:val="26E147D1"/>
    <w:rsid w:val="27004B43"/>
    <w:rsid w:val="27B248A0"/>
    <w:rsid w:val="283F1644"/>
    <w:rsid w:val="287C6FB4"/>
    <w:rsid w:val="28B4796C"/>
    <w:rsid w:val="29770D57"/>
    <w:rsid w:val="29A000F0"/>
    <w:rsid w:val="29D21E13"/>
    <w:rsid w:val="2A053397"/>
    <w:rsid w:val="2AB554B8"/>
    <w:rsid w:val="2B0377CD"/>
    <w:rsid w:val="2B6B66AA"/>
    <w:rsid w:val="2BFE2EF0"/>
    <w:rsid w:val="2C1E18A5"/>
    <w:rsid w:val="2C604703"/>
    <w:rsid w:val="2D1136DF"/>
    <w:rsid w:val="2D2B5CBF"/>
    <w:rsid w:val="2D86575A"/>
    <w:rsid w:val="2D8C755C"/>
    <w:rsid w:val="2DA02D04"/>
    <w:rsid w:val="2DFD193C"/>
    <w:rsid w:val="2E9F6859"/>
    <w:rsid w:val="2EC544A9"/>
    <w:rsid w:val="2F0C26B1"/>
    <w:rsid w:val="2F116303"/>
    <w:rsid w:val="2FC614E6"/>
    <w:rsid w:val="30236790"/>
    <w:rsid w:val="30802486"/>
    <w:rsid w:val="31175173"/>
    <w:rsid w:val="314D12BC"/>
    <w:rsid w:val="316F250C"/>
    <w:rsid w:val="31BD13AC"/>
    <w:rsid w:val="31C63837"/>
    <w:rsid w:val="32082F98"/>
    <w:rsid w:val="32A6143E"/>
    <w:rsid w:val="335C4329"/>
    <w:rsid w:val="336D09C0"/>
    <w:rsid w:val="341546B4"/>
    <w:rsid w:val="354A37A9"/>
    <w:rsid w:val="36273CF4"/>
    <w:rsid w:val="36827C07"/>
    <w:rsid w:val="36AA5F52"/>
    <w:rsid w:val="36C058A7"/>
    <w:rsid w:val="36E000FD"/>
    <w:rsid w:val="374146AF"/>
    <w:rsid w:val="37D36EBD"/>
    <w:rsid w:val="39532809"/>
    <w:rsid w:val="399731E4"/>
    <w:rsid w:val="3ADE39A4"/>
    <w:rsid w:val="3AFB1A4C"/>
    <w:rsid w:val="3B610B0E"/>
    <w:rsid w:val="3BF672B3"/>
    <w:rsid w:val="3BF67B6E"/>
    <w:rsid w:val="3C132F7E"/>
    <w:rsid w:val="3C530331"/>
    <w:rsid w:val="3CBA569C"/>
    <w:rsid w:val="3CBB22B3"/>
    <w:rsid w:val="3CC7093B"/>
    <w:rsid w:val="3CC80DC0"/>
    <w:rsid w:val="3D1309DF"/>
    <w:rsid w:val="3D217D96"/>
    <w:rsid w:val="3D5275AC"/>
    <w:rsid w:val="3D6A6EA1"/>
    <w:rsid w:val="3DED65A8"/>
    <w:rsid w:val="3DFE4E4B"/>
    <w:rsid w:val="3E160417"/>
    <w:rsid w:val="3E4F50AC"/>
    <w:rsid w:val="40161B73"/>
    <w:rsid w:val="4079165E"/>
    <w:rsid w:val="41AD1AA2"/>
    <w:rsid w:val="41B20E4F"/>
    <w:rsid w:val="41D31F00"/>
    <w:rsid w:val="423361A1"/>
    <w:rsid w:val="42827D04"/>
    <w:rsid w:val="42B76840"/>
    <w:rsid w:val="43316970"/>
    <w:rsid w:val="4421165A"/>
    <w:rsid w:val="44467526"/>
    <w:rsid w:val="44CF4655"/>
    <w:rsid w:val="451629D7"/>
    <w:rsid w:val="45A87853"/>
    <w:rsid w:val="45AD0B65"/>
    <w:rsid w:val="46901EEE"/>
    <w:rsid w:val="469C74D2"/>
    <w:rsid w:val="46DC1114"/>
    <w:rsid w:val="46FA6D28"/>
    <w:rsid w:val="473F39FE"/>
    <w:rsid w:val="476D2E32"/>
    <w:rsid w:val="47801D21"/>
    <w:rsid w:val="47FF5A3B"/>
    <w:rsid w:val="48F9688C"/>
    <w:rsid w:val="490B0284"/>
    <w:rsid w:val="492D17D3"/>
    <w:rsid w:val="493A3870"/>
    <w:rsid w:val="4A1207ED"/>
    <w:rsid w:val="4A9D77CC"/>
    <w:rsid w:val="4AF5079B"/>
    <w:rsid w:val="4B345CA5"/>
    <w:rsid w:val="4B701753"/>
    <w:rsid w:val="4BEB2AE8"/>
    <w:rsid w:val="4C181618"/>
    <w:rsid w:val="4C6D3066"/>
    <w:rsid w:val="4CB3745D"/>
    <w:rsid w:val="4D391693"/>
    <w:rsid w:val="4DA93660"/>
    <w:rsid w:val="4DD406E5"/>
    <w:rsid w:val="4DF31F55"/>
    <w:rsid w:val="4E535897"/>
    <w:rsid w:val="4EEA0C1F"/>
    <w:rsid w:val="4F195BC9"/>
    <w:rsid w:val="4F714843"/>
    <w:rsid w:val="4FCE528B"/>
    <w:rsid w:val="5004002B"/>
    <w:rsid w:val="500A528D"/>
    <w:rsid w:val="50D87915"/>
    <w:rsid w:val="50DB5F45"/>
    <w:rsid w:val="510B4945"/>
    <w:rsid w:val="511D7E14"/>
    <w:rsid w:val="51554269"/>
    <w:rsid w:val="516A2E8A"/>
    <w:rsid w:val="517134A1"/>
    <w:rsid w:val="51BB37A4"/>
    <w:rsid w:val="52163B23"/>
    <w:rsid w:val="523D322D"/>
    <w:rsid w:val="52C01CAC"/>
    <w:rsid w:val="530335BC"/>
    <w:rsid w:val="535F2703"/>
    <w:rsid w:val="549741F3"/>
    <w:rsid w:val="54A611D6"/>
    <w:rsid w:val="56146D24"/>
    <w:rsid w:val="56547F9B"/>
    <w:rsid w:val="566314E6"/>
    <w:rsid w:val="568D63A8"/>
    <w:rsid w:val="569D71D3"/>
    <w:rsid w:val="570E289D"/>
    <w:rsid w:val="57211AEC"/>
    <w:rsid w:val="57AF4592"/>
    <w:rsid w:val="5813797A"/>
    <w:rsid w:val="58344842"/>
    <w:rsid w:val="588E1D40"/>
    <w:rsid w:val="58E4063C"/>
    <w:rsid w:val="58F356A0"/>
    <w:rsid w:val="58FB4926"/>
    <w:rsid w:val="5A8C5C64"/>
    <w:rsid w:val="5AD314C1"/>
    <w:rsid w:val="5B0A3C7C"/>
    <w:rsid w:val="5C145D5F"/>
    <w:rsid w:val="5C8850C2"/>
    <w:rsid w:val="5DE43C4B"/>
    <w:rsid w:val="5E256662"/>
    <w:rsid w:val="5E8D0FF0"/>
    <w:rsid w:val="5EA92E5B"/>
    <w:rsid w:val="5F312B5A"/>
    <w:rsid w:val="5F3A544C"/>
    <w:rsid w:val="5F421F4F"/>
    <w:rsid w:val="5F932967"/>
    <w:rsid w:val="600C4334"/>
    <w:rsid w:val="607C007C"/>
    <w:rsid w:val="60DD6C76"/>
    <w:rsid w:val="60EE637C"/>
    <w:rsid w:val="610F4386"/>
    <w:rsid w:val="610F76A0"/>
    <w:rsid w:val="613B2291"/>
    <w:rsid w:val="616F6C82"/>
    <w:rsid w:val="61C23CA5"/>
    <w:rsid w:val="625B5AF2"/>
    <w:rsid w:val="62A91F52"/>
    <w:rsid w:val="62B07C56"/>
    <w:rsid w:val="63390D9D"/>
    <w:rsid w:val="64350E40"/>
    <w:rsid w:val="64766BFD"/>
    <w:rsid w:val="647D0508"/>
    <w:rsid w:val="6537230D"/>
    <w:rsid w:val="656325C7"/>
    <w:rsid w:val="65BF2B26"/>
    <w:rsid w:val="65CF3090"/>
    <w:rsid w:val="65D57A52"/>
    <w:rsid w:val="668019BE"/>
    <w:rsid w:val="668147BE"/>
    <w:rsid w:val="66A71241"/>
    <w:rsid w:val="67CB7D39"/>
    <w:rsid w:val="69316E1A"/>
    <w:rsid w:val="69554902"/>
    <w:rsid w:val="69A94B4A"/>
    <w:rsid w:val="69AD798C"/>
    <w:rsid w:val="69C70FA3"/>
    <w:rsid w:val="69DF1FC1"/>
    <w:rsid w:val="69E5430E"/>
    <w:rsid w:val="6A197EE3"/>
    <w:rsid w:val="6A4F6540"/>
    <w:rsid w:val="6A733F65"/>
    <w:rsid w:val="6AAD748A"/>
    <w:rsid w:val="6B4F02DD"/>
    <w:rsid w:val="6B68175F"/>
    <w:rsid w:val="6B8E27EF"/>
    <w:rsid w:val="6C360AF8"/>
    <w:rsid w:val="6C6B3009"/>
    <w:rsid w:val="6C6B3214"/>
    <w:rsid w:val="6C747BB9"/>
    <w:rsid w:val="6D3D14C4"/>
    <w:rsid w:val="6DF26FFC"/>
    <w:rsid w:val="6E094282"/>
    <w:rsid w:val="6ED34999"/>
    <w:rsid w:val="6F29157B"/>
    <w:rsid w:val="6F531BF4"/>
    <w:rsid w:val="700F486D"/>
    <w:rsid w:val="701074C0"/>
    <w:rsid w:val="702F4311"/>
    <w:rsid w:val="707F51EF"/>
    <w:rsid w:val="71833EC6"/>
    <w:rsid w:val="718D4E0D"/>
    <w:rsid w:val="71AE7AA3"/>
    <w:rsid w:val="71CA2249"/>
    <w:rsid w:val="721E4A5D"/>
    <w:rsid w:val="72EE56CB"/>
    <w:rsid w:val="73406D5B"/>
    <w:rsid w:val="738E33C3"/>
    <w:rsid w:val="73FB6630"/>
    <w:rsid w:val="750B5BF1"/>
    <w:rsid w:val="756B334D"/>
    <w:rsid w:val="75B51FC0"/>
    <w:rsid w:val="75B60031"/>
    <w:rsid w:val="76DD091D"/>
    <w:rsid w:val="77466E92"/>
    <w:rsid w:val="774B26E2"/>
    <w:rsid w:val="77720CA8"/>
    <w:rsid w:val="77ED6F44"/>
    <w:rsid w:val="78224413"/>
    <w:rsid w:val="78FD1F20"/>
    <w:rsid w:val="79870A12"/>
    <w:rsid w:val="7A1C6325"/>
    <w:rsid w:val="7A7632AD"/>
    <w:rsid w:val="7AC8434A"/>
    <w:rsid w:val="7B3910B5"/>
    <w:rsid w:val="7B4C7884"/>
    <w:rsid w:val="7B902D83"/>
    <w:rsid w:val="7BAB7A6D"/>
    <w:rsid w:val="7D5B7B53"/>
    <w:rsid w:val="7D710817"/>
    <w:rsid w:val="7DAF1EC1"/>
    <w:rsid w:val="7F8F3BEC"/>
    <w:rsid w:val="7FD64AD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Chars="400"/>
    </w:pPr>
    <w:rPr>
      <w:rFonts w:ascii="Times New Roman" w:hAnsi="Times New Roman" w:eastAsia="宋体" w:cs="Times New Roman"/>
      <w:sz w:val="20"/>
      <w:szCs w:val="20"/>
    </w:rPr>
  </w:style>
  <w:style w:type="paragraph" w:customStyle="1" w:styleId="11">
    <w:name w:val="WPSOffice手动目录 2"/>
    <w:qFormat/>
    <w:uiPriority w:val="0"/>
    <w:pPr>
      <w:ind w:leftChars="200"/>
    </w:pPr>
    <w:rPr>
      <w:rFonts w:ascii="Times New Roman" w:hAnsi="Times New Roman" w:eastAsia="宋体" w:cs="Times New Roman"/>
      <w:sz w:val="20"/>
      <w:szCs w:val="20"/>
    </w:rPr>
  </w:style>
  <w:style w:type="paragraph" w:customStyle="1" w:styleId="12">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5121</Words>
  <Characters>5662</Characters>
  <Lines>0</Lines>
  <Paragraphs>0</Paragraphs>
  <TotalTime>3</TotalTime>
  <ScaleCrop>false</ScaleCrop>
  <LinksUpToDate>false</LinksUpToDate>
  <CharactersWithSpaces>5730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GXR</dc:creator>
  <cp:lastModifiedBy>胡文萱</cp:lastModifiedBy>
  <dcterms:modified xsi:type="dcterms:W3CDTF">2022-12-29T09:40:02Z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58240A701613457BB24A0FE0F01EE863</vt:lpwstr>
  </property>
</Properties>
</file>