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bookmarkStart w:id="52" w:name="_GoBack"/>
      <w:bookmarkEnd w:id="52"/>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新疆伊犁州特克斯县融媒体中心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执行党和国家有关新闻宣传、广播电视及网络管理等方面的方针政策、法律法规，根据国家、自治区、自治州和县委县政府的总体规划和要求，拟定全县融媒体事业发展规划、计划，经批准后组织实施。（二）全面、准确、及时宣传党的路线、方针、政策，充分发挥党和政府的喉舌作用，负责全县各种媒体宣传工作，研究新闻采编报道中的重大问题，组织全局性重大宣传报道活动，不断提高宣传质量，把握正确舆论导向。（三）负责融媒体中心平台的建设、管理及维护工作，推动新媒体的发展。（四）负责媒体重要技术、设备维护和监管，加强安全防范，保障新闻信息安全发布；负责相关媒体资质、资源的报批、使用和管理。（五）负责广播、电视以及新媒体运作。（六）负责媒体及设备的高新技术和运行模式的开发应用、申报评定和推广；负责对手机APP、微信、微博、抖音等新兴媒体的开发、推广、管理；负责各媒体的经营活动。（七）依法报批中心信息发布机构（平台）和客户端的建立和撤销。（八）负责各种媒体作品的创新创优工作。（九）完成县委、县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新疆伊犁州特克斯县融媒体中心2021年度，实有人数78人，其中：在职人员45人，离休人员0人，退休人员33人。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从部门决算单位构成看，新疆伊犁州特克斯县融媒体中心部门决算包括：新疆伊犁州特克斯县融媒体中心决算。单位无下属预算单位，下设1个处室，分别是：文行科。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2021年度本年收入1,443.81万元，与上年相比，增加654.38万元，增长82.89%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一是人员变动、正常升级及人员等级变动工资有所变化以及2021年社保基数上调社保缴费增加，住房公积金也比上年有所增加，工资调资；二是事业新招聘人员，三是我单位21年新增融媒+旅游项目，为援疆资金，21年到位626.31万元</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本年支出1,461.05万元，与上年相比，增加609.60万元，增长71.60%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一是人员变动、正常升级及人员等级变动工资有所变化以及2021年社保基数上调社保缴费增加，住房公积金也比上年有所增加，工资调资；二是事业新招聘人员，三是我单位21年新增融媒+旅游项目，为援疆资金，21年到位626.31万元</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1,443.81万元，其中：财政拨款收入817.50万元，占56.62%；上级补助收入0.00万元，占0.00%；事业收入0.00万元，占0.00%；经营收入0.00万元，占0.00%；附属单位上缴收入0.00万元，占0.00%；其他收入626.31万元，占43.38%。</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2021年度本年支出1,461.05万元，其中：基本支出612.39万元，占41.91%；项目支出848.66万元，占58.09%；上缴上级支出0.00万元，占0.00%；经营支出0.00万元，占0.00%；对附属单位补助支出0.00万元，占0.00%。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2021年度财政拨款收入817.50万元，与上年相比，增加28.07万元，增长3.56%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一是人员变动、正常升级及人员等级变动工资有所变化以及2021年社保基数上调社保缴费增加，住房公积金也比上年有所增加，工资调资；二是事业新招聘人员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财政拨款支出834.74万元，与上年相比，减少16.71万元，降低1.96%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单位认真贯彻落实中央关于厉行节约的有关规定，严格执行《党政机关厉行节约反对浪费条例》，从严控制一般性支出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rPr>
      </w:pPr>
      <w:r>
        <w:rPr>
          <w:rFonts w:hint="eastAsia" w:ascii="仿宋_GB2312" w:eastAsia="仿宋_GB2312"/>
          <w:color w:val="auto"/>
          <w:sz w:val="32"/>
          <w:szCs w:val="32"/>
          <w:highlight w:val="none"/>
          <w:lang w:val="en-US" w:eastAsia="zh-CN"/>
        </w:rPr>
        <w:t>与年初预算数相比情况：财政拨款收入年初预算数771.39万元，决算数817.50万元，预决算差异率5.98%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人员变动、工资上调、社保、公积金调增，追加资金。财政拨款支出年初预算数771.39万元，决算数834.74万元，预决算差异率8.21%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人员变动、工资上调、社保、公积金调增，追加预算。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2021年度一般公共预算财政拨款支出834.74万元。按功能分类科目项级科目公开，其中：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2070807 传输发射3.53万元;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2070808 广播电视事务533.81万元;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2070899 其他广播电视支出77.52万元;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2079999 其他文化旅游体育与传媒支出87.59万元;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机关事业单位基本养老保险缴费支出50.90万元;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机关事业单位职业年金缴费支出8.18万元;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事业单位医疗28.84万元;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2101199 其他行政事业单位医疗支出1.80万元;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住房公积金42.57万元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2021年度一般公共预算财政拨款基本支出612.39万元，其中：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人员经费583.19万元，包括：基本工资、津贴补贴、奖金、绩效工资、机关事业单位基本养老保险缴费、职业年金缴费、职工基本医疗保险缴费、其他社会保障缴费、住房公积金、退休费、抚恤金、奖励金。</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公用经费29.19万元，包括：电费、办公费、印刷费、手续费、水费、邮电费、差旅费、维修（护）费、租赁费、劳务费、工会经费、公务用车运行维护费。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2021年度一般公共预算“三公”经费支出决算0.27万元，比上年减少0.33万元，降低55.00%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单位认真贯彻落实中央关于厉行节约的有关规定，严格执行《党政机关厉行节约反对浪费条例》，从严控制一般性支出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公务用车购置及运行维护费支出0.27万元，占100%，比上年减少0.33万元，降低55.00%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节约“三公"经费开支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公务用车购置及运行维护费0.27万元，其中，公务用车购置费0.00万元，公务用车运行维护费0.27万元。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燃油费、公车修理费、公车保险费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与年初预算数相比情况：一般公共预算“三公”经费支出年初预算数0.80万元，决算数0.27万元，预决算差异率-66.25%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公务用车运行费减少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公务用车运行费预算数0.80万元，决算数0.27万元，预决算差异率-66.25%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厉行节约，压缩经费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2021年度新疆伊犁州特克斯县融媒体中心（事业单位）公用经费29.19万元，比上年增加19.50万元，增长201.24%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本年度新增援疆资金25万元用于公用经费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2辆，价值33.00万元，其中：副部（省）级及以上领导用车0辆、主要领导干部用车0辆、机要通信用车0辆、应急保障用车0辆、执法执勤用车0辆、特种专业技术用车1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单位价值50万元以上通用设备2台（套）、单位价值100万元以上专用设备0台（套）。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128.32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通过绩效评价，客观地评判项目的管理绩效，了解和掌握2021年专项资金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总的来看，我单位预算绩效管理工作虽然取得了一些成绩，但也存在一些问题需要解决，还有一些不足之处需要完善，其中既有面上普遍存在的，也有实际工作中遇到的个性问题。一是预算绩效管理的范围有待进一步扩大。虽然我单位绩效评价工作已经开展，我单位提出明确项目绩效监控工作要求，但在进行自主绩效监控方面欠缺主动。二是评价指标体系需要进一步完善。财政支出评价项目之间差异性大，目前我单位虽然已经发布普遍适用性指标，但真正能体现项目效果的个性指标，由于设置细化量化程序不够，还不能完全满足目前工作开展需要。三是人员素质有待进一步提高。由于预算绩效管理工作开展时间较短，加上缺乏系统的培训，对预算绩效管理认识不到位、理解不充分，对预算绩效管理业务不了解、不熟悉，对工作重点把握不到位，由此造成我单位绩效管理工作一定的被动局面</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1.逐步扩大绩效管理范围。加强在绩效目标管理、绩效监控、绩效评价等事前、事中、事后各阶段对项目的预算绩效管理。2.加强评价指标体系建设。一是汇总梳理以前年度制定的指标，将符合当前预算绩效管理要求和行业管理特点的个性指标汇编成库；二是组织人员搜集整理其他好的制定出台的指标，进一步充实完善个性指标库；三是建立指标更新机制，将以后年度新制定的指标及时纳入指标库，做到随时更新、完善。3.积极运用绩效评价结果。建立绩效评价结果的反馈与整改、激励与问责制度，进一步完善绩效评价结果的反馈和运用机制，按要求将绩效评价结果向社会逐步公布，进一步增强单位的责任感和紧迫感。将评价结果作为安排以后年度预算的重要依据，将一些绩效评价结果不好的项目取消，对执行不力的项目的预算要进行相应削减，切实发挥绩效评价工作的应有作用。4.加强培训和指导。采取集中学习、讲座、专题会议等方式，加大对绩效管理领导小组人员的培训力度，进一步统一认识，充实业务知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OTdiM2IzMjQ5YzJhOTNmMzc5N2M3ZjNmMzc0YT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1B7474"/>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E98195F"/>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2428"/>
    <w:rsid w:val="31175173"/>
    <w:rsid w:val="314D12BC"/>
    <w:rsid w:val="316F250C"/>
    <w:rsid w:val="31BD13AC"/>
    <w:rsid w:val="31C63837"/>
    <w:rsid w:val="32082F98"/>
    <w:rsid w:val="32A6143E"/>
    <w:rsid w:val="336D09C0"/>
    <w:rsid w:val="34D643A8"/>
    <w:rsid w:val="354A37A9"/>
    <w:rsid w:val="36273CF4"/>
    <w:rsid w:val="36827C07"/>
    <w:rsid w:val="36AA5F52"/>
    <w:rsid w:val="36C058A7"/>
    <w:rsid w:val="36E000FD"/>
    <w:rsid w:val="374146AF"/>
    <w:rsid w:val="37D36EBD"/>
    <w:rsid w:val="386A5533"/>
    <w:rsid w:val="399731E4"/>
    <w:rsid w:val="3A1937F6"/>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603F46"/>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58C2AFE"/>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EAF4979"/>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2D24F1B"/>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6E2B47"/>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3C5D36"/>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5678</Words>
  <Characters>6227</Characters>
  <Lines>0</Lines>
  <Paragraphs>0</Paragraphs>
  <TotalTime>2</TotalTime>
  <ScaleCrop>false</ScaleCrop>
  <LinksUpToDate>false</LinksUpToDate>
  <CharactersWithSpaces>6282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胡文萱</cp:lastModifiedBy>
  <dcterms:modified xsi:type="dcterms:W3CDTF">2023-09-18T02:56:09Z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E582561B5F044CFD9CF160E41860A690_13</vt:lpwstr>
  </property>
</Properties>
</file>