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4F81BD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4F81BD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4F81BD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4F81BD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4F81BD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b/>
          <w:bCs/>
          <w:color w:val="auto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 w:cs="方正小标宋简体"/>
          <w:b/>
          <w:bCs/>
          <w:color w:val="auto"/>
          <w:kern w:val="0"/>
          <w:sz w:val="48"/>
          <w:szCs w:val="48"/>
          <w:lang w:eastAsia="zh-CN"/>
        </w:rPr>
        <w:t>特克斯县</w:t>
      </w:r>
      <w:r>
        <w:rPr>
          <w:rFonts w:hint="eastAsia" w:ascii="方正小标宋简体" w:hAnsi="华文中宋" w:eastAsia="方正小标宋简体" w:cs="方正小标宋简体"/>
          <w:b/>
          <w:bCs/>
          <w:color w:val="auto"/>
          <w:kern w:val="0"/>
          <w:sz w:val="48"/>
          <w:szCs w:val="48"/>
        </w:rPr>
        <w:t>社会保险支出</w:t>
      </w:r>
    </w:p>
    <w:p>
      <w:pPr>
        <w:spacing w:line="540" w:lineRule="exact"/>
        <w:jc w:val="center"/>
        <w:rPr>
          <w:rFonts w:ascii="方正小标宋简体" w:hAnsi="华文中宋" w:eastAsia="方正小标宋简体"/>
          <w:b/>
          <w:bCs/>
          <w:color w:val="auto"/>
          <w:kern w:val="0"/>
          <w:sz w:val="48"/>
          <w:szCs w:val="48"/>
        </w:rPr>
      </w:pPr>
      <w:r>
        <w:rPr>
          <w:rFonts w:hint="eastAsia" w:ascii="方正小标宋简体" w:hAnsi="华文中宋" w:eastAsia="方正小标宋简体" w:cs="方正小标宋简体"/>
          <w:b/>
          <w:bCs/>
          <w:color w:val="auto"/>
          <w:kern w:val="0"/>
          <w:sz w:val="48"/>
          <w:szCs w:val="48"/>
        </w:rPr>
        <w:t>绩效评价报告</w:t>
      </w:r>
    </w:p>
    <w:p>
      <w:pPr>
        <w:spacing w:line="540" w:lineRule="exact"/>
        <w:jc w:val="center"/>
        <w:rPr>
          <w:rFonts w:ascii="华文中宋" w:hAnsi="华文中宋" w:eastAsia="华文中宋"/>
          <w:b/>
          <w:bCs/>
          <w:color w:val="auto"/>
          <w:kern w:val="0"/>
          <w:sz w:val="52"/>
          <w:szCs w:val="52"/>
        </w:rPr>
      </w:pPr>
    </w:p>
    <w:p>
      <w:pPr>
        <w:spacing w:line="540" w:lineRule="exact"/>
        <w:jc w:val="center"/>
        <w:rPr>
          <w:rFonts w:hAnsi="宋体" w:eastAsia="仿宋_GB2312"/>
          <w:color w:val="auto"/>
          <w:kern w:val="0"/>
          <w:sz w:val="36"/>
          <w:szCs w:val="36"/>
        </w:rPr>
      </w:pP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（</w:t>
      </w:r>
      <w:r>
        <w:rPr>
          <w:rFonts w:hAnsi="宋体" w:eastAsia="仿宋_GB2312"/>
          <w:color w:val="auto"/>
          <w:kern w:val="0"/>
          <w:sz w:val="36"/>
          <w:szCs w:val="36"/>
        </w:rPr>
        <w:t xml:space="preserve"> </w:t>
      </w:r>
      <w:r>
        <w:rPr>
          <w:rFonts w:hint="eastAsia" w:hAnsi="宋体" w:eastAsia="仿宋_GB2312"/>
          <w:color w:val="auto"/>
          <w:kern w:val="0"/>
          <w:sz w:val="36"/>
          <w:szCs w:val="36"/>
          <w:lang w:eastAsia="zh-CN"/>
        </w:rPr>
        <w:t>2022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年度）</w:t>
      </w:r>
    </w:p>
    <w:p>
      <w:pPr>
        <w:spacing w:line="540" w:lineRule="exact"/>
        <w:jc w:val="right"/>
        <w:rPr>
          <w:rFonts w:hAnsi="宋体" w:eastAsia="仿宋_GB2312"/>
          <w:color w:val="auto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/>
          <w:color w:val="auto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/>
          <w:color w:val="auto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/>
          <w:color w:val="auto"/>
          <w:kern w:val="0"/>
          <w:sz w:val="30"/>
          <w:szCs w:val="30"/>
        </w:rPr>
      </w:pPr>
    </w:p>
    <w:p>
      <w:pPr>
        <w:spacing w:line="540" w:lineRule="exact"/>
        <w:rPr>
          <w:rFonts w:hAnsi="宋体" w:eastAsia="仿宋_GB2312"/>
          <w:color w:val="auto"/>
          <w:kern w:val="0"/>
          <w:sz w:val="30"/>
          <w:szCs w:val="30"/>
        </w:rPr>
      </w:pPr>
    </w:p>
    <w:p>
      <w:pPr>
        <w:spacing w:line="700" w:lineRule="exact"/>
        <w:jc w:val="left"/>
        <w:rPr>
          <w:rFonts w:hAnsi="宋体" w:eastAsia="仿宋_GB2312"/>
          <w:color w:val="auto"/>
          <w:kern w:val="0"/>
          <w:sz w:val="36"/>
          <w:szCs w:val="36"/>
        </w:rPr>
      </w:pP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项目名称：社会保险基金支出</w:t>
      </w:r>
    </w:p>
    <w:p>
      <w:pPr>
        <w:spacing w:line="700" w:lineRule="exact"/>
        <w:jc w:val="left"/>
        <w:rPr>
          <w:rFonts w:hAnsi="宋体" w:eastAsia="仿宋_GB2312"/>
          <w:color w:val="auto"/>
          <w:kern w:val="0"/>
          <w:sz w:val="36"/>
          <w:szCs w:val="36"/>
        </w:rPr>
      </w:pP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实施单位（公章）：</w:t>
      </w:r>
      <w:bookmarkStart w:id="0" w:name="_GoBack"/>
      <w:bookmarkEnd w:id="0"/>
      <w:r>
        <w:rPr>
          <w:rFonts w:hint="eastAsia" w:hAnsi="宋体" w:eastAsia="仿宋_GB2312" w:cs="仿宋_GB2312"/>
          <w:color w:val="auto"/>
          <w:kern w:val="0"/>
          <w:sz w:val="36"/>
          <w:szCs w:val="36"/>
          <w:lang w:eastAsia="zh-CN"/>
        </w:rPr>
        <w:t>特克斯县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社会保险管理局</w:t>
      </w:r>
    </w:p>
    <w:p>
      <w:pPr>
        <w:spacing w:line="700" w:lineRule="exact"/>
        <w:jc w:val="left"/>
        <w:rPr>
          <w:rFonts w:hint="eastAsia" w:hAnsi="宋体" w:eastAsia="仿宋_GB2312"/>
          <w:color w:val="auto"/>
          <w:kern w:val="0"/>
          <w:sz w:val="36"/>
          <w:szCs w:val="36"/>
          <w:lang w:eastAsia="zh-CN"/>
        </w:rPr>
      </w:pP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负责人（签章）：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  <w:lang w:eastAsia="zh-CN"/>
        </w:rPr>
        <w:t>姜海红</w:t>
      </w:r>
    </w:p>
    <w:p>
      <w:pPr>
        <w:spacing w:line="700" w:lineRule="exact"/>
        <w:jc w:val="left"/>
        <w:rPr>
          <w:rFonts w:hAnsi="宋体" w:eastAsia="仿宋_GB2312"/>
          <w:color w:val="4F81BD"/>
          <w:kern w:val="0"/>
          <w:sz w:val="36"/>
          <w:szCs w:val="36"/>
          <w:highlight w:val="none"/>
        </w:rPr>
      </w:pPr>
      <w:r>
        <w:rPr>
          <w:rFonts w:hint="eastAsia" w:hAnsi="宋体" w:eastAsia="仿宋_GB2312" w:cs="仿宋_GB2312"/>
          <w:color w:val="auto"/>
          <w:kern w:val="0"/>
          <w:sz w:val="36"/>
          <w:szCs w:val="36"/>
        </w:rPr>
        <w:t>填报时间：</w:t>
      </w:r>
      <w:r>
        <w:rPr>
          <w:rFonts w:hAnsi="宋体" w:eastAsia="仿宋_GB2312"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hAnsi="宋体" w:eastAsia="仿宋_GB2312"/>
          <w:color w:val="auto"/>
          <w:kern w:val="0"/>
          <w:sz w:val="36"/>
          <w:szCs w:val="36"/>
          <w:highlight w:val="none"/>
          <w:lang w:val="en-US" w:eastAsia="zh-CN"/>
        </w:rPr>
        <w:t>23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  <w:highlight w:val="none"/>
          <w:lang w:val="en-US" w:eastAsia="zh-CN"/>
        </w:rPr>
        <w:t>9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  <w:highlight w:val="none"/>
        </w:rPr>
        <w:t>月</w:t>
      </w:r>
      <w:r>
        <w:rPr>
          <w:rFonts w:hint="eastAsia" w:hAnsi="宋体" w:eastAsia="仿宋_GB2312"/>
          <w:color w:val="auto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hAnsi="宋体" w:eastAsia="仿宋_GB2312" w:cs="仿宋_GB2312"/>
          <w:color w:val="auto"/>
          <w:kern w:val="0"/>
          <w:sz w:val="36"/>
          <w:szCs w:val="36"/>
          <w:highlight w:val="none"/>
        </w:rPr>
        <w:t>日</w:t>
      </w:r>
    </w:p>
    <w:p>
      <w:pPr>
        <w:spacing w:line="540" w:lineRule="exact"/>
        <w:jc w:val="center"/>
        <w:rPr>
          <w:rFonts w:hAnsi="宋体" w:eastAsia="仿宋_GB2312"/>
          <w:color w:val="4F81BD"/>
          <w:kern w:val="0"/>
          <w:sz w:val="30"/>
          <w:szCs w:val="30"/>
        </w:rPr>
      </w:pPr>
    </w:p>
    <w:p>
      <w:pPr>
        <w:spacing w:line="540" w:lineRule="exact"/>
        <w:jc w:val="center"/>
        <w:rPr>
          <w:rFonts w:hAnsi="宋体" w:eastAsia="仿宋_GB2312"/>
          <w:color w:val="4F81BD"/>
          <w:kern w:val="0"/>
          <w:sz w:val="30"/>
          <w:szCs w:val="30"/>
        </w:rPr>
      </w:pPr>
    </w:p>
    <w:p>
      <w:pPr>
        <w:spacing w:line="540" w:lineRule="exact"/>
        <w:rPr>
          <w:rStyle w:val="6"/>
          <w:rFonts w:ascii="黑体" w:hAnsi="黑体" w:eastAsia="黑体"/>
          <w:b w:val="0"/>
          <w:bCs w:val="0"/>
          <w:color w:val="4F81BD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6"/>
          <w:rFonts w:ascii="黑体" w:hAnsi="黑体" w:eastAsia="黑体"/>
          <w:b w:val="0"/>
          <w:bCs w:val="0"/>
          <w:color w:val="4F81BD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6"/>
          <w:rFonts w:ascii="黑体" w:hAnsi="黑体" w:eastAsia="黑体"/>
          <w:b w:val="0"/>
          <w:bCs w:val="0"/>
          <w:color w:val="4F81BD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</w:pPr>
    </w:p>
    <w:p>
      <w:pPr>
        <w:spacing w:line="540" w:lineRule="exact"/>
        <w:ind w:firstLine="640"/>
        <w:rPr>
          <w:rStyle w:val="6"/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</w:rPr>
        <w:t>一、社会保险基金收支余总体情况</w:t>
      </w:r>
    </w:p>
    <w:p>
      <w:pPr>
        <w:widowControl/>
        <w:ind w:firstLine="482" w:firstLineChars="150"/>
        <w:jc w:val="left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（一）社会保险基金总体情况</w:t>
      </w:r>
    </w:p>
    <w:p>
      <w:pPr>
        <w:widowControl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特克斯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县社会保险基金总收入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27452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万元，总支出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25602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1851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15434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万元。分项情况如下：</w:t>
      </w:r>
    </w:p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一、 企业职工基本养老保险基金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万元，其中：基本养老保险费收入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万元，财政补贴收入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万元，其中：个人账户滚存结余0万元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。（由州局统一填报）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二、城乡居民基本养老保险基金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4F81BD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3610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万元，其中：基本养老保险费收入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1329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万元，财政补贴收入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2080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1573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13857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三、机关事业单位基本养老保险基金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23842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万元，其中：基本养老保险费收入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14304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万元，财政补贴收入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7040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23564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万元，其中，基本养老金支出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23519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278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1577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四、城镇职工基本医疗保险基金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万元，其中：基本医疗保险费收入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万元，其中，基本医疗保险待遇支出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其中：个人账户滚存结余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（由州局统一填报）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城乡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居民基本医疗保险基金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万元，其中：个人缴费收入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万元，财政补贴收入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万元，其中，基本医疗保险待遇支出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（由州局统一填报）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、工伤保险基金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万元，其中：工伤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保险费收入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万元，其中，工伤保险待遇支出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（由州局统一填报）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、失业保险基金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本年收入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万元，其中：失业保险费收入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万元，其中，失业保险金支出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万元。本年收支结余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万元，年末滚存结余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（由州局统一填报）</w:t>
      </w:r>
    </w:p>
    <w:p>
      <w:pPr>
        <w:spacing w:line="540" w:lineRule="exact"/>
        <w:ind w:firstLine="567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（二）社会保险基金支出预算绩效目标设定情况</w:t>
      </w:r>
    </w:p>
    <w:p>
      <w:pPr>
        <w:widowControl/>
        <w:ind w:firstLine="48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企业养老保险涉及对象：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由州局统一填报</w:t>
      </w:r>
    </w:p>
    <w:p>
      <w:pPr>
        <w:spacing w:line="540" w:lineRule="exact"/>
        <w:ind w:firstLine="56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机关养老保险涉及对象：批准退休人员；支出项目为：1、按月发放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养老待遇。2、清退个人账户。3、待遇调整。</w:t>
      </w:r>
    </w:p>
    <w:p>
      <w:pPr>
        <w:spacing w:line="540" w:lineRule="exact"/>
        <w:ind w:firstLine="56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居民养老保险涉及对象：对于到达法定退休年龄人员按月享受居民养老保险待遇。支出项目为：1、按月发放居民养老待遇。2、死亡人员丧葬费、抚恤金个人账户清退。3、待遇调整。</w:t>
      </w:r>
    </w:p>
    <w:p>
      <w:pPr>
        <w:spacing w:line="540" w:lineRule="exact"/>
        <w:ind w:firstLine="56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工伤保险涉及对象：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由州局统一填报</w:t>
      </w:r>
    </w:p>
    <w:p>
      <w:pPr>
        <w:spacing w:line="540" w:lineRule="exact"/>
        <w:ind w:firstLine="567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失业保险涉及对象：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由州局统一填报</w:t>
      </w:r>
    </w:p>
    <w:p>
      <w:pPr>
        <w:spacing w:line="540" w:lineRule="exact"/>
        <w:ind w:firstLine="640"/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  <w:t>二、各项社会保险基金预算完成及运行情况</w:t>
      </w:r>
    </w:p>
    <w:p>
      <w:pPr>
        <w:spacing w:line="540" w:lineRule="exact"/>
        <w:ind w:firstLine="313" w:firstLineChars="100"/>
        <w:rPr>
          <w:rFonts w:hint="eastAsia" w:ascii="楷体_GB2312" w:hAnsi="楷体_GB2312" w:eastAsia="楷体_GB2312" w:cs="楷体_GB2312"/>
          <w:b/>
          <w:bCs/>
          <w:color w:val="4F81BD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（一）企业职工基本养老保险基金预算完成及运行情况分析</w:t>
      </w:r>
    </w:p>
    <w:p>
      <w:pPr>
        <w:spacing w:line="520" w:lineRule="exact"/>
        <w:ind w:firstLine="640" w:firstLineChars="200"/>
        <w:rPr>
          <w:rStyle w:val="6"/>
          <w:rFonts w:hint="eastAsia" w:ascii="仿宋_GB2312" w:hAnsi="仿宋_GB2312" w:eastAsia="仿宋_GB2312" w:cs="仿宋_GB2312"/>
          <w:color w:val="FF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由州局统一填报</w:t>
      </w:r>
    </w:p>
    <w:p>
      <w:pPr>
        <w:spacing w:line="540" w:lineRule="exact"/>
        <w:ind w:firstLine="313" w:firstLineChars="100"/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（二）机关事业单位养老保险基金预算完成及运行情况分析</w:t>
      </w:r>
    </w:p>
    <w:tbl>
      <w:tblPr>
        <w:tblStyle w:val="4"/>
        <w:tblpPr w:leftFromText="180" w:rightFromText="180" w:vertAnchor="text" w:horzAnchor="margin" w:tblpXSpec="center" w:tblpY="31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271"/>
        <w:gridCol w:w="1086"/>
        <w:gridCol w:w="1220"/>
        <w:gridCol w:w="1220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5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12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预算（万元）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实际（万元）</w:t>
            </w:r>
          </w:p>
        </w:tc>
        <w:tc>
          <w:tcPr>
            <w:tcW w:w="12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预算完成率</w:t>
            </w:r>
          </w:p>
        </w:tc>
        <w:tc>
          <w:tcPr>
            <w:tcW w:w="1220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年决算数</w:t>
            </w:r>
          </w:p>
        </w:tc>
        <w:tc>
          <w:tcPr>
            <w:tcW w:w="1219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增幅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506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机关养老保险支出</w:t>
            </w:r>
          </w:p>
        </w:tc>
        <w:tc>
          <w:tcPr>
            <w:tcW w:w="127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23182</w:t>
            </w:r>
          </w:p>
        </w:tc>
        <w:tc>
          <w:tcPr>
            <w:tcW w:w="108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4F81BD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23564</w:t>
            </w:r>
          </w:p>
        </w:tc>
        <w:tc>
          <w:tcPr>
            <w:tcW w:w="12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1.65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%</w:t>
            </w:r>
          </w:p>
        </w:tc>
        <w:tc>
          <w:tcPr>
            <w:tcW w:w="1220" w:type="dxa"/>
          </w:tcPr>
          <w:p>
            <w:pPr>
              <w:spacing w:line="520" w:lineRule="exact"/>
              <w:rPr>
                <w:rFonts w:hint="eastAsia" w:ascii="宋体" w:hAnsi="宋体" w:eastAsia="宋体" w:cs="宋体"/>
                <w:color w:val="4F81BD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22326</w:t>
            </w:r>
          </w:p>
        </w:tc>
        <w:tc>
          <w:tcPr>
            <w:tcW w:w="1219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4F81BD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5.54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</w:tbl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新机关事业养老保险基金收入支出运行情况良好，总支出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23564万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年预算相比情况：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年决算支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23564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年预算支出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23182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万元，预算完成率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2022年预算人均调资186元，实际调资218元，调资支出增加132万元；新增退休120人，补发待遇193万元。</w:t>
      </w:r>
    </w:p>
    <w:p>
      <w:pPr>
        <w:spacing w:line="52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年决算相比情况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23564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22326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万元，增幅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%。主要原因: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2022年预算人均调资186元，实际调资218元，调资支出增加132万元；新增退休120人，补发待遇193万元。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</w:rPr>
      </w:pPr>
    </w:p>
    <w:p>
      <w:pPr>
        <w:spacing w:line="540" w:lineRule="exact"/>
        <w:ind w:firstLine="313" w:firstLineChars="100"/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（三）</w:t>
      </w: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eastAsia="zh-CN"/>
        </w:rPr>
        <w:t>城乡</w:t>
      </w: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居民养老保险基金预算完成及运行情况分析</w:t>
      </w:r>
    </w:p>
    <w:tbl>
      <w:tblPr>
        <w:tblStyle w:val="4"/>
        <w:tblpPr w:leftFromText="180" w:rightFromText="180" w:vertAnchor="text" w:horzAnchor="margin" w:tblpXSpec="center" w:tblpY="31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1090"/>
        <w:gridCol w:w="971"/>
        <w:gridCol w:w="1344"/>
        <w:gridCol w:w="816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08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10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预算（万元）</w:t>
            </w:r>
          </w:p>
        </w:tc>
        <w:tc>
          <w:tcPr>
            <w:tcW w:w="97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实际（万元）</w:t>
            </w: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预算完成率</w:t>
            </w:r>
          </w:p>
        </w:tc>
        <w:tc>
          <w:tcPr>
            <w:tcW w:w="816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年决算数</w:t>
            </w:r>
          </w:p>
        </w:tc>
        <w:tc>
          <w:tcPr>
            <w:tcW w:w="1219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增幅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082" w:type="dxa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 w:eastAsia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城乡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居民养老保险支出</w:t>
            </w:r>
          </w:p>
        </w:tc>
        <w:tc>
          <w:tcPr>
            <w:tcW w:w="109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4F81BD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72</w:t>
            </w:r>
          </w:p>
        </w:tc>
        <w:tc>
          <w:tcPr>
            <w:tcW w:w="97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4F81BD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2038</w:t>
            </w:r>
          </w:p>
        </w:tc>
        <w:tc>
          <w:tcPr>
            <w:tcW w:w="13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8.36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  <w:tc>
          <w:tcPr>
            <w:tcW w:w="816" w:type="dxa"/>
          </w:tcPr>
          <w:p>
            <w:pPr>
              <w:spacing w:line="520" w:lineRule="exact"/>
              <w:rPr>
                <w:rFonts w:hint="default" w:ascii="宋体" w:hAnsi="宋体" w:eastAsia="宋体" w:cs="宋体"/>
                <w:color w:val="4F81BD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971</w:t>
            </w:r>
          </w:p>
        </w:tc>
        <w:tc>
          <w:tcPr>
            <w:tcW w:w="1219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3.4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我县城乡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居民养老保险支出为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万元，其中个人账户支出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万元，基础养老金支出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4F81BD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年预算相比情况：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98.36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%。主要原因是：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城乡死亡人员需支付丧葬费，因疫情原因材料未及时上报，无法支付，故预算执行率下降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年决算相比情况：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年决算支出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万元，增幅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。主要原因:今年领取待遇标准提高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，当年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增退休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364人，缴费退休人员个人账户支出增加。</w:t>
      </w:r>
    </w:p>
    <w:p>
      <w:pPr>
        <w:numPr>
          <w:ilvl w:val="0"/>
          <w:numId w:val="0"/>
        </w:numPr>
        <w:spacing w:line="540" w:lineRule="exact"/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（四）</w:t>
      </w: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  <w:t>职工医疗基金预算完成及运行情况分析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spacing w:line="540" w:lineRule="exact"/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  <w:t>（</w:t>
      </w: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  <w:lang w:val="en-US" w:eastAsia="zh-CN"/>
        </w:rPr>
        <w:t>五</w:t>
      </w: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  <w:t>）</w:t>
      </w: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  <w:lang w:eastAsia="zh-CN"/>
        </w:rPr>
        <w:t>城乡</w:t>
      </w:r>
      <w:r>
        <w:rPr>
          <w:rStyle w:val="6"/>
          <w:rFonts w:hint="eastAsia" w:ascii="楷体_GB2312" w:hAnsi="楷体_GB2312" w:eastAsia="楷体_GB2312" w:cs="楷体_GB2312"/>
          <w:spacing w:val="-4"/>
          <w:sz w:val="32"/>
          <w:szCs w:val="32"/>
        </w:rPr>
        <w:t>居民医疗基金预算完成及运行情况分析</w:t>
      </w:r>
    </w:p>
    <w:p>
      <w:pPr>
        <w:numPr>
          <w:ilvl w:val="0"/>
          <w:numId w:val="0"/>
        </w:num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spacing w:line="520" w:lineRule="exact"/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>
      <w:pPr>
        <w:pStyle w:val="9"/>
        <w:numPr>
          <w:ilvl w:val="0"/>
          <w:numId w:val="0"/>
        </w:numPr>
        <w:spacing w:line="540" w:lineRule="exact"/>
        <w:rPr>
          <w:rStyle w:val="6"/>
          <w:rFonts w:hint="eastAsia" w:ascii="楷体_GB2312" w:hAnsi="楷体_GB2312" w:eastAsia="楷体_GB2312" w:cs="楷体_GB2312"/>
          <w:color w:val="000000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000000"/>
          <w:spacing w:val="-4"/>
          <w:sz w:val="32"/>
          <w:szCs w:val="32"/>
          <w:lang w:eastAsia="zh-CN"/>
        </w:rPr>
        <w:t>（六）</w:t>
      </w:r>
      <w:r>
        <w:rPr>
          <w:rStyle w:val="6"/>
          <w:rFonts w:hint="eastAsia" w:ascii="楷体_GB2312" w:hAnsi="楷体_GB2312" w:eastAsia="楷体_GB2312" w:cs="楷体_GB2312"/>
          <w:color w:val="000000"/>
          <w:spacing w:val="-4"/>
          <w:sz w:val="32"/>
          <w:szCs w:val="32"/>
        </w:rPr>
        <w:t>失业基金预算完成及运行情况分析</w:t>
      </w:r>
    </w:p>
    <w:p>
      <w:pPr>
        <w:numPr>
          <w:ilvl w:val="0"/>
          <w:numId w:val="0"/>
        </w:num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spacing w:line="540" w:lineRule="exact"/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  <w:lang w:eastAsia="zh-CN"/>
        </w:rPr>
        <w:t>（七）</w:t>
      </w: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工伤基金预算完成及运行情况分析</w:t>
      </w:r>
    </w:p>
    <w:p>
      <w:pPr>
        <w:numPr>
          <w:ilvl w:val="0"/>
          <w:numId w:val="0"/>
        </w:numPr>
        <w:spacing w:line="54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spacing w:line="540" w:lineRule="exact"/>
        <w:jc w:val="center"/>
        <w:rPr>
          <w:rStyle w:val="6"/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color w:val="auto"/>
          <w:spacing w:val="-4"/>
          <w:sz w:val="32"/>
          <w:szCs w:val="32"/>
        </w:rPr>
        <w:t>三、各项社会保险基金支出组织实施情况和绩效管理情况</w:t>
      </w:r>
    </w:p>
    <w:p>
      <w:pPr>
        <w:spacing w:line="540" w:lineRule="exact"/>
        <w:ind w:firstLine="567"/>
        <w:rPr>
          <w:rStyle w:val="6"/>
          <w:rFonts w:hint="eastAsia" w:ascii="宋体" w:hAnsi="宋体" w:eastAsia="宋体" w:cs="宋体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（一）社会保险管理情况分析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特克斯县人力资源和社会保障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局先后编制印发《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社会保险经办内控制度与经办规程汇编》、《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社保局岗位职责汇编》和《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社保业务经办管理规程》等文件。明确了责任主体、风险管理“一把手”责任制；印发了《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社会保险管理局责任追究制度》，建立局务会议、组织决策、业务运行控制、基金财务管理、信息系统管理、档案管理、信息公开披露、业务经办人员过错责任追究等相关内控制度，用制度管人管事。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按照分工合理，权责统一的原则。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特克斯县人力资源和社会保障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建立内部业务制衡机制。岗位设置按照不相容职务相互分离的原则，各业务科室内部明确了岗位相应的工作流程、工作规范，设置完善了审核岗、复核岗、科室负责岗，基金财务部门会计、出纳分设。形成了相互分离、相互制约的管理、经办、监督各环节明确的内控机制。按要求，重新对岗位风险进行了识别和评估，不同岗位的设置和风险等级。目前我局未出现多岗位一人兼任的现象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业务经办管理规程中，明确了岗位及人员的权限责任的授权范围。各科室以监督相分离的原则设置组织机构。各科室负责人、关键岗位人员实行定期轮岗制度，重要岗位实行任职回避制度，保持了具体经办岗位人员的相对稳定。目前我局在业务系统中不能直接生成系统报表，统计报表填写均有由业务科室提供基础数据，再有统计人员综合数据上报州社保局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每季度核查上报的社保基金网络监督预警信息，均有州人社局转发提供的预警内容。社保局将对提供的预警疑似信息进行逐一核实排查，核查结果上报人社局基金监督科。</w:t>
      </w:r>
    </w:p>
    <w:p>
      <w:pPr>
        <w:spacing w:line="540" w:lineRule="exact"/>
        <w:ind w:firstLine="567"/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（二）绩效目标完成情况分析</w:t>
      </w:r>
    </w:p>
    <w:p>
      <w:pPr>
        <w:ind w:firstLine="624" w:firstLineChars="200"/>
        <w:rPr>
          <w:rStyle w:val="6"/>
          <w:rFonts w:hint="eastAsia" w:ascii="仿宋_GB2312" w:hAnsi="仿宋_GB2312" w:eastAsia="仿宋_GB2312" w:cs="仿宋_GB2312"/>
          <w:b w:val="0"/>
          <w:bCs w:val="0"/>
          <w:color w:val="4F81BD"/>
          <w:spacing w:val="-4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eastAsia="zh-CN"/>
        </w:rPr>
        <w:t>2022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年预算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25254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万元，实际执行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</w:rPr>
        <w:t>数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  <w:lang w:val="en-US" w:eastAsia="zh-CN"/>
        </w:rPr>
        <w:t>25602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highlight w:val="none"/>
        </w:rPr>
        <w:t>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元，完成预算绩效目标的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  <w:lang w:val="en-US" w:eastAsia="zh-CN"/>
        </w:rPr>
        <w:t>101.38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%，基本实现了年初预算绩效目标任务。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企业职工基本养老保险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2、机关事业单位养老保险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red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积极落实惠民政策调整提高退休人员养老金水平，全年机关事业单位离退休人员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3431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人，较上年增加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城乡居民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基本养老保险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积极落实惠民政策调整提高退休人员养老金水平，全年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城乡居民养老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退休人员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人，较上年增加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城镇职工基本医疗保险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乡居民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基本医疗保险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、工伤保险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、失业保险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由州局统一填报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年年末企业养老累计结余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万元，可支持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个月待遇水平；机关养老累计结余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万元，可支付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个月待遇水平；居民养老累计结余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万元，可以支付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81.59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个月待遇水平，失业累计结余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万元，可支付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个月待遇水平，工伤累计结余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万元，可支付待遇水平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个月。总体基金运行待遇良好。</w:t>
      </w:r>
    </w:p>
    <w:p>
      <w:pPr>
        <w:spacing w:line="540" w:lineRule="exact"/>
        <w:ind w:firstLine="640"/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  <w:t>四、其他需要说明的问题</w:t>
      </w:r>
    </w:p>
    <w:p>
      <w:pPr>
        <w:spacing w:line="540" w:lineRule="exact"/>
        <w:ind w:firstLine="567"/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（一）后续工作计划</w:t>
      </w:r>
    </w:p>
    <w:p>
      <w:pPr>
        <w:spacing w:line="540" w:lineRule="exact"/>
        <w:ind w:firstLine="567"/>
        <w:rPr>
          <w:rStyle w:val="6"/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今后的工作中，我局将严守基金红线，确保基金收支两条线，严格执行基金收支全程电子化。同时进一步强化全体干部职工责任压力，将责任扛在肩上、落在实处；加强内控稽核与基金安全自查回头看工作。</w:t>
      </w:r>
    </w:p>
    <w:p>
      <w:pPr>
        <w:numPr>
          <w:ilvl w:val="0"/>
          <w:numId w:val="2"/>
        </w:numPr>
        <w:spacing w:line="540" w:lineRule="exact"/>
        <w:ind w:firstLine="567"/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color w:val="auto"/>
          <w:spacing w:val="-4"/>
          <w:sz w:val="32"/>
          <w:szCs w:val="32"/>
        </w:rPr>
        <w:t>主要经验及做法</w:t>
      </w:r>
    </w:p>
    <w:p>
      <w:pPr>
        <w:numPr>
          <w:ilvl w:val="0"/>
          <w:numId w:val="3"/>
        </w:numPr>
        <w:spacing w:line="540" w:lineRule="exact"/>
        <w:ind w:firstLine="940" w:firstLineChars="300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  <w:t>主要经验与做法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所有基金收支实现全程电子化，待遇支付按三级经办的要求严格审核，基金支出须经过受理、审核、复核、科长审批、稽核、财务审核、分管领导审批，最后通过财务通过进行支付，确保基金安全。</w:t>
      </w:r>
    </w:p>
    <w:p>
      <w:pPr>
        <w:spacing w:line="540" w:lineRule="exact"/>
        <w:ind w:left="630" w:leftChars="300" w:firstLine="312" w:firstLineChars="100"/>
        <w:rPr>
          <w:rStyle w:val="6"/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2</w:t>
      </w:r>
      <w:r>
        <w:rPr>
          <w:rStyle w:val="6"/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.存在问题：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无</w:t>
      </w:r>
    </w:p>
    <w:p>
      <w:pPr>
        <w:spacing w:line="540" w:lineRule="exact"/>
        <w:ind w:left="630" w:leftChars="300" w:firstLine="312" w:firstLineChars="100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3</w:t>
      </w:r>
      <w:r>
        <w:rPr>
          <w:rStyle w:val="6"/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.建议：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pacing w:val="-4"/>
          <w:sz w:val="32"/>
          <w:szCs w:val="32"/>
        </w:rPr>
        <w:t>无</w:t>
      </w:r>
    </w:p>
    <w:p>
      <w:pPr>
        <w:numPr>
          <w:ilvl w:val="0"/>
          <w:numId w:val="4"/>
        </w:numPr>
        <w:spacing w:line="540" w:lineRule="exact"/>
        <w:ind w:left="63" w:leftChars="0" w:firstLine="567" w:firstLineChars="0"/>
        <w:rPr>
          <w:rStyle w:val="6"/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</w:rPr>
        <w:t>其他</w:t>
      </w:r>
      <w:r>
        <w:rPr>
          <w:rStyle w:val="6"/>
          <w:rFonts w:hint="eastAsia" w:ascii="仿宋_GB2312" w:hAnsi="仿宋_GB2312" w:eastAsia="仿宋_GB2312" w:cs="仿宋_GB2312"/>
          <w:b/>
          <w:bCs/>
          <w:color w:val="auto"/>
          <w:spacing w:val="-4"/>
          <w:sz w:val="32"/>
          <w:szCs w:val="32"/>
          <w:lang w:val="en-US" w:eastAsia="zh-CN"/>
        </w:rPr>
        <w:t xml:space="preserve"> 无</w:t>
      </w:r>
    </w:p>
    <w:p>
      <w:pPr>
        <w:spacing w:line="540" w:lineRule="exact"/>
        <w:ind w:firstLine="624" w:firstLineChars="200"/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pacing w:val="-4"/>
          <w:sz w:val="32"/>
          <w:szCs w:val="32"/>
        </w:rPr>
        <w:t>五、附表</w:t>
      </w:r>
    </w:p>
    <w:p>
      <w:pPr>
        <w:spacing w:line="540" w:lineRule="exact"/>
        <w:ind w:firstLine="567"/>
        <w:jc w:val="center"/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自治区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eastAsia="zh-CN"/>
        </w:rPr>
        <w:t>特克斯县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社会保险支出绩效自评表</w:t>
      </w:r>
    </w:p>
    <w:p>
      <w:pPr>
        <w:spacing w:line="540" w:lineRule="exact"/>
        <w:ind w:firstLine="567"/>
        <w:rPr>
          <w:rFonts w:hint="eastAsia" w:ascii="宋体" w:hAnsi="宋体" w:eastAsia="宋体" w:cs="宋体"/>
          <w:color w:val="auto"/>
          <w:spacing w:val="-4"/>
          <w:sz w:val="32"/>
          <w:szCs w:val="32"/>
        </w:rPr>
      </w:pPr>
    </w:p>
    <w:p>
      <w:pPr>
        <w:spacing w:line="540" w:lineRule="exact"/>
        <w:ind w:firstLine="567"/>
        <w:rPr>
          <w:rFonts w:hint="eastAsia" w:ascii="宋体" w:hAnsi="宋体" w:cs="宋体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32"/>
          <w:szCs w:val="32"/>
          <w:lang w:val="en-US" w:eastAsia="zh-CN"/>
        </w:rPr>
        <w:t xml:space="preserve">    </w:t>
      </w:r>
    </w:p>
    <w:p>
      <w:pPr>
        <w:spacing w:line="540" w:lineRule="exact"/>
        <w:ind w:firstLine="567"/>
        <w:rPr>
          <w:rFonts w:hint="eastAsia" w:ascii="宋体" w:hAnsi="宋体" w:cs="宋体"/>
          <w:color w:val="auto"/>
          <w:spacing w:val="-4"/>
          <w:sz w:val="32"/>
          <w:szCs w:val="32"/>
          <w:lang w:val="en-US" w:eastAsia="zh-CN"/>
        </w:rPr>
      </w:pPr>
    </w:p>
    <w:p>
      <w:pPr>
        <w:spacing w:line="540" w:lineRule="exact"/>
        <w:ind w:firstLine="567"/>
        <w:rPr>
          <w:rFonts w:hint="default" w:ascii="宋体" w:hAnsi="宋体" w:cs="宋体"/>
          <w:color w:val="auto"/>
          <w:spacing w:val="-4"/>
          <w:sz w:val="32"/>
          <w:szCs w:val="32"/>
          <w:lang w:val="en-US" w:eastAsia="zh-CN"/>
        </w:rPr>
      </w:pPr>
    </w:p>
    <w:tbl>
      <w:tblPr>
        <w:tblStyle w:val="4"/>
        <w:tblW w:w="902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1368"/>
        <w:gridCol w:w="1072"/>
        <w:gridCol w:w="880"/>
        <w:gridCol w:w="2060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特克斯县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社会保险支出绩效自评表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社会保险基金支出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社会保险基金预算支出部门</w:t>
            </w:r>
          </w:p>
        </w:tc>
        <w:tc>
          <w:tcPr>
            <w:tcW w:w="5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特克斯县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社会保险管理局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预算数：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25254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执行数：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其中：社会保险基金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25254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其中：社会保险基金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25602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目标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4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实际完成目标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为切实贯彻《社会保险法》、《社会保险费征缴暂行条例》保障广大参保人员合法权益，确保各项社会保险待遇按时、足额发放。实现老有所养、病有所医，失业、工伤、生育时有社会保险提供的保障，严格执行社会保险各项政策，使参保人员的获得感、幸福感不断增强，促进实现新疆社会稳定和长治久安总目标。</w:t>
            </w:r>
          </w:p>
        </w:tc>
        <w:tc>
          <w:tcPr>
            <w:tcW w:w="3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为切实贯彻《社会保险法》、《社会保险费征缴暂行条例》保障广大参保人员合法权益，确保各项社会保险待遇按时、足额发放。实现老有所养，失业、工伤时有社会保险提供的保障，严格执行社会保险各项政策，使参保人员的获得感、幸福感不断增强，促进实现新疆社会稳定和长治久安总目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绩效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指标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预期指标值（包含数字及文字描述）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实际完成指标值（包含数字及文字描述）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3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按标准足额保障参保人员待遇支出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9%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按时报送各项社会保险基金季报数据及分析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每季度结束后的，1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5日内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每季度结束后的，1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5日内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及时报送各项社会保险基金决算数据及分析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每年度结束后的，20日内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每年度结束后的，20日内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及时拨款，保障参加社会保险的各项社会保险待遇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0日内完成审核拨付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0日内完成审核拨付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养老保险基金支出预算完成率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≥95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%或≤105%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工伤保险基金支出预算完成率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≥90%或≤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110%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失业保险基金支出预算完成率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≥90%或≤110%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保障企业职工基本养老保险退休待遇享受人数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人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lang w:val="en-US" w:eastAsia="zh-CN"/>
              </w:rPr>
              <w:t>0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保障机关事业单位基本养老保险退休待遇享受人数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red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3431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</w:rPr>
              <w:t>人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red"/>
              </w:rPr>
            </w:pPr>
            <w:r>
              <w:rPr>
                <w:rStyle w:val="11"/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3431</w:t>
            </w:r>
            <w:r>
              <w:rPr>
                <w:rStyle w:val="11"/>
                <w:rFonts w:hint="eastAsia" w:ascii="宋体" w:hAnsi="宋体" w:eastAsia="宋体" w:cs="宋体"/>
                <w:color w:val="auto"/>
                <w:highlight w:val="none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保障工伤保险待遇享受人数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人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Style w:val="11"/>
                <w:rFonts w:hint="eastAsia" w:ascii="宋体" w:hAnsi="宋体" w:eastAsia="宋体" w:cs="宋体"/>
                <w:color w:val="auto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职工医疗保险基金支出预算完成率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%或≤1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80.50%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各项社会保险待遇发放准确率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≥99%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基金使用符合政策规定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69"/>
              </w:tabs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企业离退休人员满意度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＞90%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机关事业单位退休人员满意度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＞90%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其他各项社会保险待遇享受人员满意度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＞90%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95%</w:t>
            </w:r>
          </w:p>
        </w:tc>
      </w:tr>
    </w:tbl>
    <w:p>
      <w:pPr>
        <w:rPr>
          <w:color w:val="auto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8D571"/>
    <w:multiLevelType w:val="singleLevel"/>
    <w:tmpl w:val="D688D57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3"/>
      <w:numFmt w:val="chineseCounting"/>
      <w:suff w:val="nothing"/>
      <w:lvlText w:val="（%1）"/>
      <w:lvlJc w:val="left"/>
      <w:pPr>
        <w:ind w:left="63"/>
      </w:pPr>
      <w:rPr>
        <w:rFonts w:hint="eastAsia"/>
      </w:rPr>
    </w:lvl>
  </w:abstractNum>
  <w:abstractNum w:abstractNumId="2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6191"/>
    <w:rsid w:val="007A1E37"/>
    <w:rsid w:val="007C6137"/>
    <w:rsid w:val="0262729E"/>
    <w:rsid w:val="02EC419C"/>
    <w:rsid w:val="031A02B4"/>
    <w:rsid w:val="03C23D39"/>
    <w:rsid w:val="061157AB"/>
    <w:rsid w:val="06147183"/>
    <w:rsid w:val="067D2746"/>
    <w:rsid w:val="067D476C"/>
    <w:rsid w:val="06A81ED7"/>
    <w:rsid w:val="07175FAF"/>
    <w:rsid w:val="08006EFA"/>
    <w:rsid w:val="08384330"/>
    <w:rsid w:val="08D30F0C"/>
    <w:rsid w:val="096F5AC8"/>
    <w:rsid w:val="09854F77"/>
    <w:rsid w:val="098D0451"/>
    <w:rsid w:val="09E64C74"/>
    <w:rsid w:val="0BCE3EC3"/>
    <w:rsid w:val="0BE9488A"/>
    <w:rsid w:val="0C625905"/>
    <w:rsid w:val="0CA70F92"/>
    <w:rsid w:val="0CC23E62"/>
    <w:rsid w:val="0D28166C"/>
    <w:rsid w:val="0D5E61EE"/>
    <w:rsid w:val="0D7E553C"/>
    <w:rsid w:val="10B90962"/>
    <w:rsid w:val="10C92653"/>
    <w:rsid w:val="11D5444E"/>
    <w:rsid w:val="12C955CB"/>
    <w:rsid w:val="130E6E90"/>
    <w:rsid w:val="13DC7077"/>
    <w:rsid w:val="15CC4DAD"/>
    <w:rsid w:val="15F82481"/>
    <w:rsid w:val="189149F6"/>
    <w:rsid w:val="18A95E33"/>
    <w:rsid w:val="19461581"/>
    <w:rsid w:val="1B2B0A73"/>
    <w:rsid w:val="1C071CAF"/>
    <w:rsid w:val="1D2E1106"/>
    <w:rsid w:val="1D3B17D3"/>
    <w:rsid w:val="1D754DB2"/>
    <w:rsid w:val="1DA8382E"/>
    <w:rsid w:val="1E367591"/>
    <w:rsid w:val="1E8E1264"/>
    <w:rsid w:val="1ECC3727"/>
    <w:rsid w:val="1F4D499E"/>
    <w:rsid w:val="1FCE60BF"/>
    <w:rsid w:val="21CC7805"/>
    <w:rsid w:val="21DE1579"/>
    <w:rsid w:val="21DF1DB8"/>
    <w:rsid w:val="224867C6"/>
    <w:rsid w:val="22512A50"/>
    <w:rsid w:val="22840915"/>
    <w:rsid w:val="236B76D6"/>
    <w:rsid w:val="23D10626"/>
    <w:rsid w:val="23EF3715"/>
    <w:rsid w:val="247C4559"/>
    <w:rsid w:val="25A570A0"/>
    <w:rsid w:val="2681371C"/>
    <w:rsid w:val="268A1F12"/>
    <w:rsid w:val="275C7314"/>
    <w:rsid w:val="278150D6"/>
    <w:rsid w:val="285C2EED"/>
    <w:rsid w:val="299C6085"/>
    <w:rsid w:val="29D4386F"/>
    <w:rsid w:val="2A3B45CB"/>
    <w:rsid w:val="2AAC4F8D"/>
    <w:rsid w:val="2BF75AFE"/>
    <w:rsid w:val="2C886ED7"/>
    <w:rsid w:val="2CBF13AA"/>
    <w:rsid w:val="2D68647B"/>
    <w:rsid w:val="2DB83A6B"/>
    <w:rsid w:val="2DDD5F6E"/>
    <w:rsid w:val="2E905D19"/>
    <w:rsid w:val="301C3505"/>
    <w:rsid w:val="318515E7"/>
    <w:rsid w:val="320058D8"/>
    <w:rsid w:val="3746170B"/>
    <w:rsid w:val="37696CB2"/>
    <w:rsid w:val="3803418C"/>
    <w:rsid w:val="386D3AC0"/>
    <w:rsid w:val="38FC5570"/>
    <w:rsid w:val="396232C9"/>
    <w:rsid w:val="39BE3530"/>
    <w:rsid w:val="39F246C9"/>
    <w:rsid w:val="3AF345B2"/>
    <w:rsid w:val="3B690C1C"/>
    <w:rsid w:val="3C9766D5"/>
    <w:rsid w:val="3CD4394B"/>
    <w:rsid w:val="3D69694A"/>
    <w:rsid w:val="3D9836C4"/>
    <w:rsid w:val="3DE50FC6"/>
    <w:rsid w:val="3FDF0835"/>
    <w:rsid w:val="404C3BFD"/>
    <w:rsid w:val="410D70F0"/>
    <w:rsid w:val="41367838"/>
    <w:rsid w:val="41391A22"/>
    <w:rsid w:val="427B187C"/>
    <w:rsid w:val="42CB47BF"/>
    <w:rsid w:val="42E045F9"/>
    <w:rsid w:val="43797B8C"/>
    <w:rsid w:val="43C46DB5"/>
    <w:rsid w:val="43D97522"/>
    <w:rsid w:val="45486754"/>
    <w:rsid w:val="45EC34FB"/>
    <w:rsid w:val="46D612C6"/>
    <w:rsid w:val="47415473"/>
    <w:rsid w:val="474A5F75"/>
    <w:rsid w:val="47BE5F31"/>
    <w:rsid w:val="489D68DA"/>
    <w:rsid w:val="496900BD"/>
    <w:rsid w:val="49852B5D"/>
    <w:rsid w:val="4A161F0C"/>
    <w:rsid w:val="4A17661D"/>
    <w:rsid w:val="4BA81560"/>
    <w:rsid w:val="4C614033"/>
    <w:rsid w:val="4CAC16D6"/>
    <w:rsid w:val="4CF50B49"/>
    <w:rsid w:val="4D043A2F"/>
    <w:rsid w:val="4D2B0CF1"/>
    <w:rsid w:val="4D5D0D4F"/>
    <w:rsid w:val="4E0E3AD7"/>
    <w:rsid w:val="4EDD0F6D"/>
    <w:rsid w:val="4F8343F7"/>
    <w:rsid w:val="50964F1B"/>
    <w:rsid w:val="50B0786B"/>
    <w:rsid w:val="518A11C1"/>
    <w:rsid w:val="530F13FE"/>
    <w:rsid w:val="53114D9E"/>
    <w:rsid w:val="54A22540"/>
    <w:rsid w:val="5608738E"/>
    <w:rsid w:val="563920AB"/>
    <w:rsid w:val="5645604F"/>
    <w:rsid w:val="56B53AEE"/>
    <w:rsid w:val="572B01BA"/>
    <w:rsid w:val="58CC1002"/>
    <w:rsid w:val="58E3386D"/>
    <w:rsid w:val="58EE50AC"/>
    <w:rsid w:val="592D158E"/>
    <w:rsid w:val="59637EC3"/>
    <w:rsid w:val="59A30016"/>
    <w:rsid w:val="59CF696B"/>
    <w:rsid w:val="5B0D1D4A"/>
    <w:rsid w:val="5B12510A"/>
    <w:rsid w:val="5CE04AA8"/>
    <w:rsid w:val="5E855072"/>
    <w:rsid w:val="613512DD"/>
    <w:rsid w:val="615E727F"/>
    <w:rsid w:val="63304A43"/>
    <w:rsid w:val="6337585C"/>
    <w:rsid w:val="64463532"/>
    <w:rsid w:val="64BC2C2B"/>
    <w:rsid w:val="64FE3C10"/>
    <w:rsid w:val="65F858D9"/>
    <w:rsid w:val="67826186"/>
    <w:rsid w:val="67D356E7"/>
    <w:rsid w:val="67DF550B"/>
    <w:rsid w:val="681864B9"/>
    <w:rsid w:val="68B46014"/>
    <w:rsid w:val="68C80A3B"/>
    <w:rsid w:val="68E57EE1"/>
    <w:rsid w:val="69063DCC"/>
    <w:rsid w:val="694A16B9"/>
    <w:rsid w:val="69D45FA2"/>
    <w:rsid w:val="6A0936BF"/>
    <w:rsid w:val="6A1C05ED"/>
    <w:rsid w:val="6AE74335"/>
    <w:rsid w:val="6FDC65D9"/>
    <w:rsid w:val="70934B31"/>
    <w:rsid w:val="713E54AD"/>
    <w:rsid w:val="721322A4"/>
    <w:rsid w:val="72D65DBA"/>
    <w:rsid w:val="736F70CC"/>
    <w:rsid w:val="739A2C5E"/>
    <w:rsid w:val="74A0167B"/>
    <w:rsid w:val="77826D89"/>
    <w:rsid w:val="783005AC"/>
    <w:rsid w:val="78383BD9"/>
    <w:rsid w:val="78A90CEB"/>
    <w:rsid w:val="78B76210"/>
    <w:rsid w:val="78CA5814"/>
    <w:rsid w:val="7ABF3042"/>
    <w:rsid w:val="7ADC5794"/>
    <w:rsid w:val="7AFF0A18"/>
    <w:rsid w:val="7B831085"/>
    <w:rsid w:val="7BF2661B"/>
    <w:rsid w:val="7DB1559D"/>
    <w:rsid w:val="7F3D0CC9"/>
    <w:rsid w:val="7FA26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3934</Words>
  <Characters>4313</Characters>
  <Paragraphs>346</Paragraphs>
  <TotalTime>5</TotalTime>
  <ScaleCrop>false</ScaleCrop>
  <LinksUpToDate>false</LinksUpToDate>
  <CharactersWithSpaces>4320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2019-08-27T02:39:00Z</dcterms:created>
  <dc:creator>Administrator</dc:creator>
  <cp:lastModifiedBy>Administrator</cp:lastModifiedBy>
  <dcterms:modified xsi:type="dcterms:W3CDTF">2023-09-06T09:53:05Z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51A47E86364C4D4A8F2F1DAD467379F0</vt:lpwstr>
  </property>
</Properties>
</file>