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中共特克斯县委老干部局2024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在县委精心指导下，特克斯县委老干部局全面贯彻党的二十大精神，坚持以习近平新时代中国特色社会主义思想为指引，认真贯彻落实自治区、州党委工作会议精神，坚持稳中求进工作总基调，坚持新发展理念，贯彻高质量发展要求，指导全县各单位落实老干部工作的方针、政策、规定，并对具体执行情况进行督促、检查；调查研究落实老干部政治待遇和生活待遇工作中存在的问题，并协调有关部门提出解决办法；指导老干部党支部建设和老干部思想政治工作、负责宣传老干部的历史功绩、现实作用和先进事迹，以及老干部工作的重要意义；引导老干部在新形势下发挥作用；总结老干部工作经验，表彰优秀老干部和老干部先进机构及个人；组织、指导老干部开展健康科学的文化健身、健康休养、参观宣州建设成就等活动；处理老干部来信来访；报告老干部工作信息；负责易地安置的老干部的服务和管理工作。较好地完成了全年各项目标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中共特克斯县委老干部局2024年度，实有人数16人，其中：在职人员8人，减少2人；离休人员2人，减少6人；退休人员6人,增加0人。</w:t>
      </w:r>
    </w:p>
    <w:p>
      <w:pPr>
        <w:spacing w:line="580" w:lineRule="exact"/>
        <w:ind w:firstLine="640"/>
        <w:jc w:val="both"/>
      </w:pPr>
      <w:r>
        <w:rPr>
          <w:rFonts w:ascii="仿宋_GB2312" w:hAnsi="仿宋_GB2312" w:eastAsia="仿宋_GB2312"/>
          <w:sz w:val="32"/>
        </w:rPr>
        <w:t>单位无下属预算单位，下设2个科室，分别是：办公室、 财务室。。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2024年度收入总计349.54万元，</w:t>
      </w:r>
      <w:r>
        <w:rPr>
          <w:rFonts w:ascii="仿宋_GB2312" w:hAnsi="仿宋_GB2312" w:eastAsia="仿宋_GB2312"/>
          <w:b w:val="0"/>
          <w:sz w:val="32"/>
        </w:rPr>
        <w:t>其中：本年收入合计349.54万元，使用非财政拨款结余（含专用结余）0.00万元，年初结转和结余0.00万元。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2024年度支出总计349.54万元，</w:t>
      </w:r>
      <w:r>
        <w:rPr>
          <w:rFonts w:ascii="仿宋_GB2312" w:hAnsi="仿宋_GB2312" w:eastAsia="仿宋_GB2312"/>
          <w:b w:val="0"/>
          <w:sz w:val="32"/>
        </w:rPr>
        <w:t>其中：本年支出合计349.54万元，结余分配0.00万元，年末结转和结余0.00万元。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增加71.32万元，增长25.63%，主要原因是：一是本年在职人员工资调增，社保、公积金基数调增，人员经费增加；二是本年增加死亡抚恤金。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本年收入349.54万元，</w:t>
      </w:r>
      <w:r>
        <w:rPr>
          <w:rFonts w:ascii="仿宋_GB2312" w:hAnsi="仿宋_GB2312" w:eastAsia="仿宋_GB2312"/>
          <w:b w:val="0"/>
          <w:sz w:val="32"/>
        </w:rPr>
        <w:t>其中：财政拨款收入339.77万元，占97.20%；上级补助收入0.00万元，占0.00%；事业收入0.00万元，占0.00%；经营收入0.00万元，占0.00%；附属单位上缴收入0.00万元，占0.00%；其他收入9.77万元，占2.80%。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本年支出349.54万元，</w:t>
      </w:r>
      <w:r>
        <w:rPr>
          <w:rFonts w:ascii="仿宋_GB2312" w:hAnsi="仿宋_GB2312" w:eastAsia="仿宋_GB2312"/>
          <w:b w:val="0"/>
          <w:sz w:val="32"/>
        </w:rPr>
        <w:t>其中：基本支出349.54万元，占100.00%；项目支出0.00万元，占0.00%；上缴上级支出0.00万元，占0.00%；经营支出0.00万元，占0.00%；对附属单位补助支出0.00万元，占0.00%。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2024年度财政拨款收入总计339.77万元，</w:t>
      </w:r>
      <w:r>
        <w:rPr>
          <w:rFonts w:ascii="仿宋_GB2312" w:hAnsi="仿宋_GB2312" w:eastAsia="仿宋_GB2312"/>
          <w:b w:val="0"/>
          <w:sz w:val="32"/>
        </w:rPr>
        <w:t>其中：年初财政拨款结转和结余0.00万元，本年财政拨款收入339.77万元。</w:t>
      </w:r>
      <w:r>
        <w:rPr>
          <w:rFonts w:ascii="仿宋_GB2312" w:hAnsi="仿宋_GB2312" w:eastAsia="仿宋_GB2312"/>
          <w:b/>
          <w:sz w:val="32"/>
        </w:rPr>
        <w:t>财政拨款支出总计339.77万元，</w:t>
      </w:r>
      <w:r>
        <w:rPr>
          <w:rFonts w:ascii="仿宋_GB2312" w:hAnsi="仿宋_GB2312" w:eastAsia="仿宋_GB2312"/>
          <w:b w:val="0"/>
          <w:sz w:val="32"/>
        </w:rPr>
        <w:t>其中：年末财政拨款结转和结余0.00万元，本年财政拨款支出339.77万元。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增加61.55万元，增长22.12%，主要原因是：一是本年在职人员工资调增，社保、公积金基数调增，人员经费增加；二是本年增加死亡抚恤金。</w:t>
      </w:r>
      <w:r>
        <w:rPr>
          <w:rFonts w:ascii="仿宋_GB2312" w:hAnsi="仿宋_GB2312" w:eastAsia="仿宋_GB2312"/>
          <w:b/>
          <w:sz w:val="32"/>
        </w:rPr>
        <w:t>与年初预算相比，</w:t>
      </w:r>
      <w:r>
        <w:rPr>
          <w:rFonts w:ascii="仿宋_GB2312" w:hAnsi="仿宋_GB2312" w:eastAsia="仿宋_GB2312"/>
          <w:b w:val="0"/>
          <w:sz w:val="32"/>
        </w:rPr>
        <w:t>年初预算数259.23万元，决算数339.77万元，预决算差异率31.07%，主要原因是：一是年中追加人员工资、社保、公积金基数调增部分资金；二是年中追加死亡抚恤预算，导致预决算存在差异。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2024年度一般公共预算财政拨款支出339.77万元，</w:t>
      </w:r>
      <w:r>
        <w:rPr>
          <w:rFonts w:ascii="仿宋_GB2312" w:hAnsi="仿宋_GB2312" w:eastAsia="仿宋_GB2312"/>
          <w:b w:val="0"/>
          <w:sz w:val="32"/>
        </w:rPr>
        <w:t>占本年支出合计的97.20%。</w:t>
      </w:r>
      <w:r>
        <w:rPr>
          <w:rFonts w:ascii="仿宋_GB2312" w:hAnsi="仿宋_GB2312" w:eastAsia="仿宋_GB2312"/>
          <w:b/>
          <w:sz w:val="32"/>
        </w:rPr>
        <w:t>与上年相比，</w:t>
      </w:r>
      <w:r>
        <w:rPr>
          <w:rFonts w:ascii="仿宋_GB2312" w:hAnsi="仿宋_GB2312" w:eastAsia="仿宋_GB2312"/>
          <w:b w:val="0"/>
          <w:sz w:val="32"/>
        </w:rPr>
        <w:t>增加61.55万元，增长22.12%，主要原因是：一是本年在职人员工资调增，社保、公积金基数调增，人员经费增加；二是本年增加死亡抚恤金。</w:t>
      </w:r>
      <w:r>
        <w:rPr>
          <w:rFonts w:ascii="仿宋_GB2312" w:hAnsi="仿宋_GB2312" w:eastAsia="仿宋_GB2312"/>
          <w:b/>
          <w:sz w:val="32"/>
        </w:rPr>
        <w:t>与年初预算相比,</w:t>
      </w:r>
      <w:r>
        <w:rPr>
          <w:rFonts w:ascii="仿宋_GB2312" w:hAnsi="仿宋_GB2312" w:eastAsia="仿宋_GB2312"/>
          <w:b w:val="0"/>
          <w:sz w:val="32"/>
        </w:rPr>
        <w:t>年初预算数259.23万元，决算数339.77万元，预决算差异率31.07%，主要原因是：一是年中追加人员工资、社保、公积金基数调增部分资金；二是年中追加死亡抚恤预算，导致预决算存在差异。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1.社会保障和就业支出(类)319.67万元,占94.08%。</w:t>
      </w:r>
    </w:p>
    <w:p>
      <w:pPr>
        <w:spacing w:line="580" w:lineRule="exact"/>
        <w:ind w:firstLine="640"/>
        <w:jc w:val="both"/>
      </w:pPr>
      <w:r>
        <w:rPr>
          <w:rFonts w:ascii="仿宋_GB2312" w:hAnsi="仿宋_GB2312" w:eastAsia="仿宋_GB2312"/>
          <w:b w:val="0"/>
          <w:sz w:val="32"/>
        </w:rPr>
        <w:t>2.卫生健康支出(类)8.39万元,占2.47%。</w:t>
      </w:r>
    </w:p>
    <w:p>
      <w:pPr>
        <w:spacing w:line="580" w:lineRule="exact"/>
        <w:ind w:firstLine="640"/>
        <w:jc w:val="both"/>
      </w:pPr>
      <w:r>
        <w:rPr>
          <w:rFonts w:ascii="仿宋_GB2312" w:hAnsi="仿宋_GB2312" w:eastAsia="仿宋_GB2312"/>
          <w:b w:val="0"/>
          <w:sz w:val="32"/>
        </w:rPr>
        <w:t>3.住房保障支出(类)11.71万元,占3.45%。</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1.社会保障和就业支出(类)行政事业单位养老支出(款)行政单位离退休(项):支出决算数为67.98万元，比上年决算减少14.64万元，下降17.72%,主要原因是：本年离休人员自然减员，行政单位离退休经费较上年减少。</w:t>
      </w:r>
    </w:p>
    <w:p>
      <w:pPr>
        <w:spacing w:line="580" w:lineRule="exact"/>
        <w:ind w:firstLine="640"/>
        <w:jc w:val="both"/>
      </w:pPr>
      <w:r>
        <w:rPr>
          <w:rFonts w:ascii="仿宋_GB2312" w:hAnsi="仿宋_GB2312" w:eastAsia="仿宋_GB2312"/>
          <w:b w:val="0"/>
          <w:sz w:val="32"/>
        </w:rPr>
        <w:t>2.社会保障和就业支出(类)行政事业单位养老支出(款)离退休人员管理机构(项):支出决算数为142.61万元，比上年决算减少3.56万元，下降2.44%,主要原因是：本年有离休人员自然减员，离退休人员管理机构支出减少。</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16.31万元，比上年决算增加1.93万元，增长13.42%,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4.社会保障和就业支出(类)行政事业单位养老支出(款)机关事业单位职业年金缴费支出(项):支出决算数为6.70万元，比上年决算增加0.42万元，增长6.69%,主要原因是：本年度退休人员职业年金较上年增加。</w:t>
      </w:r>
    </w:p>
    <w:p>
      <w:pPr>
        <w:spacing w:line="580" w:lineRule="exact"/>
        <w:ind w:firstLine="640"/>
        <w:jc w:val="both"/>
      </w:pPr>
      <w:r>
        <w:rPr>
          <w:rFonts w:ascii="仿宋_GB2312" w:hAnsi="仿宋_GB2312" w:eastAsia="仿宋_GB2312"/>
          <w:b w:val="0"/>
          <w:sz w:val="32"/>
        </w:rPr>
        <w:t>5.社会保障和就业支出(类)抚恤(款)死亡抚恤(项):支出决算数为86.07万元，比上年决算增加76.11万元，增长764.16%,主要原因是：本年新增死亡人员较上年增加，死亡抚恤支出增加。</w:t>
      </w:r>
    </w:p>
    <w:p>
      <w:pPr>
        <w:spacing w:line="580" w:lineRule="exact"/>
        <w:ind w:firstLine="640"/>
        <w:jc w:val="both"/>
      </w:pPr>
      <w:r>
        <w:rPr>
          <w:rFonts w:ascii="仿宋_GB2312" w:hAnsi="仿宋_GB2312" w:eastAsia="仿宋_GB2312"/>
          <w:b w:val="0"/>
          <w:sz w:val="32"/>
        </w:rPr>
        <w:t>6.卫生健康支出(类)行政事业单位医疗(款)行政单位医疗(项):支出决算数为5.41万元，比上年决算增加0.75万元，增长16.09%,主要原因是：本年在职人员工资基数调增，医疗缴费基数上涨，相应支出增加。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7.卫生健康支出(类)行政事业单位医疗(款)事业单位医疗(项):支出决算数为2.74万元，比上年决算增加0.44万元，增长19.13%,主要原因是：本年在职人员工资基数调增，医疗缴费基数上涨，相应支出增加。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8.卫生健康支出(类)行政事业单位医疗(款)公务员医疗补助(项):支出决算数为0.13万元，比上年决算减少0.04万元，下降23.53%,主要原因是：本年在职人员减少，公务员医疗补助较上年减少。</w:t>
      </w:r>
    </w:p>
    <w:p>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9.卫生健康支出(类)行政事业单位医疗(款)其他行政事业单位医疗支出(项):支出决算数为0.11万元，比上年决算减少0.07万元，下降38.89%,主要原因是：本年在职人员减少，其他行政事业单位医疗支出较上年减少。</w:t>
      </w:r>
    </w:p>
    <w:p>
      <w:pPr>
        <w:spacing w:line="580" w:lineRule="exact"/>
        <w:ind w:firstLine="640"/>
        <w:jc w:val="both"/>
      </w:pPr>
      <w:r>
        <w:rPr>
          <w:rFonts w:ascii="仿宋_GB2312" w:hAnsi="仿宋_GB2312" w:eastAsia="仿宋_GB2312"/>
          <w:b w:val="0"/>
          <w:sz w:val="32"/>
        </w:rPr>
        <w:t>10.住房保障支出(类)住房改革支出(款)住房公积金(项):支出决算数为11.71万元，比上年决算增加0.21万元，增长1.83%,主要原因是：本年在职人员工资基数调增，公积金缴费基数上涨，相应支出增加。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2024年度一般公共预算财政拨款基本支出339.77万元，其中：</w:t>
      </w:r>
      <w:r>
        <w:rPr>
          <w:rFonts w:ascii="仿宋_GB2312" w:hAnsi="仿宋_GB2312" w:eastAsia="仿宋_GB2312"/>
          <w:b/>
          <w:sz w:val="32"/>
        </w:rPr>
        <w:t>人员经费324.73万元，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离休费、退休费、抚恤金、生活补助。</w:t>
      </w:r>
    </w:p>
    <w:p>
      <w:pPr>
        <w:spacing w:line="580" w:lineRule="exact"/>
        <w:ind w:firstLine="640"/>
        <w:jc w:val="both"/>
      </w:pPr>
      <w:r>
        <w:rPr>
          <w:rFonts w:ascii="仿宋_GB2312" w:hAnsi="仿宋_GB2312" w:eastAsia="仿宋_GB2312"/>
          <w:b/>
          <w:sz w:val="32"/>
        </w:rPr>
        <w:t>公用经费15.04万元，</w:t>
      </w:r>
      <w:r>
        <w:rPr>
          <w:rFonts w:ascii="仿宋_GB2312" w:hAnsi="仿宋_GB2312" w:eastAsia="仿宋_GB2312"/>
          <w:b w:val="0"/>
          <w:sz w:val="32"/>
        </w:rPr>
        <w:t>包括：办公费、邮电费、取暖费、差旅费、工会经费、福利费、公务用车运行维护费。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2024年度财政拨款“三公”经费支出0.33万元，</w:t>
      </w:r>
      <w:r>
        <w:rPr>
          <w:rFonts w:ascii="仿宋_GB2312" w:hAnsi="仿宋_GB2312" w:eastAsia="仿宋_GB2312"/>
          <w:b w:val="0"/>
          <w:sz w:val="32"/>
        </w:rPr>
        <w:t>比上年减少0.07万元，下降17.50%，主要原因是：严格落实中央八项规定精神，厉行节约，减少公务用车运行维护费。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公务用车购置及运行维护费支出0.33万元，占100.00%，比上年减少0.07万元，下降17.50%，主要原因是：严格落实中央八项规定精神，厉行节约，减少公务用车运行维护费。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0.33万元，其中：公务用车购置费0.00万元，公务用车运行维护费0.33万元。公务用车运行维护费开支内容包括车辆加油费、维修费、保险费、审车费。公务用车购置数0辆，公务用车保有量2辆。国有资产占用情况中固定资产车辆2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0.33万元，决算数0.33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0.33万元，决算数0.33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2024年度中共特克斯县委老干部局（行政单位和参照公务员法管理事业单位）机关运行经费支出15.04万元，比上年增加13.03万元，增长648.26%，主要原因是：2024年增加福利费、取暖费及工会经费。</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2024年度政府采购支出总额0.54万元，其中：政府采购货物支出0.44万元、政府采购工程支出0.00万元、政府采购服务支出0.10万元。</w:t>
      </w:r>
    </w:p>
    <w:p>
      <w:pPr>
        <w:spacing w:line="580" w:lineRule="exact"/>
        <w:ind w:firstLine="640"/>
        <w:jc w:val="both"/>
      </w:pPr>
      <w:r>
        <w:rPr>
          <w:rFonts w:ascii="仿宋_GB2312" w:hAnsi="仿宋_GB2312" w:eastAsia="仿宋_GB2312"/>
          <w:b w:val="0"/>
          <w:sz w:val="32"/>
        </w:rPr>
        <w:t>授予中小企业合同金额0.10万元，占政府采购支出总额的18.52%，其中：授予小微企业合同金额0.10万元，占政府采购支出总额的18.52%。</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2辆，价值24.13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349.77万元，实际执行总额349.54万元；预算绩效评价项目2个，全年预算数35.33万元，全年执行数35.09万元。预算绩效管理取得的成效：一是增强了预算绩效管理的工作保障；二是促进财政资金使用效益提高；三是增强了结果导向的管理理念和部门支出责任意识；四是推动了预算绩效管理工作的有序开展。发现的问题及原因：一是对预算绩效管理的重要性认识不足；二是预算绩效管理的组织实施统筹不够；三是预算绩效评价的技术能力有待提升。下一步改进措施：一是加大预算绩效管理宣传培训力度；二是提升预算绩效管理统筹组织能力；三是完善预算绩效管理技术支撑体系。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中共特克斯县委老干部局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274.87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274.87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349.77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349.54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99.93%</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249.87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249.87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339.77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339.77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9.77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了解掌握全县离退休干部基本情况；协助各级党组（党委）和组织部门抓好老干部党组织建设和思想工作政治工作；落实好离退休干部政治生活待遇；负责全县离退休干部、离休干部遗孀、遗属的管理及节日慰问工作；指导全县关心下一代工作委员会办公室、老干部活动中心和老年大学工作。1、负责贯彻落实党中央、国务院关于离退休干部工作的方针和政策；了解掌握全县老干部工作的基本情况，及时向县委反映重要问题和提出建议，会同有关部门研究制定全县老干部工作的有关规定和办法。协助各级党组（党委）和组织部门抓好老干部党组织建设和思想政治工作。监督各乡镇场、县直各部门（单位）严格落实老干部政治学习、阅读文件、听重要报告、参加有关会议和重要政治活动等。负责全县离休干部、离休干部遗媚的管理及节日慰问工作；负责办理科级千部退休证书；负责老干部信访工作；负责督促和指导各乡镇场、县直各部门（单位）严格落实老千部生活待遇。负责全县老干部发挥作用的组织指导工作；解决老干部发挥作用中出现的问题。宣传老干部工作方针政策及老干部的历史功绩和现实作用，推广老干部工作先进经验。指导全县关心下一代工作委员会办公室、老干部活动中心和老年大学工作。指导老干部活动场所建设；指导协调老千部各学会、协会及老干部社团开展工作；督促落实老干部健康体检工作。协调有关部门（单位）办理离退休干部和离休干部遗孀的丧葬和善后事宜。组织协同有关职能部门对广大青少年进行爱国主义教育、革命传统教育、加强民族团结与反对民族分裂教育、社会主义民族与法制教育、共产主义理想教育，配合有关部门教育挽救失足青年。2、保障部门单位人员发放工资福利支出及正常运转支出；3、落实好离退休干部政治生活待遇。组织离退休干部参加各类活动（老年大学、老干部活动中心）。积极发挥离退休干部作用（关心下一代工作委员会）。规范离退休党组织建设。</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1、负责贯彻落实党中央、国务院关于离退休干部工作的方针和政策；了解掌握全县老干部工作的基本情况，及时向县委反映重要问题和提出建议，会同有关部门研究制定全县老干部工作的有关规定和办法。协助各级党组（党委）和组织部门抓好老干部党组织建设和思想政治工作。监督各乡镇场、县直各部门（单位）严格落实老干部政治学习、阅读文件、听重要报告、参加有关会议和重要政治活动等。负责全县离休干部、离休干部遗媚的管理及节日慰问工作；负责办理科级千部退休证书；负责老干部信访工作；负责督促和指导各乡镇场、县直各部门（单位）严格落实老千部生活待遇。负责全县老干部发挥作用的组织指导工作；解决老干部发挥作用中出现的问题。宣传老干部工作方针政策及老干部的历史功绩和现实作用，推广老干部工作先进经验。指导全县关心下一代工作委员会办公室、老干部活动中心和老年大学工作。指导老干部活动场所建设；指导协调老千部各学会、协会及老干部社团开展工作；督促落实老干部健康体检工作。协调有关部门（单位）办理离退休干部和离休干部遗孀的丧葬和善后事宜。组织协同有关职能部门对广大青少年进行爱国主义教育、革命传统教育、加强民族团结与反对民族分裂教育、社会主义民族与法制教育、共产主义理想教育，配合有关部门教育挽救失足青年。2、保障部门单位人员发放工资福利支出及正常运转支出； 3、落实好离退休干部政治生活待遇。组织离退休干部参加各类活动（老年大学、老干部活动中心）。积极发挥离退休干部作用（关心下一代工作委员会）。规范离退休党组织建设。</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全年慰问人数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4.85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开展老干部通报会</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开展青少年思想道德建设活动次数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组织离退休干部参加各类活动</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22.5</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援疆资金公用经费补助（离退休党支部标准化、规范化建设补助；离退休干部参观学习考察；）</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中共特克斯县委老干部局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中共特克斯县委老干部局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97.70%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本项目主要用于老干部开展的日常工作，在县委和县政府及上级部门的指导下，紧紧围绕全县老干部工作目标做好各项工作。支付老干部工作经费、办公经费及业务服务费等临时性的工作。进一步夯实基层老干部工作基础，全面提高老干部工作质量,完成年度老干部工作目标任务和县委、县政府交办的其他任务。</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我单位要落实好离退休干部政治生活待遇、特殊困难老干部帮扶、组织离退休干部参加各类活动《老年大学、老干部活动中心》、积极发挥离退休于部作用《关心下一代工作委员会》困难学生救助资金、规范离退休党组织建设等工作。全年支出共计：9.7683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特殊困难老干部帮扶及困难学生救助资金人数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离退休党支部标准化、规范化建设次数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特殊困难老干部帮扶及困难学生救助资金次数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资金使用合规率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特殊困难老干部帮扶及困难学生救助资金费用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离退休党支部标准化、规范化建设费用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提高老干部生活待遇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提高老干部思想政治水平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离退休干部满意度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原因分析：慰问老干部局覆盖力度加大，政治待遇和生活待遇提升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老年活动经费（年初本级）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中共特克斯县委老干部局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中共特克斯县委老干部局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25.33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25.32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25.33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25.32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新党办发【2017】47号 自治区党委办公厅 自治区人民政府办公厅 印发《关于进一步加强和改进离退休干部工作的实施意见》的通知等相关文件要求，离退休干部及离休干部遗孀春节慰问资金，老干部活动中心改造搬迁费，离退休干部报刊费，离退休干部党组织书记工作补贴，老干部半年经济社会发展通报会及观摩会经费，老干部全年通报会等费用，共计25.33万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按照新党办发【2017】47号 自治区党委办公厅 自治区人民政府办公厅 印发《关于进一步加强和改进离退休干部工作的实施意见》的通知等相关文件要求，我单位要落实好离退休干部及离休干部遗孀春节慰问资金，老干部活动中心改造搬迁费，离退休干部报刊费，离退休干部党组织书记工作补贴，老干部半年经济社会发展通报会及观摩会经费，老干部全年通报会等费工作，全年支出共计25.3206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慰问次数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慰问人数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老干部通报会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发放补贴人数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资金使用合规率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发放慰问金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发放补贴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提高老干部生活待遇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提高老干部思想政治水平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慰问人员满意度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原因分析：慰问老干部局覆盖力度加大，政治待遇和生活待遇提升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