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2024年单位资金收入（事业收入）</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2"/>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640" w:firstLineChars="2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pPr>
        <w:spacing w:line="700" w:lineRule="exact"/>
        <w:ind w:firstLine="640" w:firstLineChars="2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特克斯县乔拉克铁热克镇卫生院</w:t>
      </w:r>
    </w:p>
    <w:p>
      <w:pPr>
        <w:spacing w:line="700" w:lineRule="exact"/>
        <w:ind w:firstLine="640" w:firstLineChars="2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特克斯县卫生健康委员会</w:t>
      </w:r>
    </w:p>
    <w:p>
      <w:pPr>
        <w:spacing w:line="700" w:lineRule="exact"/>
        <w:ind w:firstLine="640" w:firstLineChars="2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张鹏程</w:t>
      </w:r>
    </w:p>
    <w:p>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22</w:t>
      </w:r>
      <w:r>
        <w:rPr>
          <w:rFonts w:hint="default" w:ascii="Times New Roman" w:hAnsi="Times New Roman" w:eastAsia="仿宋_GB2312" w:cs="Times New Roman"/>
          <w:kern w:val="0"/>
          <w:sz w:val="32"/>
          <w:szCs w:val="32"/>
        </w:rPr>
        <w:t>日</w:t>
      </w:r>
    </w:p>
    <w:p>
      <w:pPr>
        <w:spacing w:line="540" w:lineRule="exact"/>
        <w:rPr>
          <w:rStyle w:val="17"/>
          <w:rFonts w:hint="default" w:ascii="Times New Roman" w:hAnsi="Times New Roman" w:eastAsia="黑体" w:cs="Times New Roman"/>
          <w:b w:val="0"/>
          <w:spacing w:val="-4"/>
          <w:sz w:val="32"/>
          <w:szCs w:val="32"/>
        </w:rPr>
      </w:pPr>
    </w:p>
    <w:p>
      <w:pPr>
        <w:spacing w:line="540" w:lineRule="exact"/>
        <w:rPr>
          <w:rStyle w:val="17"/>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keepNext w:val="0"/>
        <w:keepLines w:val="0"/>
        <w:widowControl/>
        <w:suppressLineNumbers w:val="0"/>
        <w:ind w:firstLine="643" w:firstLineChars="200"/>
        <w:jc w:val="left"/>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2"/>
        <w:spacing w:before="0" w:after="0" w:line="560" w:lineRule="exact"/>
        <w:ind w:firstLine="640" w:firstLineChars="200"/>
        <w:jc w:val="both"/>
        <w:rPr>
          <w:rFonts w:hint="default" w:ascii="宋体" w:hAnsi="宋体" w:eastAsia="宋体" w:cs="宋体"/>
          <w:i w:val="0"/>
          <w:iCs w:val="0"/>
          <w:caps w:val="0"/>
          <w:color w:val="333333"/>
          <w:spacing w:val="0"/>
          <w:sz w:val="28"/>
          <w:szCs w:val="28"/>
          <w:shd w:val="clear" w:fill="FFFFFF"/>
          <w:lang w:val="en-US" w:eastAsia="zh-CN"/>
        </w:rPr>
      </w:pPr>
      <w:r>
        <w:rPr>
          <w:rFonts w:hint="eastAsia" w:ascii="Times New Roman" w:hAnsi="Times New Roman" w:eastAsia="仿宋_GB2312" w:cs="Times New Roman"/>
          <w:b w:val="0"/>
          <w:bCs w:val="0"/>
          <w:kern w:val="2"/>
          <w:sz w:val="32"/>
          <w:szCs w:val="32"/>
          <w:highlight w:val="none"/>
          <w:lang w:val="en-US" w:eastAsia="zh-CN" w:bidi="ar-SA"/>
        </w:rPr>
        <w:t>通过项目建设，全面提升医疗卫生机构综合能力，加强特克斯县域医共体建设，进一步完善县域医共体信息化建设。随着乡村振兴战略推进，农村居民对医疗服务需求日益增长。为提升乡镇卫生院医疗服务能力，满足基层群众看病就医需求，2024年中央财政下达医疗服务能力提升资金，专项用于支持乡镇卫生院基础设施建设、设备购置等项目。</w:t>
      </w:r>
    </w:p>
    <w:p>
      <w:pPr>
        <w:pStyle w:val="1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主要内容包括</w:t>
      </w:r>
      <w:r>
        <w:rPr>
          <w:rFonts w:hint="eastAsia" w:ascii="Times New Roman" w:hAnsi="Times New Roman" w:eastAsia="仿宋_GB2312" w:cs="Times New Roman"/>
          <w:b w:val="0"/>
          <w:bCs w:val="0"/>
          <w:kern w:val="2"/>
          <w:sz w:val="32"/>
          <w:szCs w:val="32"/>
          <w:highlight w:val="none"/>
          <w:lang w:val="en-US" w:eastAsia="zh-CN" w:bidi="ar-SA"/>
        </w:rPr>
        <w:t>加强特克斯县域医共体能力建设，进一步完善县域医共体信息化建设，全面提升县域医疗卫生机构综合能力。支持乔拉克铁热克镇卫生院加强人才队伍建设、配备基本设备、对现有业务用房进行装修改造等，提升基层卫生机构能力。</w:t>
      </w:r>
      <w:r>
        <w:rPr>
          <w:rFonts w:hint="default" w:ascii="Times New Roman" w:hAnsi="Times New Roman" w:eastAsia="仿宋_GB2312" w:cs="Times New Roman"/>
          <w:b w:val="0"/>
          <w:bCs w:val="0"/>
          <w:kern w:val="2"/>
          <w:sz w:val="32"/>
          <w:szCs w:val="32"/>
          <w:highlight w:val="none"/>
          <w:lang w:val="en-US" w:eastAsia="zh-CN" w:bidi="ar-SA"/>
        </w:rPr>
        <w:t>改善医疗卫生机构基础设施条件，如对医院门诊楼、住院楼进行修缮改造；购置先进医疗设备，如彩超诊断仪等；加强人才队伍建设，开展医护人员专业培训、人才引进</w:t>
      </w:r>
      <w:r>
        <w:rPr>
          <w:rFonts w:hint="eastAsia" w:ascii="Times New Roman" w:hAnsi="Times New Roman" w:eastAsia="仿宋_GB2312" w:cs="Times New Roman"/>
          <w:b w:val="0"/>
          <w:bCs w:val="0"/>
          <w:kern w:val="2"/>
          <w:sz w:val="32"/>
          <w:szCs w:val="32"/>
          <w:highlight w:val="none"/>
          <w:lang w:val="en-US" w:eastAsia="zh-CN" w:bidi="ar-SA"/>
        </w:rPr>
        <w:t>、专业宣传力度</w:t>
      </w:r>
      <w:r>
        <w:rPr>
          <w:rFonts w:hint="default" w:ascii="Times New Roman" w:hAnsi="Times New Roman" w:eastAsia="仿宋_GB2312" w:cs="Times New Roman"/>
          <w:b w:val="0"/>
          <w:bCs w:val="0"/>
          <w:kern w:val="2"/>
          <w:sz w:val="32"/>
          <w:szCs w:val="32"/>
          <w:highlight w:val="none"/>
          <w:lang w:val="en-US" w:eastAsia="zh-CN" w:bidi="ar-SA"/>
        </w:rPr>
        <w:t>等工作。</w:t>
      </w:r>
    </w:p>
    <w:p>
      <w:pPr>
        <w:keepNext w:val="0"/>
        <w:keepLines w:val="0"/>
        <w:widowControl/>
        <w:numPr>
          <w:ilvl w:val="0"/>
          <w:numId w:val="0"/>
        </w:numPr>
        <w:suppressLineNumbers w:val="0"/>
        <w:spacing w:before="80" w:beforeAutospacing="0" w:after="0" w:afterAutospacing="1"/>
        <w:ind w:firstLine="640" w:firstLineChars="200"/>
        <w:rPr>
          <w:rFonts w:hint="default" w:ascii="Times New Roman" w:hAnsi="Times New Roman" w:cs="Times New Roman"/>
          <w:highlight w:val="none"/>
        </w:rPr>
      </w:pPr>
      <w:r>
        <w:rPr>
          <w:rFonts w:hint="default" w:ascii="Times New Roman" w:hAnsi="Times New Roman" w:eastAsia="仿宋_GB2312" w:cs="Times New Roman"/>
          <w:b w:val="0"/>
          <w:bCs w:val="0"/>
          <w:kern w:val="2"/>
          <w:sz w:val="32"/>
          <w:szCs w:val="32"/>
          <w:highlight w:val="none"/>
          <w:lang w:val="en-US" w:eastAsia="zh-CN" w:bidi="ar-SA"/>
        </w:rPr>
        <w:t>项目实施情况：医疗设备采购已完成招标，部分设备已安装调试投入使用；人才培训</w:t>
      </w:r>
      <w:r>
        <w:rPr>
          <w:rFonts w:hint="eastAsia" w:ascii="Times New Roman" w:hAnsi="Times New Roman" w:eastAsia="仿宋_GB2312" w:cs="Times New Roman"/>
          <w:b w:val="0"/>
          <w:bCs w:val="0"/>
          <w:kern w:val="2"/>
          <w:sz w:val="32"/>
          <w:szCs w:val="32"/>
          <w:highlight w:val="none"/>
          <w:lang w:val="en-US" w:eastAsia="zh-CN" w:bidi="ar-SA"/>
        </w:rPr>
        <w:t>、宣传</w:t>
      </w:r>
      <w:r>
        <w:rPr>
          <w:rFonts w:hint="default" w:ascii="Times New Roman" w:hAnsi="Times New Roman" w:eastAsia="仿宋_GB2312" w:cs="Times New Roman"/>
          <w:b w:val="0"/>
          <w:bCs w:val="0"/>
          <w:kern w:val="2"/>
          <w:sz w:val="32"/>
          <w:szCs w:val="32"/>
          <w:highlight w:val="none"/>
          <w:lang w:val="en-US" w:eastAsia="zh-CN" w:bidi="ar-SA"/>
        </w:rPr>
        <w:t>工作已组织多场专业讲座和技能培训 。</w:t>
      </w:r>
    </w:p>
    <w:p>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财政补助资金收入</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keepNext w:val="0"/>
        <w:keepLines w:val="0"/>
        <w:widowControl/>
        <w:numPr>
          <w:ilvl w:val="0"/>
          <w:numId w:val="0"/>
        </w:numPr>
        <w:suppressLineNumbers w:val="0"/>
        <w:spacing w:before="80" w:beforeAutospacing="0" w:after="0" w:afterAutospacing="1"/>
        <w:ind w:left="360" w:leftChars="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用于开展60%补助资金</w:t>
      </w:r>
      <w:r>
        <w:rPr>
          <w:rFonts w:hint="eastAsia" w:eastAsia="仿宋_GB2312" w:cs="Times New Roman"/>
          <w:sz w:val="32"/>
          <w:szCs w:val="32"/>
          <w:highlight w:val="none"/>
          <w:lang w:val="en-US" w:eastAsia="zh-CN"/>
        </w:rPr>
        <w:t>23</w:t>
      </w:r>
      <w:r>
        <w:rPr>
          <w:rFonts w:hint="eastAsia" w:ascii="Times New Roman" w:hAnsi="Times New Roman" w:eastAsia="仿宋_GB2312" w:cs="Times New Roman"/>
          <w:sz w:val="32"/>
          <w:szCs w:val="32"/>
          <w:highlight w:val="none"/>
          <w:lang w:val="en-US" w:eastAsia="zh-CN"/>
        </w:rPr>
        <w:t>万元用于配备基本设备、</w:t>
      </w:r>
      <w:r>
        <w:rPr>
          <w:rFonts w:hint="eastAsia" w:eastAsia="仿宋_GB2312" w:cs="Times New Roman"/>
          <w:sz w:val="32"/>
          <w:szCs w:val="32"/>
          <w:highlight w:val="none"/>
          <w:lang w:val="en-US" w:eastAsia="zh-CN"/>
        </w:rPr>
        <w:t>4</w:t>
      </w:r>
      <w:r>
        <w:rPr>
          <w:rFonts w:hint="eastAsia" w:ascii="Times New Roman" w:hAnsi="Times New Roman" w:eastAsia="仿宋_GB2312" w:cs="Times New Roman"/>
          <w:sz w:val="32"/>
          <w:szCs w:val="32"/>
          <w:highlight w:val="none"/>
          <w:lang w:val="en-US" w:eastAsia="zh-CN"/>
        </w:rPr>
        <w:t>0%补助资金</w:t>
      </w:r>
      <w:r>
        <w:rPr>
          <w:rFonts w:hint="eastAsia" w:eastAsia="仿宋_GB2312" w:cs="Times New Roman"/>
          <w:sz w:val="32"/>
          <w:szCs w:val="32"/>
          <w:highlight w:val="none"/>
          <w:lang w:val="en-US" w:eastAsia="zh-CN"/>
        </w:rPr>
        <w:t>7</w:t>
      </w:r>
      <w:r>
        <w:rPr>
          <w:rFonts w:hint="eastAsia" w:ascii="Times New Roman" w:hAnsi="Times New Roman" w:eastAsia="仿宋_GB2312" w:cs="Times New Roman"/>
          <w:sz w:val="32"/>
          <w:szCs w:val="32"/>
          <w:highlight w:val="none"/>
          <w:lang w:val="en-US" w:eastAsia="zh-CN"/>
        </w:rPr>
        <w:t>万元用于人才队伍建设以及根据“优质服务基层行”活动推荐标准创建要标准对全院内各类工作进行进一步完善。</w:t>
      </w:r>
      <w:r>
        <w:rPr>
          <w:rFonts w:hint="default" w:ascii="Times New Roman" w:hAnsi="Times New Roman" w:eastAsia="仿宋_GB2312" w:cs="Times New Roman"/>
          <w:sz w:val="32"/>
          <w:szCs w:val="32"/>
          <w:highlight w:val="none"/>
          <w:lang w:val="en-US" w:eastAsia="zh-CN"/>
        </w:rPr>
        <w:t>资金使用严格按照预算执行，专款专用，审批流程规范</w:t>
      </w:r>
      <w:r>
        <w:rPr>
          <w:rFonts w:hint="eastAsia"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keepNext w:val="0"/>
        <w:keepLines w:val="0"/>
        <w:widowControl/>
        <w:numPr>
          <w:numId w:val="0"/>
        </w:numPr>
        <w:suppressLineNumbers w:val="0"/>
        <w:spacing w:before="0" w:beforeAutospacing="1" w:after="0" w:afterAutospacing="1"/>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宋体" w:hAnsi="宋体" w:eastAsia="宋体" w:cs="宋体"/>
          <w:i w:val="0"/>
          <w:iCs w:val="0"/>
          <w:caps w:val="0"/>
          <w:color w:val="333333"/>
          <w:spacing w:val="0"/>
          <w:sz w:val="14"/>
          <w:szCs w:val="14"/>
          <w:shd w:val="clear" w:fill="FFFFFF"/>
        </w:rPr>
      </w:pPr>
      <w:r>
        <w:rPr>
          <w:rFonts w:hint="eastAsia" w:ascii="仿宋_GB2312" w:hAnsi="宋体" w:eastAsia="仿宋_GB2312" w:cs="宋体"/>
          <w:spacing w:val="-6"/>
          <w:kern w:val="0"/>
          <w:sz w:val="32"/>
          <w:szCs w:val="32"/>
          <w:u w:val="none" w:color="000000"/>
          <w:shd w:val="clear" w:color="auto" w:fill="FFFFFF"/>
          <w:lang w:val="en-US" w:eastAsia="zh-CN" w:bidi="ar-SA"/>
        </w:rPr>
        <w:t>通过项目建设，全面提升医疗卫生机构综合能力，加强特克斯县域医共体建设，进一步完善县域医共体信息化建设。支持乔拉克铁热克镇卫生院能力提升，进一步完善县域医疗卫生服务体系，提高县域就诊率。业务用房达到标准化，布局科学合理;明显提高对常见病、多发病的诊治水平，特别是急诊科、外科、产科、儿科、中医科、康复科的业务能力。使基本公共卫生服务项目实施绩效明显高于县域基层医疗卫生机构平均水平，为辖区内居民提供优质的医疗卫生服务，从而提高居民对卫生服务的满意度，提高群众获得感、幸福感</w:t>
      </w:r>
      <w:r>
        <w:rPr>
          <w:rFonts w:hint="eastAsia" w:ascii="宋体" w:hAnsi="宋体" w:eastAsia="宋体" w:cs="宋体"/>
          <w:i w:val="0"/>
          <w:iCs w:val="0"/>
          <w:caps w:val="0"/>
          <w:color w:val="333333"/>
          <w:spacing w:val="0"/>
          <w:sz w:val="14"/>
          <w:szCs w:val="14"/>
          <w:shd w:val="clear" w:fill="FFFFFF"/>
        </w:rPr>
        <w:t>。</w:t>
      </w:r>
      <w:r>
        <w:rPr>
          <w:rFonts w:hint="eastAsia" w:ascii="仿宋_GB2312" w:eastAsia="仿宋_GB2312"/>
          <w:spacing w:val="-6"/>
          <w:sz w:val="32"/>
          <w:szCs w:val="32"/>
          <w:u w:val="none" w:color="000000"/>
          <w:shd w:val="clear" w:color="auto" w:fill="FFFFFF"/>
          <w:lang w:val="en-US" w:eastAsia="zh-CN"/>
        </w:rPr>
        <w:t>2024年中央医疗服务与保障能力提升（医疗卫生机构能力建设）补助资金。</w:t>
      </w:r>
    </w:p>
    <w:p>
      <w:pPr>
        <w:numPr>
          <w:ilvl w:val="0"/>
          <w:numId w:val="0"/>
        </w:numPr>
        <w:shd w:val="clea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pPr>
        <w:shd w:val="clear"/>
        <w:spacing w:line="600" w:lineRule="exact"/>
        <w:ind w:firstLine="616" w:firstLineChars="200"/>
        <w:outlineLvl w:val="0"/>
        <w:rPr>
          <w:rFonts w:hint="eastAsia" w:ascii="仿宋_GB2312" w:hAnsi="宋体" w:eastAsia="仿宋_GB2312" w:cs="宋体"/>
          <w:spacing w:val="-6"/>
          <w:kern w:val="0"/>
          <w:sz w:val="32"/>
          <w:szCs w:val="32"/>
          <w:u w:val="none" w:color="000000"/>
          <w:shd w:val="clear" w:color="auto" w:fill="FFFFFF"/>
          <w:lang w:val="en-US" w:eastAsia="zh-CN" w:bidi="ar-SA"/>
        </w:rPr>
      </w:pPr>
      <w:r>
        <w:rPr>
          <w:rFonts w:hint="eastAsia" w:ascii="仿宋_GB2312" w:hAnsi="宋体" w:eastAsia="仿宋_GB2312" w:cs="宋体"/>
          <w:spacing w:val="-6"/>
          <w:kern w:val="0"/>
          <w:sz w:val="32"/>
          <w:szCs w:val="32"/>
          <w:u w:val="none" w:color="000000"/>
          <w:shd w:val="clear" w:color="auto" w:fill="FFFFFF"/>
          <w:lang w:val="en-US" w:eastAsia="zh-CN" w:bidi="ar-SA"/>
        </w:rPr>
        <w:t>上半年未完成目标值，按照计划5月起对需采购的设备招标进行三方询价流程办理采购。</w:t>
      </w:r>
    </w:p>
    <w:p>
      <w:pPr>
        <w:shd w:val="clea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1、设备采购</w:t>
      </w:r>
      <w:r>
        <w:rPr>
          <w:rFonts w:hint="eastAsia" w:ascii="仿宋_GB2312" w:eastAsia="仿宋_GB2312"/>
          <w:spacing w:val="-6"/>
          <w:sz w:val="32"/>
          <w:szCs w:val="32"/>
          <w:u w:val="none" w:color="000000"/>
          <w:shd w:val="clear" w:color="auto" w:fill="FFFFFF"/>
        </w:rPr>
        <w:t>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 xml:space="preserve">10 </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指标完成值30万元/年,完成率100%</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rPr>
      </w:pPr>
      <w:r>
        <w:rPr>
          <w:rFonts w:hint="eastAsia" w:ascii="仿宋_GB2312" w:eastAsia="仿宋_GB2312"/>
          <w:spacing w:val="-6"/>
          <w:sz w:val="32"/>
          <w:szCs w:val="32"/>
          <w:u w:val="none" w:color="000000"/>
          <w:shd w:val="clear" w:color="auto" w:fill="FFFFFF"/>
          <w:lang w:val="en-US" w:eastAsia="zh-CN"/>
        </w:rPr>
        <w:t>2、资金拨付及时率预期指标值100%，实际完成值100%完成率66.67%。已按序时进度正常开展所涉及的工作。</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hd w:val="clea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2"/>
        <w:widowControl w:val="0"/>
        <w:shd w:val="clea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pPr>
        <w:spacing w:line="540" w:lineRule="exact"/>
        <w:ind w:firstLine="640" w:firstLineChars="200"/>
        <w:jc w:val="left"/>
        <w:rPr>
          <w:rFonts w:hint="default" w:ascii="Times New Roman" w:hAnsi="Times New Roman" w:eastAsia="仿宋_GB2312" w:cs="Times New Roman"/>
          <w:b w:val="0"/>
          <w:bCs w:val="0"/>
          <w:color w:val="auto"/>
          <w:highlight w:val="none"/>
          <w:lang w:val="en-US"/>
        </w:rPr>
      </w:pPr>
      <w:r>
        <w:rPr>
          <w:rFonts w:hint="default" w:ascii="Times New Roman" w:hAnsi="Times New Roman" w:eastAsia="仿宋_GB2312" w:cs="Times New Roman"/>
          <w:b w:val="0"/>
          <w:bCs w:val="0"/>
          <w:color w:val="auto"/>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color w:val="auto"/>
          <w:kern w:val="28"/>
          <w:sz w:val="32"/>
          <w:szCs w:val="32"/>
          <w:highlight w:val="none"/>
          <w:lang w:val="en-US" w:eastAsia="zh-CN" w:bidi="ar-SA"/>
        </w:rPr>
        <w:t>2024年单位</w:t>
      </w:r>
      <w:r>
        <w:rPr>
          <w:rFonts w:hint="eastAsia" w:eastAsia="仿宋_GB2312" w:cs="Times New Roman"/>
          <w:b w:val="0"/>
          <w:bCs w:val="0"/>
          <w:color w:val="auto"/>
          <w:kern w:val="28"/>
          <w:sz w:val="32"/>
          <w:szCs w:val="32"/>
          <w:highlight w:val="none"/>
          <w:lang w:val="en-US" w:eastAsia="zh-CN" w:bidi="ar-SA"/>
        </w:rPr>
        <w:t>医疗服务能力提升</w:t>
      </w:r>
      <w:r>
        <w:rPr>
          <w:rFonts w:hint="default" w:ascii="Times New Roman" w:hAnsi="Times New Roman" w:eastAsia="仿宋_GB2312" w:cs="Times New Roman"/>
          <w:b w:val="0"/>
          <w:bCs w:val="0"/>
          <w:color w:val="auto"/>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color w:val="auto"/>
          <w:kern w:val="28"/>
          <w:sz w:val="32"/>
          <w:szCs w:val="32"/>
          <w:highlight w:val="none"/>
          <w:lang w:val="en-US" w:eastAsia="zh-CN" w:bidi="ar-SA"/>
        </w:rPr>
        <w:t>特克斯县</w:t>
      </w:r>
      <w:r>
        <w:rPr>
          <w:rFonts w:hint="eastAsia" w:eastAsia="仿宋_GB2312" w:cs="Times New Roman"/>
          <w:b w:val="0"/>
          <w:bCs w:val="0"/>
          <w:color w:val="auto"/>
          <w:kern w:val="28"/>
          <w:sz w:val="32"/>
          <w:szCs w:val="32"/>
          <w:highlight w:val="none"/>
          <w:lang w:val="en-US" w:eastAsia="zh-CN" w:bidi="ar-SA"/>
        </w:rPr>
        <w:t>乔拉克铁热克镇</w:t>
      </w:r>
      <w:r>
        <w:rPr>
          <w:rFonts w:hint="eastAsia" w:ascii="Times New Roman" w:hAnsi="Times New Roman" w:eastAsia="仿宋_GB2312" w:cs="Times New Roman"/>
          <w:b w:val="0"/>
          <w:bCs w:val="0"/>
          <w:color w:val="auto"/>
          <w:kern w:val="28"/>
          <w:sz w:val="32"/>
          <w:szCs w:val="32"/>
          <w:highlight w:val="none"/>
          <w:lang w:val="en-US" w:eastAsia="zh-CN" w:bidi="ar-SA"/>
        </w:rPr>
        <w:t>卫生院</w:t>
      </w:r>
      <w:r>
        <w:rPr>
          <w:rFonts w:hint="default" w:ascii="Times New Roman" w:hAnsi="Times New Roman" w:eastAsia="仿宋_GB2312" w:cs="Times New Roman"/>
          <w:b w:val="0"/>
          <w:bCs w:val="0"/>
          <w:color w:val="auto"/>
          <w:kern w:val="28"/>
          <w:sz w:val="32"/>
          <w:szCs w:val="32"/>
          <w:highlight w:val="none"/>
          <w:lang w:val="en-US" w:eastAsia="zh-CN" w:bidi="ar-SA"/>
        </w:rPr>
        <w:t>负责实施，</w:t>
      </w:r>
      <w:r>
        <w:rPr>
          <w:rFonts w:hint="eastAsia" w:eastAsia="仿宋_GB2312" w:cs="Times New Roman"/>
          <w:b w:val="0"/>
          <w:bCs w:val="0"/>
          <w:color w:val="auto"/>
          <w:kern w:val="28"/>
          <w:sz w:val="32"/>
          <w:szCs w:val="32"/>
          <w:highlight w:val="none"/>
          <w:lang w:val="en-US" w:eastAsia="zh-CN" w:bidi="ar-SA"/>
        </w:rPr>
        <w:t>在旨</w:t>
      </w:r>
      <w:r>
        <w:rPr>
          <w:rFonts w:hint="eastAsia" w:ascii="Times New Roman" w:hAnsi="Times New Roman" w:eastAsia="仿宋_GB2312" w:cs="Times New Roman"/>
          <w:b w:val="0"/>
          <w:bCs w:val="0"/>
          <w:color w:val="auto"/>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color w:val="auto"/>
          <w:kern w:val="28"/>
          <w:sz w:val="32"/>
          <w:szCs w:val="32"/>
          <w:highlight w:val="none"/>
          <w:lang w:val="en-US" w:eastAsia="zh-CN" w:bidi="ar-SA"/>
        </w:rPr>
        <w:t>项目预算涵盖从起始日期2024年1月1日至2024年12月31日全部资金投入与支出，涉及资金总额为30万元。</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2"/>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eastAsia" w:eastAsia="仿宋_GB2312" w:cs="Times New Roman"/>
          <w:b w:val="0"/>
          <w:bCs w:val="0"/>
          <w:kern w:val="28"/>
          <w:sz w:val="32"/>
          <w:szCs w:val="32"/>
          <w:highlight w:val="none"/>
          <w:lang w:val="en-US" w:eastAsia="zh-CN" w:bidi="ar-SA"/>
        </w:rPr>
        <w:t>（4）</w:t>
      </w:r>
      <w:r>
        <w:rPr>
          <w:rFonts w:hint="default" w:ascii="Times New Roman" w:hAnsi="Times New Roman" w:eastAsia="仿宋_GB2312" w:cs="Times New Roman"/>
          <w:b w:val="0"/>
          <w:bCs w:val="0"/>
          <w:kern w:val="28"/>
          <w:sz w:val="32"/>
          <w:szCs w:val="32"/>
          <w:highlight w:val="none"/>
          <w:lang w:val="en-US" w:eastAsia="zh-CN" w:bidi="ar-SA"/>
        </w:rPr>
        <w:t>社会影响：</w:t>
      </w:r>
      <w:r>
        <w:rPr>
          <w:rFonts w:hint="eastAsia" w:ascii="Times New Roman" w:hAnsi="Times New Roman" w:eastAsia="仿宋_GB2312" w:cs="Times New Roman"/>
          <w:b w:val="0"/>
          <w:bCs w:val="0"/>
          <w:kern w:val="28"/>
          <w:sz w:val="32"/>
          <w:szCs w:val="32"/>
          <w:highlight w:val="none"/>
          <w:lang w:val="en-US" w:eastAsia="zh-CN" w:bidi="ar-SA"/>
        </w:rPr>
        <w:t>医疗服务能力提升项目对加强特克斯县域医共体能力建设，进一步完善县域医共体信息化建设，全面提升县域医疗卫生机构综合能力。支持乔拉克铁热克镇卫生院加强人才队伍建设、配备基本设备、对现有业务用房进行装修改造等，提升基层卫生机构能力。</w:t>
      </w:r>
      <w:r>
        <w:rPr>
          <w:rFonts w:hint="default" w:ascii="Times New Roman" w:hAnsi="Times New Roman" w:eastAsia="仿宋_GB2312" w:cs="Times New Roman"/>
          <w:b w:val="0"/>
          <w:bCs w:val="0"/>
          <w:kern w:val="28"/>
          <w:sz w:val="32"/>
          <w:szCs w:val="32"/>
          <w:highlight w:val="none"/>
          <w:lang w:val="en-US" w:eastAsia="zh-CN" w:bidi="ar-SA"/>
        </w:rPr>
        <w:t>改善医疗卫生机构基础设施条件，如对医院门诊楼、住院楼进行修缮改造；购置先进医疗设备，如彩超诊断仪等；加强人才队伍建设，开展医护人员专业培训、人才引进</w:t>
      </w:r>
      <w:r>
        <w:rPr>
          <w:rFonts w:hint="eastAsia" w:ascii="Times New Roman" w:hAnsi="Times New Roman" w:eastAsia="仿宋_GB2312" w:cs="Times New Roman"/>
          <w:b w:val="0"/>
          <w:bCs w:val="0"/>
          <w:kern w:val="28"/>
          <w:sz w:val="32"/>
          <w:szCs w:val="32"/>
          <w:highlight w:val="none"/>
          <w:lang w:val="en-US" w:eastAsia="zh-CN" w:bidi="ar-SA"/>
        </w:rPr>
        <w:t>、专业宣传力度</w:t>
      </w:r>
      <w:r>
        <w:rPr>
          <w:rFonts w:hint="default" w:ascii="Times New Roman" w:hAnsi="Times New Roman" w:eastAsia="仿宋_GB2312" w:cs="Times New Roman"/>
          <w:b w:val="0"/>
          <w:bCs w:val="0"/>
          <w:kern w:val="28"/>
          <w:sz w:val="32"/>
          <w:szCs w:val="32"/>
          <w:highlight w:val="none"/>
          <w:lang w:val="en-US" w:eastAsia="zh-CN" w:bidi="ar-SA"/>
        </w:rPr>
        <w:t>等工作。</w:t>
      </w:r>
      <w:r>
        <w:rPr>
          <w:rFonts w:hint="eastAsia" w:ascii="Times New Roman" w:hAnsi="Times New Roman" w:eastAsia="仿宋_GB2312" w:cs="Times New Roman"/>
          <w:b w:val="0"/>
          <w:bCs w:val="0"/>
          <w:kern w:val="28"/>
          <w:sz w:val="32"/>
          <w:szCs w:val="32"/>
          <w:highlight w:val="none"/>
          <w:lang w:val="en-US" w:eastAsia="zh-CN" w:bidi="ar-SA"/>
        </w:rPr>
        <w:t>社会有着深远的积极影响，是保障居民健康，促进社会和谐发展的重要举措，推动健康观念转变，增强社会稳定</w:t>
      </w:r>
      <w:r>
        <w:rPr>
          <w:rFonts w:hint="default" w:ascii="Times New Roman" w:hAnsi="Times New Roman" w:eastAsia="仿宋_GB2312" w:cs="Times New Roman"/>
          <w:b w:val="0"/>
          <w:bCs w:val="0"/>
          <w:kern w:val="28"/>
          <w:sz w:val="32"/>
          <w:szCs w:val="32"/>
          <w:highlight w:val="none"/>
          <w:lang w:val="en-US" w:eastAsia="zh-CN" w:bidi="ar-SA"/>
        </w:rPr>
        <w:t>。</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1.绩效评价原则</w:t>
      </w:r>
    </w:p>
    <w:p>
      <w:pPr>
        <w:spacing w:line="560" w:lineRule="exact"/>
        <w:ind w:firstLine="640" w:firstLineChars="200"/>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本次项目绩效评价遵循以下基本原则：</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（1）科学公正。绩效评价应当运用科学合理的方法，按照规范的程序，对项目绩效进行客观、公正的反映。</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（4）公开透明。绩效评价结果应依法依规公开，并自觉接受社会监督。</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2.评价指标体系</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绩效评价框架是开展绩效评价的核</w:t>
      </w:r>
      <w:r>
        <w:rPr>
          <w:rFonts w:hint="default" w:ascii="Times New Roman" w:hAnsi="Times New Roman" w:eastAsia="仿宋_GB2312" w:cs="Times New Roman"/>
          <w:b w:val="0"/>
          <w:bCs w:val="0"/>
          <w:kern w:val="28"/>
          <w:sz w:val="32"/>
          <w:szCs w:val="32"/>
          <w:highlight w:val="none"/>
          <w:lang w:val="en-US" w:eastAsia="zh-CN" w:bidi="ar-SA"/>
        </w:rPr>
        <w:t>心。绩效评价框架包括评价准则、关键评价问题、评价指标、数据来源、数据收集方法等。指标体系建立过程如下：</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（1）确定评价指标</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（2）确定权重</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（3）确定指标标准值</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绩效评价总分值100分，根据综合评分结果，90（含）-100分为优、80（含）-90分为良、60（含）-80分为中、60分以下为差。</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具体评价指标体系详情见附件1</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3.绩效评价方法</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w:t>
      </w:r>
      <w:r>
        <w:rPr>
          <w:rFonts w:hint="eastAsia" w:ascii="Times New Roman" w:hAnsi="Times New Roman" w:eastAsia="仿宋_GB2312" w:cs="Times New Roman"/>
          <w:b w:val="0"/>
          <w:bCs w:val="0"/>
          <w:kern w:val="28"/>
          <w:sz w:val="32"/>
          <w:szCs w:val="32"/>
          <w:highlight w:val="none"/>
          <w:lang w:val="en-US" w:eastAsia="zh-CN" w:bidi="ar-SA"/>
        </w:rPr>
        <w:t>一</w:t>
      </w:r>
      <w:r>
        <w:rPr>
          <w:rFonts w:hint="default" w:ascii="Times New Roman" w:hAnsi="Times New Roman" w:eastAsia="仿宋_GB2312" w:cs="Times New Roman"/>
          <w:b w:val="0"/>
          <w:bCs w:val="0"/>
          <w:kern w:val="28"/>
          <w:sz w:val="32"/>
          <w:szCs w:val="32"/>
          <w:highlight w:val="none"/>
          <w:lang w:val="en-US" w:eastAsia="zh-CN" w:bidi="ar-SA"/>
        </w:rPr>
        <w:t>）因素分析法。是指综合分析影响绩效目标实现、实施效果的内外部因素的方法。</w:t>
      </w:r>
      <w:r>
        <w:rPr>
          <w:rFonts w:hint="eastAsia" w:ascii="Times New Roman" w:hAnsi="Times New Roman" w:eastAsia="仿宋_GB2312" w:cs="Times New Roman"/>
          <w:b w:val="0"/>
          <w:bCs w:val="0"/>
          <w:kern w:val="28"/>
          <w:sz w:val="32"/>
          <w:szCs w:val="32"/>
          <w:highlight w:val="none"/>
          <w:lang w:val="en-US" w:eastAsia="zh-CN" w:bidi="ar-SA"/>
        </w:rPr>
        <w:t>选择因素分析法因其全面性、灵活性以及能够提供定量依据的特点。</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4.评价标准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highlight w:val="none"/>
          <w:lang w:val="en-US" w:eastAsia="zh-CN" w:bidi="ar-SA"/>
        </w:rPr>
      </w:pPr>
      <w:r>
        <w:rPr>
          <w:rFonts w:hint="default" w:ascii="Times New Roman" w:hAnsi="Times New Roman" w:eastAsia="仿宋_GB2312" w:cs="Times New Roman"/>
          <w:b w:val="0"/>
          <w:bCs w:val="0"/>
          <w:kern w:val="28"/>
          <w:sz w:val="32"/>
          <w:szCs w:val="32"/>
          <w:highlight w:val="none"/>
          <w:lang w:val="en-US" w:eastAsia="zh-CN" w:bidi="ar-SA"/>
        </w:rPr>
        <w:t>绩效评价标准通常包括计划标准、行业标准、历史标准等，用于对绩效指标完成情况进行比较、分析、评价。本次评价主要采用了计划标准。</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kern w:val="28"/>
          <w:sz w:val="32"/>
          <w:szCs w:val="32"/>
          <w:highlight w:val="none"/>
          <w:lang w:val="en-US" w:eastAsia="zh-CN" w:bidi="ar-SA"/>
        </w:rPr>
        <w:t>（1）计划标准。指以预先制定的目标、计划、预</w:t>
      </w:r>
      <w:r>
        <w:rPr>
          <w:rFonts w:hint="default" w:ascii="Times New Roman" w:hAnsi="Times New Roman" w:eastAsia="仿宋_GB2312" w:cs="Times New Roman"/>
          <w:b w:val="0"/>
          <w:bCs w:val="0"/>
        </w:rPr>
        <w:t>算、定额等作为评价标准。</w:t>
      </w:r>
    </w:p>
    <w:p>
      <w:pPr>
        <w:pStyle w:val="12"/>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b w:val="0"/>
          <w:bCs w:val="0"/>
          <w:kern w:val="28"/>
          <w:sz w:val="32"/>
          <w:szCs w:val="32"/>
          <w:highlight w:val="none"/>
          <w:lang w:val="en-US" w:eastAsia="zh-CN" w:bidi="ar-SA"/>
        </w:rPr>
        <w:t>2024年单位</w:t>
      </w:r>
      <w:r>
        <w:rPr>
          <w:rFonts w:hint="eastAsia" w:eastAsia="仿宋_GB2312" w:cs="Times New Roman"/>
          <w:b w:val="0"/>
          <w:bCs w:val="0"/>
          <w:kern w:val="28"/>
          <w:sz w:val="32"/>
          <w:szCs w:val="32"/>
          <w:highlight w:val="none"/>
          <w:lang w:val="en-US" w:eastAsia="zh-CN" w:bidi="ar-SA"/>
        </w:rPr>
        <w:t>医疗服务能力提升</w:t>
      </w:r>
      <w:r>
        <w:rPr>
          <w:rFonts w:hint="default" w:ascii="Times New Roman" w:hAnsi="Times New Roman" w:eastAsia="仿宋_GB2312" w:cs="Times New Roman"/>
          <w:b w:val="0"/>
          <w:bCs w:val="0"/>
          <w:color w:val="auto"/>
          <w:kern w:val="28"/>
          <w:sz w:val="32"/>
          <w:szCs w:val="32"/>
          <w:highlight w:val="none"/>
          <w:lang w:val="en-US" w:eastAsia="zh-CN" w:bidi="ar-SA"/>
        </w:rPr>
        <w:t>项目</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ascii="Times New Roman" w:hAnsi="Times New Roman" w:eastAsia="仿宋_GB2312" w:cs="Times New Roman"/>
          <w:sz w:val="32"/>
          <w:szCs w:val="32"/>
          <w:highlight w:val="none"/>
          <w:lang w:val="en-US" w:eastAsia="zh-CN"/>
        </w:rPr>
        <w:t>同时，项目也在</w:t>
      </w:r>
      <w:r>
        <w:rPr>
          <w:rFonts w:hint="eastAsia" w:ascii="Times New Roman" w:hAnsi="Times New Roman" w:eastAsia="仿宋_GB2312" w:cs="Times New Roman"/>
          <w:sz w:val="32"/>
          <w:szCs w:val="32"/>
          <w:highlight w:val="none"/>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单位职工满意度：</w:t>
      </w:r>
      <w:r>
        <w:rPr>
          <w:rFonts w:hint="eastAsia" w:ascii="Times New Roman" w:hAnsi="Times New Roman" w:eastAsia="仿宋_GB2312" w:cs="Times New Roman"/>
          <w:sz w:val="32"/>
          <w:szCs w:val="32"/>
          <w:highlight w:val="none"/>
          <w:lang w:eastAsia="zh-CN"/>
        </w:rPr>
        <w:t>满意度达到</w:t>
      </w:r>
      <w:r>
        <w:rPr>
          <w:rFonts w:hint="eastAsia" w:ascii="Times New Roman" w:hAnsi="Times New Roman"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w:t>
      </w:r>
      <w:r>
        <w:rPr>
          <w:rFonts w:hint="eastAsia" w:eastAsia="仿宋_GB2312" w:cs="Times New Roman"/>
          <w:sz w:val="32"/>
          <w:szCs w:val="32"/>
          <w:highlight w:val="none"/>
          <w:lang w:val="en-US" w:eastAsia="zh-CN"/>
        </w:rPr>
        <w:t>乔拉克铁热克镇卫生院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w:t>
      </w:r>
      <w:r>
        <w:rPr>
          <w:rFonts w:hint="eastAsia" w:eastAsia="仿宋_GB2312" w:cs="Times New Roman"/>
          <w:sz w:val="32"/>
          <w:szCs w:val="32"/>
          <w:highlight w:val="none"/>
          <w:lang w:val="en-US" w:eastAsia="zh-CN"/>
        </w:rPr>
        <w:t>医疗服务能力提升</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pPr>
        <w:pStyle w:val="11"/>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pPr>
        <w:pStyle w:val="1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4"/>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数量指标：指标1：</w:t>
      </w:r>
      <w:r>
        <w:rPr>
          <w:rFonts w:hint="eastAsia" w:eastAsia="仿宋_GB2312" w:cs="Times New Roman"/>
          <w:sz w:val="32"/>
          <w:szCs w:val="32"/>
          <w:highlight w:val="none"/>
          <w:lang w:val="en-US" w:eastAsia="zh-CN"/>
        </w:rPr>
        <w:t>按病种付费的住院参保人员占总住院参保人员的比例</w:t>
      </w:r>
      <w:r>
        <w:rPr>
          <w:rFonts w:hint="default" w:ascii="Times New Roman" w:hAnsi="Times New Roman" w:eastAsia="仿宋_GB2312" w:cs="Times New Roman"/>
          <w:sz w:val="32"/>
          <w:szCs w:val="32"/>
          <w:highlight w:val="none"/>
        </w:rPr>
        <w:t>，指标值：&gt;=95% 人，指标值：&gt;=4</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 xml:space="preserve">实际完成值：95%人，指标完成率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数量指标：</w:t>
      </w:r>
      <w:r>
        <w:rPr>
          <w:rFonts w:hint="eastAsia" w:eastAsia="仿宋_GB2312" w:cs="Times New Roman"/>
          <w:sz w:val="32"/>
          <w:szCs w:val="32"/>
          <w:highlight w:val="none"/>
          <w:lang w:val="en-US" w:eastAsia="zh-CN"/>
        </w:rPr>
        <w:t>指标2：开展各类宣传次数&gt;=4次，</w:t>
      </w:r>
      <w:r>
        <w:rPr>
          <w:rFonts w:hint="default" w:ascii="Times New Roman" w:hAnsi="Times New Roman" w:eastAsia="仿宋_GB2312" w:cs="Times New Roman"/>
          <w:sz w:val="32"/>
          <w:szCs w:val="32"/>
          <w:highlight w:val="none"/>
        </w:rPr>
        <w:t>指标值：&gt;=4 ，实际完成值：</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数量指标：指标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开展业务培训次数&gt;=6次</w:t>
      </w:r>
      <w:r>
        <w:rPr>
          <w:rFonts w:hint="default" w:ascii="Times New Roman" w:hAnsi="Times New Roman" w:eastAsia="仿宋_GB2312" w:cs="Times New Roman"/>
          <w:sz w:val="32"/>
          <w:szCs w:val="32"/>
          <w:highlight w:val="none"/>
        </w:rPr>
        <w:t>，指标值：&gt;=</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 xml:space="preserve"> ，实际完成值：</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医院平均住院日&lt;=7天</w:t>
      </w:r>
      <w:r>
        <w:rPr>
          <w:rFonts w:hint="default" w:ascii="Times New Roman" w:hAnsi="Times New Roman" w:eastAsia="仿宋_GB2312" w:cs="Times New Roman"/>
          <w:sz w:val="32"/>
          <w:szCs w:val="32"/>
          <w:highlight w:val="none"/>
        </w:rPr>
        <w:t xml:space="preserve">  ，指标值：</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人才培训合格率&gt;=90%</w:t>
      </w:r>
      <w:r>
        <w:rPr>
          <w:rFonts w:hint="default" w:ascii="Times New Roman" w:hAnsi="Times New Roman" w:eastAsia="仿宋_GB2312" w:cs="Times New Roman"/>
          <w:sz w:val="32"/>
          <w:szCs w:val="32"/>
          <w:highlight w:val="none"/>
        </w:rPr>
        <w:t xml:space="preserve">  ，指标值：</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贯彻各项工作完成率&gt;=95%</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5</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95</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各类宣传后居居民知晓率&gt;=90%</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 xml:space="preserve">%，指标完成率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：基本医疗设备配备时间=2024年5月，指标值：</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960" w:firstLineChars="3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时效指标：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：基本医疗设备配备时间=2024年5月，指标值：</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rPr>
        <w:t>，实际完成值：=100%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。业务用房进行装修改造时间</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（4）</w:t>
      </w:r>
      <w:r>
        <w:rPr>
          <w:rFonts w:hint="eastAsia" w:ascii="Times New Roman" w:hAnsi="Times New Roman" w:eastAsia="仿宋_GB2312" w:cs="Times New Roman"/>
          <w:sz w:val="32"/>
          <w:szCs w:val="32"/>
          <w:highlight w:val="none"/>
          <w:lang w:val="en-US" w:eastAsia="zh-CN"/>
        </w:rPr>
        <w:t>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1：医疗服务与保障能力提升（医疗卫生机构能力建设）</w:t>
      </w:r>
      <w:r>
        <w:rPr>
          <w:rFonts w:hint="default" w:ascii="Times New Roman" w:hAnsi="Times New Roman" w:eastAsia="仿宋_GB2312" w:cs="Times New Roman"/>
          <w:sz w:val="32"/>
          <w:szCs w:val="32"/>
          <w:highlight w:val="none"/>
        </w:rPr>
        <w:t>：&lt;=23万元/年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23</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2：医疗服务与保障能力提升（医疗卫生机日常工作经费）</w:t>
      </w:r>
      <w:r>
        <w:rPr>
          <w:rFonts w:hint="default" w:ascii="Times New Roman" w:hAnsi="Times New Roman" w:eastAsia="仿宋_GB2312" w:cs="Times New Roman"/>
          <w:sz w:val="32"/>
          <w:szCs w:val="32"/>
          <w:highlight w:val="none"/>
        </w:rPr>
        <w:t>：&lt;=7万元万元/年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7</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（5）社会效益</w:t>
      </w:r>
      <w:r>
        <w:rPr>
          <w:rFonts w:hint="eastAsia" w:ascii="Times New Roman" w:hAnsi="Times New Roman" w:eastAsia="仿宋_GB2312" w:cs="Times New Roman"/>
          <w:sz w:val="32"/>
          <w:szCs w:val="32"/>
          <w:highlight w:val="none"/>
          <w:lang w:val="en-US" w:eastAsia="zh-CN"/>
        </w:rPr>
        <w:t>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1：基本医疗服务能力水平</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逐步提高</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实际完成值：逐步提高，指标完成率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社会效益</w:t>
      </w:r>
      <w:r>
        <w:rPr>
          <w:rFonts w:hint="eastAsia" w:ascii="Times New Roman" w:hAnsi="Times New Roman" w:eastAsia="仿宋_GB2312" w:cs="Times New Roman"/>
          <w:sz w:val="32"/>
          <w:szCs w:val="32"/>
          <w:highlight w:val="none"/>
          <w:lang w:val="en-US" w:eastAsia="zh-CN"/>
        </w:rPr>
        <w:t>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2：其他卫生健康人才培养培训业务水平</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较上年提高</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实际完成值：较上年提高，指标完成率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rPr>
        <w:t>满意度指标指标</w:t>
      </w:r>
      <w:r>
        <w:rPr>
          <w:rFonts w:hint="eastAsia" w:eastAsia="仿宋_GB2312" w:cs="Times New Roman"/>
          <w:sz w:val="32"/>
          <w:szCs w:val="32"/>
          <w:highlight w:val="none"/>
          <w:lang w:val="en-US" w:eastAsia="zh-CN"/>
        </w:rPr>
        <w:t>1：群众满意度&gt;=90%，</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90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4"/>
        <w:numPr>
          <w:ilvl w:val="0"/>
          <w:numId w:val="4"/>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满意度指标</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%，实际完成值：9</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hd w:val="clear"/>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w:t>
      </w:r>
      <w:r>
        <w:rPr>
          <w:rFonts w:hint="eastAsia" w:eastAsia="仿宋_GB2312" w:cs="Times New Roman"/>
          <w:sz w:val="32"/>
          <w:szCs w:val="32"/>
          <w:lang w:val="en-US" w:eastAsia="zh-CN"/>
        </w:rPr>
        <w:t>390</w:t>
      </w:r>
      <w:r>
        <w:rPr>
          <w:rFonts w:hint="default" w:ascii="Times New Roman" w:hAnsi="Times New Roman" w:eastAsia="仿宋_GB2312" w:cs="Times New Roman"/>
          <w:sz w:val="32"/>
          <w:szCs w:val="32"/>
          <w:lang w:val="en-US" w:eastAsia="zh-CN"/>
        </w:rPr>
        <w:t>万元，全年预算</w:t>
      </w:r>
      <w:r>
        <w:rPr>
          <w:rFonts w:hint="eastAsia" w:eastAsia="仿宋_GB2312" w:cs="Times New Roman"/>
          <w:sz w:val="32"/>
          <w:szCs w:val="32"/>
          <w:lang w:val="en-US" w:eastAsia="zh-CN"/>
        </w:rPr>
        <w:t>30</w:t>
      </w:r>
      <w:r>
        <w:rPr>
          <w:rFonts w:hint="default" w:ascii="Times New Roman" w:hAnsi="Times New Roman" w:eastAsia="仿宋_GB2312" w:cs="Times New Roman"/>
          <w:sz w:val="32"/>
          <w:szCs w:val="32"/>
          <w:lang w:val="en-US" w:eastAsia="zh-CN"/>
        </w:rPr>
        <w:t>万元，实际支出</w:t>
      </w:r>
      <w:r>
        <w:rPr>
          <w:rFonts w:hint="eastAsia" w:eastAsia="仿宋_GB2312" w:cs="Times New Roman"/>
          <w:sz w:val="32"/>
          <w:szCs w:val="32"/>
          <w:lang w:val="en-US" w:eastAsia="zh-CN"/>
        </w:rPr>
        <w:t>30</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5"/>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2"/>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2"/>
        <w:spacing w:after="0" w:line="560" w:lineRule="exact"/>
        <w:ind w:left="0" w:leftChars="0" w:firstLine="640"/>
        <w:rPr>
          <w:rFonts w:hint="eastAsia" w:ascii="Times New Roman" w:hAnsi="Times New Roman" w:eastAsia="仿宋_GB2312" w:cs="Times New Roman"/>
          <w:sz w:val="32"/>
          <w:szCs w:val="32"/>
          <w:lang w:eastAsia="zh-CN"/>
        </w:rPr>
      </w:pPr>
    </w:p>
    <w:p>
      <w:pPr>
        <w:pStyle w:val="2"/>
        <w:spacing w:after="0" w:line="560" w:lineRule="exact"/>
        <w:ind w:left="0" w:leftChars="0" w:firstLine="640"/>
        <w:rPr>
          <w:rFonts w:hint="eastAsia" w:ascii="Times New Roman" w:hAnsi="Times New Roman" w:eastAsia="仿宋_GB2312" w:cs="Times New Roman"/>
          <w:sz w:val="32"/>
          <w:szCs w:val="32"/>
          <w:lang w:eastAsia="zh-CN"/>
        </w:rPr>
      </w:pPr>
    </w:p>
    <w:p>
      <w:pPr>
        <w:pStyle w:val="2"/>
        <w:spacing w:after="0" w:line="560" w:lineRule="exact"/>
        <w:ind w:left="0" w:leftChars="0" w:firstLine="640"/>
        <w:rPr>
          <w:rFonts w:hint="eastAsia" w:ascii="Times New Roman" w:hAnsi="Times New Roman" w:eastAsia="仿宋_GB2312" w:cs="Times New Roman"/>
          <w:sz w:val="32"/>
          <w:szCs w:val="32"/>
          <w:lang w:eastAsia="zh-CN"/>
        </w:rPr>
      </w:pPr>
      <w:bookmarkStart w:id="3" w:name="_GoBack"/>
      <w:bookmarkEnd w:id="3"/>
    </w:p>
    <w:p>
      <w:pPr>
        <w:pStyle w:val="2"/>
        <w:spacing w:after="0" w:line="560" w:lineRule="exact"/>
        <w:rPr>
          <w:rFonts w:hint="default" w:ascii="Times New Roman" w:hAnsi="Times New Roman" w:eastAsia="仿宋_GB2312" w:cs="Times New Roman"/>
          <w:sz w:val="32"/>
          <w:szCs w:val="32"/>
        </w:rPr>
      </w:pPr>
    </w:p>
    <w:p>
      <w:pPr>
        <w:pStyle w:val="2"/>
        <w:spacing w:after="0" w:line="560" w:lineRule="exact"/>
        <w:ind w:left="0" w:leftChars="0" w:firstLine="640"/>
        <w:rPr>
          <w:rFonts w:hint="default" w:ascii="Times New Roman" w:hAnsi="Times New Roman" w:eastAsia="仿宋_GB2312" w:cs="Times New Roman"/>
          <w:sz w:val="32"/>
          <w:szCs w:val="32"/>
        </w:rPr>
      </w:pPr>
    </w:p>
    <w:p>
      <w:pPr>
        <w:pStyle w:val="2"/>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ascii="仿宋_GB2312" w:hAnsi="仿宋_GB2312" w:eastAsia="仿宋_GB2312" w:cs="仿宋_GB2312"/>
          <w:b/>
          <w:bCs/>
          <w:kern w:val="0"/>
          <w:sz w:val="28"/>
          <w:szCs w:val="40"/>
          <w:lang w:val="en-US" w:eastAsia="zh-CN" w:bidi="ar-SA"/>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 w:name="_Toc26499_WPSOffice_Level2"/>
      <w:bookmarkStart w:id="2" w:name="_Toc30064_WPSOffice_Level1"/>
      <w:r>
        <w:rPr>
          <w:rFonts w:hint="eastAsia" w:ascii="仿宋_GB2312" w:hAnsi="仿宋_GB2312" w:eastAsia="仿宋_GB2312" w:cs="仿宋_GB2312"/>
          <w:b/>
          <w:bCs/>
          <w:kern w:val="0"/>
          <w:sz w:val="28"/>
          <w:szCs w:val="40"/>
          <w:highlight w:val="none"/>
          <w:lang w:val="en-US" w:eastAsia="zh-CN" w:bidi="ar-SA"/>
        </w:rPr>
        <w:t>2024年单位自由资金收入资金</w:t>
      </w:r>
      <w:r>
        <w:rPr>
          <w:rFonts w:hint="default" w:ascii="仿宋_GB2312" w:hAnsi="仿宋_GB2312" w:eastAsia="仿宋_GB2312" w:cs="仿宋_GB2312"/>
          <w:b/>
          <w:bCs/>
          <w:kern w:val="0"/>
          <w:sz w:val="28"/>
          <w:szCs w:val="40"/>
          <w:highlight w:val="none"/>
          <w:lang w:val="en-US" w:eastAsia="zh-CN" w:bidi="ar-SA"/>
        </w:rPr>
        <w:t>项目</w:t>
      </w:r>
      <w:r>
        <w:rPr>
          <w:rFonts w:hint="eastAsia" w:ascii="仿宋_GB2312" w:hAnsi="仿宋_GB2312" w:eastAsia="仿宋_GB2312" w:cs="仿宋_GB2312"/>
          <w:b/>
          <w:bCs/>
          <w:kern w:val="0"/>
          <w:sz w:val="28"/>
          <w:szCs w:val="40"/>
          <w:highlight w:val="none"/>
          <w:lang w:val="en-US" w:eastAsia="zh-CN" w:bidi="ar-SA"/>
        </w:rPr>
        <w:t>项</w:t>
      </w:r>
      <w:r>
        <w:rPr>
          <w:rFonts w:hint="eastAsia" w:ascii="仿宋_GB2312" w:hAnsi="仿宋_GB2312" w:eastAsia="仿宋_GB2312" w:cs="仿宋_GB2312"/>
          <w:b/>
          <w:bCs/>
          <w:sz w:val="28"/>
          <w:szCs w:val="40"/>
          <w:highlight w:val="none"/>
        </w:rPr>
        <w:t>目绩效评价指标体系及综合</w:t>
      </w:r>
      <w:r>
        <w:rPr>
          <w:rFonts w:hint="eastAsia" w:ascii="仿宋_GB2312" w:hAnsi="仿宋_GB2312" w:eastAsia="仿宋_GB2312" w:cs="仿宋_GB2312"/>
          <w:b/>
          <w:bCs/>
          <w:sz w:val="28"/>
          <w:szCs w:val="40"/>
        </w:rPr>
        <w:t>评分表</w:t>
      </w:r>
      <w:bookmarkEnd w:id="1"/>
      <w:bookmarkEnd w:id="2"/>
    </w:p>
    <w:p>
      <w:pPr>
        <w:rPr>
          <w:rFonts w:hint="default" w:ascii="Times New Roman" w:hAnsi="Times New Roman" w:cs="Times New Roman"/>
        </w:rPr>
      </w:pPr>
    </w:p>
    <w:tbl>
      <w:tblPr>
        <w:tblStyle w:val="15"/>
        <w:tblW w:w="0" w:type="auto"/>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2</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bidi w:val="0"/>
              <w:jc w:val="center"/>
              <w:rPr>
                <w:rFonts w:hint="default" w:ascii="Times New Roman" w:hAnsi="Times New Roman" w:eastAsia="宋体" w:cs="Times New Roman"/>
                <w:kern w:val="2"/>
                <w:sz w:val="21"/>
                <w:szCs w:val="24"/>
                <w:highlight w:val="none"/>
                <w:lang w:val="en-US" w:eastAsia="zh-CN" w:bidi="ar-SA"/>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pStyle w:val="2"/>
        <w:rPr>
          <w:rFonts w:hint="default"/>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12580"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98"/>
        <w:gridCol w:w="698"/>
        <w:gridCol w:w="770"/>
        <w:gridCol w:w="1612"/>
        <w:gridCol w:w="301"/>
        <w:gridCol w:w="1000"/>
        <w:gridCol w:w="1413"/>
        <w:gridCol w:w="2000"/>
        <w:gridCol w:w="25"/>
        <w:gridCol w:w="1587"/>
        <w:gridCol w:w="79"/>
        <w:gridCol w:w="846"/>
        <w:gridCol w:w="199"/>
        <w:gridCol w:w="13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20" w:hRule="atLeast"/>
        </w:trPr>
        <w:tc>
          <w:tcPr>
            <w:tcW w:w="125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wAfter w:w="0" w:type="auto"/>
          <w:trHeight w:val="280" w:hRule="atLeast"/>
        </w:trPr>
        <w:tc>
          <w:tcPr>
            <w:tcW w:w="12580"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80" w:hRule="atLeast"/>
        </w:trPr>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1118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2024年中央医疗服务与保障能力提升（医疗卫生机构能力建设）绩效目标：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80" w:hRule="atLeast"/>
        </w:trPr>
        <w:tc>
          <w:tcPr>
            <w:tcW w:w="139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w:t>
            </w:r>
          </w:p>
        </w:tc>
        <w:tc>
          <w:tcPr>
            <w:tcW w:w="5096"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特克斯县乔拉克铁热克镇卫生院</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4063"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特克斯县乔拉克铁热克镇卫生院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0" w:hRule="atLeast"/>
        </w:trPr>
        <w:tc>
          <w:tcPr>
            <w:tcW w:w="139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年初预算数</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全年预算数</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全年执行数</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执行率</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年度资金总额</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30.00</w:t>
            </w: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其中：当年财政拨款</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上年结转资金</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9" w:hRule="atLeast"/>
        </w:trPr>
        <w:tc>
          <w:tcPr>
            <w:tcW w:w="139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8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其他资金</w:t>
            </w:r>
          </w:p>
        </w:tc>
        <w:tc>
          <w:tcPr>
            <w:tcW w:w="130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141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0.00</w:t>
            </w:r>
          </w:p>
        </w:tc>
        <w:tc>
          <w:tcPr>
            <w:tcW w:w="20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8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92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c>
          <w:tcPr>
            <w:tcW w:w="15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80" w:hRule="atLeast"/>
        </w:trPr>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年度总体目标</w:t>
            </w:r>
          </w:p>
        </w:tc>
        <w:tc>
          <w:tcPr>
            <w:tcW w:w="579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预期目标</w:t>
            </w:r>
          </w:p>
        </w:tc>
        <w:tc>
          <w:tcPr>
            <w:tcW w:w="6088"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wAfter w:w="0" w:type="auto"/>
          <w:trHeight w:val="54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94"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建设，全面提升医疗卫生机构综合能力，加强特克斯县域医共体建设，进一步完善县域医共体信息化建设。支持乔拉克铁热克镇卫生院、喀拉达拉镇卫生院能力提升，进一步完善县域医疗卫生服务体系，提高县域就诊率。业务用房达到标准化，布局科学合理;明显提高对常见病、多发病的诊治水平，特别是急诊科、外科、产科、儿科、中医科、康复科的业务能力。使基本公共卫生服务项目实施绩效明显高于县域基层医疗卫生机构平均水平，为辖区内居民提供优质的医疗卫生服务，从而提高居民对卫生服务的满意度，提高群众获得感、幸福感。</w:t>
            </w:r>
          </w:p>
        </w:tc>
        <w:tc>
          <w:tcPr>
            <w:tcW w:w="6088" w:type="dxa"/>
            <w:gridSpan w:val="7"/>
            <w:tcBorders>
              <w:top w:val="single" w:color="000000" w:sz="4" w:space="0"/>
              <w:left w:val="single" w:color="000000" w:sz="4" w:space="0"/>
              <w:bottom w:val="single" w:color="000000" w:sz="4" w:space="0"/>
              <w:right w:val="single" w:color="000000" w:sz="4" w:space="0"/>
            </w:tcBorders>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据2024年中央医疗服务与保障能力提升（医疗卫生机构能力建设）补助资金30万元，完成购入设备30万元，进一步明确基本功能定位，建立起维护公益性、调动人员积极性、保障运行可持续性的机制，提高了医疗服务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80" w:hRule="atLeast"/>
        </w:trPr>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7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9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241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年度指标值</w:t>
            </w:r>
          </w:p>
        </w:tc>
        <w:tc>
          <w:tcPr>
            <w:tcW w:w="20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实际完成值</w:t>
            </w:r>
          </w:p>
        </w:tc>
        <w:tc>
          <w:tcPr>
            <w:tcW w:w="1691" w:type="dxa"/>
            <w:gridSpan w:val="3"/>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分值</w:t>
            </w:r>
          </w:p>
        </w:tc>
        <w:tc>
          <w:tcPr>
            <w:tcW w:w="104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得分</w:t>
            </w:r>
          </w:p>
        </w:tc>
        <w:tc>
          <w:tcPr>
            <w:tcW w:w="13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280"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41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年度绩效指标完成情况</w:t>
            </w: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按病种付费的住院参保人员占总住院参保人员的比例</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开展各类宣传次数</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&gt;=4</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开展业务培训次数</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&gt;=6</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医院平均住院日</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&lt;=7天</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7天</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人才培训合格率</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贯彻各项工作完成率</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&gt;=95%</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各类宣传后居居民知晓率</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基本医疗设备配备时间</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2024年5月</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2024年5月</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业务用房进行装修改造时间</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=2024年5月</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2024年5月</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医疗服务与保障能力提升（医疗卫生机构能力建设）</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&lt;=23万元</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23万元</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医疗服务与保障能力提升（医疗卫生机日常工作经费）</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&lt;=7万元</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7万元</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社会成本指标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生态环境成本指标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基本医疗服务能力水平</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逐步提高</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逐步提高</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其他卫生健康人才培养培训业务水平</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较上年提高</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较上年提高</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left"/>
              <w:rPr>
                <w:rFonts w:hint="eastAsia" w:ascii="宋体" w:hAnsi="宋体" w:eastAsia="宋体" w:cs="宋体"/>
                <w:i w:val="0"/>
                <w:iCs w:val="0"/>
                <w:color w:val="000000"/>
                <w:sz w:val="20"/>
                <w:szCs w:val="20"/>
                <w:u w:val="none"/>
              </w:rPr>
            </w:pP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402" w:hRule="atLeast"/>
        </w:trPr>
        <w:tc>
          <w:tcPr>
            <w:tcW w:w="69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6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7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913"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241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w:t>
            </w:r>
          </w:p>
        </w:tc>
        <w:tc>
          <w:tcPr>
            <w:tcW w:w="200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80" w:hRule="atLeast"/>
        </w:trPr>
        <w:tc>
          <w:tcPr>
            <w:tcW w:w="849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总分</w:t>
            </w:r>
          </w:p>
        </w:tc>
        <w:tc>
          <w:tcPr>
            <w:tcW w:w="169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0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100分</w:t>
            </w:r>
          </w:p>
        </w:tc>
        <w:tc>
          <w:tcPr>
            <w:tcW w:w="135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Pr>
        <w:pStyle w:val="2"/>
        <w:rPr>
          <w:rFonts w:hint="default"/>
          <w:lang w:val="en-US" w:eastAsia="zh-CN"/>
        </w:rPr>
      </w:pPr>
    </w:p>
    <w:p>
      <w:pPr>
        <w:rPr>
          <w:rFonts w:hint="default" w:ascii="Times New Roman" w:hAnsi="Times New Roman" w:cs="Times New Roman"/>
        </w:rPr>
      </w:pPr>
    </w:p>
    <w:p/>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13</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DEzYjE1YTQ1ZGZhYmU4NjhhZjA4ZWM1YmExMTAifQ=="/>
    <w:docVar w:name="KSO_WPS_MARK_KEY" w:val="6fd9953a-2b63-4b0a-93e8-8fbe066343e5"/>
  </w:docVars>
  <w:rsids>
    <w:rsidRoot w:val="FF6C4049"/>
    <w:rsid w:val="0026130D"/>
    <w:rsid w:val="004302B3"/>
    <w:rsid w:val="0066795B"/>
    <w:rsid w:val="006F7242"/>
    <w:rsid w:val="007B168A"/>
    <w:rsid w:val="008B2CFE"/>
    <w:rsid w:val="00B00BD6"/>
    <w:rsid w:val="00E335FF"/>
    <w:rsid w:val="00F26FF6"/>
    <w:rsid w:val="013A280A"/>
    <w:rsid w:val="0150374F"/>
    <w:rsid w:val="01610122"/>
    <w:rsid w:val="0187403F"/>
    <w:rsid w:val="01A96529"/>
    <w:rsid w:val="01AA1407"/>
    <w:rsid w:val="01F66ABD"/>
    <w:rsid w:val="0227136C"/>
    <w:rsid w:val="02311C1A"/>
    <w:rsid w:val="024B505A"/>
    <w:rsid w:val="02510197"/>
    <w:rsid w:val="027F2F56"/>
    <w:rsid w:val="02A2067E"/>
    <w:rsid w:val="02EF0AC5"/>
    <w:rsid w:val="02F079B0"/>
    <w:rsid w:val="030F6088"/>
    <w:rsid w:val="034D4E02"/>
    <w:rsid w:val="035A01BC"/>
    <w:rsid w:val="038A1BB2"/>
    <w:rsid w:val="03DA48E8"/>
    <w:rsid w:val="03EC461B"/>
    <w:rsid w:val="040E6340"/>
    <w:rsid w:val="0430275A"/>
    <w:rsid w:val="049525BD"/>
    <w:rsid w:val="04C410F4"/>
    <w:rsid w:val="04D550AF"/>
    <w:rsid w:val="04DF5F2E"/>
    <w:rsid w:val="05290F57"/>
    <w:rsid w:val="05A827C4"/>
    <w:rsid w:val="05B46DBE"/>
    <w:rsid w:val="062F259D"/>
    <w:rsid w:val="065F7326"/>
    <w:rsid w:val="06F07F7E"/>
    <w:rsid w:val="07115E54"/>
    <w:rsid w:val="07397B77"/>
    <w:rsid w:val="07652CDE"/>
    <w:rsid w:val="0774295E"/>
    <w:rsid w:val="0777244E"/>
    <w:rsid w:val="0788465B"/>
    <w:rsid w:val="07FC2953"/>
    <w:rsid w:val="08A454C4"/>
    <w:rsid w:val="09DE4A06"/>
    <w:rsid w:val="0A4E393A"/>
    <w:rsid w:val="0A60541B"/>
    <w:rsid w:val="0A7313CB"/>
    <w:rsid w:val="0AD007F3"/>
    <w:rsid w:val="0ADB0F46"/>
    <w:rsid w:val="0B7F5D75"/>
    <w:rsid w:val="0B974E6D"/>
    <w:rsid w:val="0BB27EF8"/>
    <w:rsid w:val="0BDA2FAB"/>
    <w:rsid w:val="0C28640C"/>
    <w:rsid w:val="0C4979FC"/>
    <w:rsid w:val="0C952B49"/>
    <w:rsid w:val="0C9D2956"/>
    <w:rsid w:val="0CAA5073"/>
    <w:rsid w:val="0D374B59"/>
    <w:rsid w:val="0D4B23B2"/>
    <w:rsid w:val="0D9A0C44"/>
    <w:rsid w:val="0DA675E9"/>
    <w:rsid w:val="0DB735A4"/>
    <w:rsid w:val="0E2D6995"/>
    <w:rsid w:val="0E3C619F"/>
    <w:rsid w:val="0E8B67DF"/>
    <w:rsid w:val="0EAA3109"/>
    <w:rsid w:val="0ECF2B6F"/>
    <w:rsid w:val="0ED84EBC"/>
    <w:rsid w:val="0F000AD7"/>
    <w:rsid w:val="0F640839"/>
    <w:rsid w:val="0F711E78"/>
    <w:rsid w:val="0F7F6343"/>
    <w:rsid w:val="0FDC6702"/>
    <w:rsid w:val="0FDD5E19"/>
    <w:rsid w:val="100F38EC"/>
    <w:rsid w:val="105C6685"/>
    <w:rsid w:val="10BD35C7"/>
    <w:rsid w:val="10BF4D05"/>
    <w:rsid w:val="110F1949"/>
    <w:rsid w:val="11170296"/>
    <w:rsid w:val="119A7465"/>
    <w:rsid w:val="11C42733"/>
    <w:rsid w:val="11C75D80"/>
    <w:rsid w:val="12086AC4"/>
    <w:rsid w:val="123F67F5"/>
    <w:rsid w:val="12C66037"/>
    <w:rsid w:val="12CD1ABC"/>
    <w:rsid w:val="12DE7825"/>
    <w:rsid w:val="12F17558"/>
    <w:rsid w:val="13143247"/>
    <w:rsid w:val="133F1F60"/>
    <w:rsid w:val="13433B2C"/>
    <w:rsid w:val="13471461"/>
    <w:rsid w:val="13631AD8"/>
    <w:rsid w:val="13B3480E"/>
    <w:rsid w:val="13B90F01"/>
    <w:rsid w:val="13CC58CF"/>
    <w:rsid w:val="13D1738A"/>
    <w:rsid w:val="13EE1CEA"/>
    <w:rsid w:val="14005579"/>
    <w:rsid w:val="141A663B"/>
    <w:rsid w:val="142B0848"/>
    <w:rsid w:val="142C45C0"/>
    <w:rsid w:val="143E3E29"/>
    <w:rsid w:val="1457788F"/>
    <w:rsid w:val="14B453C6"/>
    <w:rsid w:val="153876C0"/>
    <w:rsid w:val="155E4C4D"/>
    <w:rsid w:val="15645C97"/>
    <w:rsid w:val="15B900D5"/>
    <w:rsid w:val="15BD7BC5"/>
    <w:rsid w:val="15CD0D28"/>
    <w:rsid w:val="15E92769"/>
    <w:rsid w:val="164C0FB7"/>
    <w:rsid w:val="1666200B"/>
    <w:rsid w:val="1683496B"/>
    <w:rsid w:val="168E3310"/>
    <w:rsid w:val="16FE0496"/>
    <w:rsid w:val="173503D8"/>
    <w:rsid w:val="175E2D71"/>
    <w:rsid w:val="17606A5A"/>
    <w:rsid w:val="176A18CC"/>
    <w:rsid w:val="17C4348D"/>
    <w:rsid w:val="181066D2"/>
    <w:rsid w:val="18F97167"/>
    <w:rsid w:val="191E4E1F"/>
    <w:rsid w:val="193957B5"/>
    <w:rsid w:val="194F4FD8"/>
    <w:rsid w:val="19A54BF8"/>
    <w:rsid w:val="19B412DF"/>
    <w:rsid w:val="19B4308D"/>
    <w:rsid w:val="19F82B8C"/>
    <w:rsid w:val="1A3A17E5"/>
    <w:rsid w:val="1A4566C4"/>
    <w:rsid w:val="1A91517D"/>
    <w:rsid w:val="1AC85C22"/>
    <w:rsid w:val="1AEA2A58"/>
    <w:rsid w:val="1AF916A0"/>
    <w:rsid w:val="1B324BB2"/>
    <w:rsid w:val="1B4D3E39"/>
    <w:rsid w:val="1B6D1735"/>
    <w:rsid w:val="1B981705"/>
    <w:rsid w:val="1BAD4D5B"/>
    <w:rsid w:val="1BAF7FB0"/>
    <w:rsid w:val="1BF9122C"/>
    <w:rsid w:val="1C085913"/>
    <w:rsid w:val="1C113C9C"/>
    <w:rsid w:val="1C177904"/>
    <w:rsid w:val="1C1E0C92"/>
    <w:rsid w:val="1C2564C4"/>
    <w:rsid w:val="1C2C7853"/>
    <w:rsid w:val="1C444B9D"/>
    <w:rsid w:val="1C671E73"/>
    <w:rsid w:val="1C7D3C0B"/>
    <w:rsid w:val="1CBF5022"/>
    <w:rsid w:val="1CE617B0"/>
    <w:rsid w:val="1CE65C54"/>
    <w:rsid w:val="1CF71C0F"/>
    <w:rsid w:val="1D0600A4"/>
    <w:rsid w:val="1D1502E7"/>
    <w:rsid w:val="1D322C47"/>
    <w:rsid w:val="1D650A4A"/>
    <w:rsid w:val="1D992CC6"/>
    <w:rsid w:val="1DA43419"/>
    <w:rsid w:val="1DA5638E"/>
    <w:rsid w:val="1DAA6C81"/>
    <w:rsid w:val="1DB4365C"/>
    <w:rsid w:val="1DC647C6"/>
    <w:rsid w:val="1DFC5003"/>
    <w:rsid w:val="1EA00084"/>
    <w:rsid w:val="1F022AED"/>
    <w:rsid w:val="1F15637C"/>
    <w:rsid w:val="1F5A6485"/>
    <w:rsid w:val="1F5F1CED"/>
    <w:rsid w:val="1F615A66"/>
    <w:rsid w:val="1F6D440A"/>
    <w:rsid w:val="1F8654CC"/>
    <w:rsid w:val="1F872141"/>
    <w:rsid w:val="1F901EA7"/>
    <w:rsid w:val="1FA94D17"/>
    <w:rsid w:val="1FE12702"/>
    <w:rsid w:val="1FED10A7"/>
    <w:rsid w:val="20474C5B"/>
    <w:rsid w:val="20672C08"/>
    <w:rsid w:val="2079326F"/>
    <w:rsid w:val="20796DDF"/>
    <w:rsid w:val="20AF37AD"/>
    <w:rsid w:val="20F463B1"/>
    <w:rsid w:val="20F54B7E"/>
    <w:rsid w:val="212C3E51"/>
    <w:rsid w:val="212D2FD5"/>
    <w:rsid w:val="21417858"/>
    <w:rsid w:val="21421FBD"/>
    <w:rsid w:val="21A60641"/>
    <w:rsid w:val="21D249F9"/>
    <w:rsid w:val="2234120F"/>
    <w:rsid w:val="225D0766"/>
    <w:rsid w:val="22603622"/>
    <w:rsid w:val="22603DB2"/>
    <w:rsid w:val="22A5210D"/>
    <w:rsid w:val="22B97967"/>
    <w:rsid w:val="22E70074"/>
    <w:rsid w:val="22F64717"/>
    <w:rsid w:val="22F664C5"/>
    <w:rsid w:val="22FB7F7F"/>
    <w:rsid w:val="23476D20"/>
    <w:rsid w:val="23616034"/>
    <w:rsid w:val="23696C97"/>
    <w:rsid w:val="237D2742"/>
    <w:rsid w:val="239A32F4"/>
    <w:rsid w:val="23BE3486"/>
    <w:rsid w:val="23FF75FB"/>
    <w:rsid w:val="241E5CD3"/>
    <w:rsid w:val="24480FA2"/>
    <w:rsid w:val="244F40DF"/>
    <w:rsid w:val="247B3126"/>
    <w:rsid w:val="248B6521"/>
    <w:rsid w:val="24A65CC9"/>
    <w:rsid w:val="24BF79D0"/>
    <w:rsid w:val="24C3436A"/>
    <w:rsid w:val="24D64800"/>
    <w:rsid w:val="24FB3714"/>
    <w:rsid w:val="25227A45"/>
    <w:rsid w:val="25721374"/>
    <w:rsid w:val="25A46200"/>
    <w:rsid w:val="25F3110E"/>
    <w:rsid w:val="25F82554"/>
    <w:rsid w:val="261D1FBA"/>
    <w:rsid w:val="261F5D33"/>
    <w:rsid w:val="26527EB6"/>
    <w:rsid w:val="265E685B"/>
    <w:rsid w:val="26AC3A6A"/>
    <w:rsid w:val="26D46B1D"/>
    <w:rsid w:val="26E36D60"/>
    <w:rsid w:val="27135897"/>
    <w:rsid w:val="274230F2"/>
    <w:rsid w:val="27561C28"/>
    <w:rsid w:val="276E0FDC"/>
    <w:rsid w:val="27AB3D22"/>
    <w:rsid w:val="282910EA"/>
    <w:rsid w:val="286345FC"/>
    <w:rsid w:val="28681C13"/>
    <w:rsid w:val="287A1946"/>
    <w:rsid w:val="28884063"/>
    <w:rsid w:val="28B20A44"/>
    <w:rsid w:val="28C80903"/>
    <w:rsid w:val="28CE4D36"/>
    <w:rsid w:val="28E31299"/>
    <w:rsid w:val="28E80784"/>
    <w:rsid w:val="2900009D"/>
    <w:rsid w:val="29057462"/>
    <w:rsid w:val="291D29FD"/>
    <w:rsid w:val="294A30C6"/>
    <w:rsid w:val="295E6B72"/>
    <w:rsid w:val="29622E26"/>
    <w:rsid w:val="29654809"/>
    <w:rsid w:val="29FD282F"/>
    <w:rsid w:val="2A157B78"/>
    <w:rsid w:val="2A1738F0"/>
    <w:rsid w:val="2A41271B"/>
    <w:rsid w:val="2A467D32"/>
    <w:rsid w:val="2A9211C9"/>
    <w:rsid w:val="2AB253C7"/>
    <w:rsid w:val="2B004385"/>
    <w:rsid w:val="2B2D4A4E"/>
    <w:rsid w:val="2B9D7E25"/>
    <w:rsid w:val="2BCE7FDF"/>
    <w:rsid w:val="2BF55536"/>
    <w:rsid w:val="2C077995"/>
    <w:rsid w:val="2C46226B"/>
    <w:rsid w:val="2C4C1A22"/>
    <w:rsid w:val="2C7C7A3B"/>
    <w:rsid w:val="2C865653"/>
    <w:rsid w:val="2CA0629C"/>
    <w:rsid w:val="2CA46F92"/>
    <w:rsid w:val="2CC338BC"/>
    <w:rsid w:val="2CD31625"/>
    <w:rsid w:val="2CE43832"/>
    <w:rsid w:val="2CED6B8B"/>
    <w:rsid w:val="2D047A30"/>
    <w:rsid w:val="2D412A32"/>
    <w:rsid w:val="2DC23B73"/>
    <w:rsid w:val="2DF126AA"/>
    <w:rsid w:val="2E516563"/>
    <w:rsid w:val="2E8250B1"/>
    <w:rsid w:val="2E913546"/>
    <w:rsid w:val="2EC35DF5"/>
    <w:rsid w:val="2EFC4E63"/>
    <w:rsid w:val="2F080776"/>
    <w:rsid w:val="2F1E302B"/>
    <w:rsid w:val="2F364819"/>
    <w:rsid w:val="2F6D0E4E"/>
    <w:rsid w:val="2F807842"/>
    <w:rsid w:val="2FD63906"/>
    <w:rsid w:val="2FDB0F1C"/>
    <w:rsid w:val="305D28EF"/>
    <w:rsid w:val="3095731D"/>
    <w:rsid w:val="311E5F0C"/>
    <w:rsid w:val="314D7BF8"/>
    <w:rsid w:val="317B30D3"/>
    <w:rsid w:val="31D73965"/>
    <w:rsid w:val="32454D73"/>
    <w:rsid w:val="326F3B9E"/>
    <w:rsid w:val="32713417"/>
    <w:rsid w:val="3276709A"/>
    <w:rsid w:val="329E2177"/>
    <w:rsid w:val="32C51A10"/>
    <w:rsid w:val="32DD31FD"/>
    <w:rsid w:val="33450FAA"/>
    <w:rsid w:val="339E473B"/>
    <w:rsid w:val="33A41BA5"/>
    <w:rsid w:val="33A45AC9"/>
    <w:rsid w:val="33B33244"/>
    <w:rsid w:val="33B73A4E"/>
    <w:rsid w:val="33EA5BD2"/>
    <w:rsid w:val="33F00D0E"/>
    <w:rsid w:val="34053575"/>
    <w:rsid w:val="34BE0E27"/>
    <w:rsid w:val="34BF0E0C"/>
    <w:rsid w:val="34E72111"/>
    <w:rsid w:val="352E7D40"/>
    <w:rsid w:val="354D4B24"/>
    <w:rsid w:val="357D5D04"/>
    <w:rsid w:val="35926521"/>
    <w:rsid w:val="3598340C"/>
    <w:rsid w:val="363C1751"/>
    <w:rsid w:val="366215F3"/>
    <w:rsid w:val="36743240"/>
    <w:rsid w:val="36AB5A98"/>
    <w:rsid w:val="36BD137C"/>
    <w:rsid w:val="37215DAE"/>
    <w:rsid w:val="37656EA2"/>
    <w:rsid w:val="378E027E"/>
    <w:rsid w:val="37976071"/>
    <w:rsid w:val="37B54749"/>
    <w:rsid w:val="382F4F9D"/>
    <w:rsid w:val="38C05153"/>
    <w:rsid w:val="38CA0A91"/>
    <w:rsid w:val="38CA40DD"/>
    <w:rsid w:val="38D34E86"/>
    <w:rsid w:val="391E0F46"/>
    <w:rsid w:val="392E030F"/>
    <w:rsid w:val="392E6561"/>
    <w:rsid w:val="39331DC9"/>
    <w:rsid w:val="393F0BCF"/>
    <w:rsid w:val="39423DBA"/>
    <w:rsid w:val="395F2B56"/>
    <w:rsid w:val="39783C80"/>
    <w:rsid w:val="39FF7EFD"/>
    <w:rsid w:val="3A631504"/>
    <w:rsid w:val="3A667F7C"/>
    <w:rsid w:val="3ACA4067"/>
    <w:rsid w:val="3B084486"/>
    <w:rsid w:val="3B9F72A2"/>
    <w:rsid w:val="3BBA0580"/>
    <w:rsid w:val="3BD72EE0"/>
    <w:rsid w:val="3BECE841"/>
    <w:rsid w:val="3C190E40"/>
    <w:rsid w:val="3C7B7D0F"/>
    <w:rsid w:val="3CDE204C"/>
    <w:rsid w:val="3CEF6007"/>
    <w:rsid w:val="3CF74540"/>
    <w:rsid w:val="3CF96E86"/>
    <w:rsid w:val="3D0C4E0B"/>
    <w:rsid w:val="3D363C36"/>
    <w:rsid w:val="3D536596"/>
    <w:rsid w:val="3DCE3E6E"/>
    <w:rsid w:val="3E2713A2"/>
    <w:rsid w:val="3E9C3F6D"/>
    <w:rsid w:val="3EEA4CD8"/>
    <w:rsid w:val="3EF73899"/>
    <w:rsid w:val="3F49270E"/>
    <w:rsid w:val="3F5274EE"/>
    <w:rsid w:val="3FB82422"/>
    <w:rsid w:val="3FD55988"/>
    <w:rsid w:val="3FF06666"/>
    <w:rsid w:val="3FF7797D"/>
    <w:rsid w:val="403A1C8F"/>
    <w:rsid w:val="407F6989"/>
    <w:rsid w:val="408353E4"/>
    <w:rsid w:val="40BE641C"/>
    <w:rsid w:val="412F2E76"/>
    <w:rsid w:val="41344930"/>
    <w:rsid w:val="41806EDA"/>
    <w:rsid w:val="41A25D3E"/>
    <w:rsid w:val="41A90E7A"/>
    <w:rsid w:val="41B33AA7"/>
    <w:rsid w:val="41E00614"/>
    <w:rsid w:val="421F738E"/>
    <w:rsid w:val="42291644"/>
    <w:rsid w:val="42417305"/>
    <w:rsid w:val="42562684"/>
    <w:rsid w:val="42925DB2"/>
    <w:rsid w:val="42957651"/>
    <w:rsid w:val="42B5384F"/>
    <w:rsid w:val="42DE4B54"/>
    <w:rsid w:val="42DF267A"/>
    <w:rsid w:val="437E1E93"/>
    <w:rsid w:val="43A7763B"/>
    <w:rsid w:val="43A93F3B"/>
    <w:rsid w:val="44004F9E"/>
    <w:rsid w:val="44652ACA"/>
    <w:rsid w:val="447137A5"/>
    <w:rsid w:val="44AB315B"/>
    <w:rsid w:val="44BA514C"/>
    <w:rsid w:val="44BA525E"/>
    <w:rsid w:val="44CD035F"/>
    <w:rsid w:val="44F70A86"/>
    <w:rsid w:val="450F36EA"/>
    <w:rsid w:val="452A0524"/>
    <w:rsid w:val="460C19D8"/>
    <w:rsid w:val="4619639D"/>
    <w:rsid w:val="462036D5"/>
    <w:rsid w:val="46690BD8"/>
    <w:rsid w:val="467B090B"/>
    <w:rsid w:val="46A14816"/>
    <w:rsid w:val="46CC1925"/>
    <w:rsid w:val="46D83FB0"/>
    <w:rsid w:val="46F33CEF"/>
    <w:rsid w:val="46F96400"/>
    <w:rsid w:val="470514B9"/>
    <w:rsid w:val="470B1C8F"/>
    <w:rsid w:val="47482EE3"/>
    <w:rsid w:val="477041E8"/>
    <w:rsid w:val="47723ABC"/>
    <w:rsid w:val="47D604EF"/>
    <w:rsid w:val="480E7019"/>
    <w:rsid w:val="48155B46"/>
    <w:rsid w:val="482254E2"/>
    <w:rsid w:val="48D569F9"/>
    <w:rsid w:val="48F01B9A"/>
    <w:rsid w:val="490E5A67"/>
    <w:rsid w:val="49667651"/>
    <w:rsid w:val="49CD76D0"/>
    <w:rsid w:val="49D93EB4"/>
    <w:rsid w:val="49F70BF1"/>
    <w:rsid w:val="4A2B43F6"/>
    <w:rsid w:val="4A436929"/>
    <w:rsid w:val="4A745D9D"/>
    <w:rsid w:val="4A7A4BEA"/>
    <w:rsid w:val="4A886551"/>
    <w:rsid w:val="4ABD14F2"/>
    <w:rsid w:val="4AE253FD"/>
    <w:rsid w:val="4B427C4A"/>
    <w:rsid w:val="4B4340EE"/>
    <w:rsid w:val="4B647BC0"/>
    <w:rsid w:val="4BCB40E3"/>
    <w:rsid w:val="4C03387D"/>
    <w:rsid w:val="4C0F2222"/>
    <w:rsid w:val="4C107D48"/>
    <w:rsid w:val="4C15710C"/>
    <w:rsid w:val="4C4157E5"/>
    <w:rsid w:val="4C5A027C"/>
    <w:rsid w:val="4CB42DC9"/>
    <w:rsid w:val="4CD46FC7"/>
    <w:rsid w:val="4DB03590"/>
    <w:rsid w:val="4DB37985"/>
    <w:rsid w:val="4DCE3A17"/>
    <w:rsid w:val="4E035DB6"/>
    <w:rsid w:val="4E0F6509"/>
    <w:rsid w:val="4E3335A3"/>
    <w:rsid w:val="4E676345"/>
    <w:rsid w:val="4E8D5680"/>
    <w:rsid w:val="4EA50C1B"/>
    <w:rsid w:val="4EC8490A"/>
    <w:rsid w:val="4F2C30EB"/>
    <w:rsid w:val="4F895E47"/>
    <w:rsid w:val="4F8D4667"/>
    <w:rsid w:val="500100D3"/>
    <w:rsid w:val="50131BB5"/>
    <w:rsid w:val="503D507A"/>
    <w:rsid w:val="505E72D4"/>
    <w:rsid w:val="5079410E"/>
    <w:rsid w:val="50850D04"/>
    <w:rsid w:val="50A62A29"/>
    <w:rsid w:val="512F0C70"/>
    <w:rsid w:val="513F5357"/>
    <w:rsid w:val="51937451"/>
    <w:rsid w:val="51E23F34"/>
    <w:rsid w:val="51E249BC"/>
    <w:rsid w:val="51E64497"/>
    <w:rsid w:val="51FA74D0"/>
    <w:rsid w:val="521A722A"/>
    <w:rsid w:val="522639DC"/>
    <w:rsid w:val="523F4EE3"/>
    <w:rsid w:val="5257222D"/>
    <w:rsid w:val="525C5A95"/>
    <w:rsid w:val="529F63EE"/>
    <w:rsid w:val="52AA4A52"/>
    <w:rsid w:val="52AA604F"/>
    <w:rsid w:val="52D65847"/>
    <w:rsid w:val="53927439"/>
    <w:rsid w:val="539F20DD"/>
    <w:rsid w:val="53FC752F"/>
    <w:rsid w:val="54183C3E"/>
    <w:rsid w:val="547701DD"/>
    <w:rsid w:val="548C39A3"/>
    <w:rsid w:val="54A20D14"/>
    <w:rsid w:val="55452810"/>
    <w:rsid w:val="561B17C3"/>
    <w:rsid w:val="56927CD7"/>
    <w:rsid w:val="56B20379"/>
    <w:rsid w:val="56BB4D84"/>
    <w:rsid w:val="56C33BDD"/>
    <w:rsid w:val="56D61851"/>
    <w:rsid w:val="56E04EE6"/>
    <w:rsid w:val="570629C2"/>
    <w:rsid w:val="570F47B6"/>
    <w:rsid w:val="57882E88"/>
    <w:rsid w:val="57B343A9"/>
    <w:rsid w:val="57D84ED0"/>
    <w:rsid w:val="57F64296"/>
    <w:rsid w:val="582C7CB7"/>
    <w:rsid w:val="582F6B90"/>
    <w:rsid w:val="583152CE"/>
    <w:rsid w:val="587578B0"/>
    <w:rsid w:val="588D4BFA"/>
    <w:rsid w:val="589F492D"/>
    <w:rsid w:val="58AC2BA6"/>
    <w:rsid w:val="591F15CA"/>
    <w:rsid w:val="59215342"/>
    <w:rsid w:val="59943D66"/>
    <w:rsid w:val="59A0270B"/>
    <w:rsid w:val="59AD10F9"/>
    <w:rsid w:val="59C503C4"/>
    <w:rsid w:val="59E051FD"/>
    <w:rsid w:val="59E36A9C"/>
    <w:rsid w:val="59E6355E"/>
    <w:rsid w:val="59EF05E3"/>
    <w:rsid w:val="5A3F1F24"/>
    <w:rsid w:val="5ABF3065"/>
    <w:rsid w:val="5B687259"/>
    <w:rsid w:val="5B6F4A8B"/>
    <w:rsid w:val="5B821531"/>
    <w:rsid w:val="5BC90378"/>
    <w:rsid w:val="5BD62414"/>
    <w:rsid w:val="5BE50F40"/>
    <w:rsid w:val="5BFF6039"/>
    <w:rsid w:val="5C084598"/>
    <w:rsid w:val="5C0F1DCA"/>
    <w:rsid w:val="5D331AE8"/>
    <w:rsid w:val="5D423AD9"/>
    <w:rsid w:val="5D76A616"/>
    <w:rsid w:val="5D7F20B9"/>
    <w:rsid w:val="5DA327CA"/>
    <w:rsid w:val="5DA56542"/>
    <w:rsid w:val="5DAC7D0E"/>
    <w:rsid w:val="5DC82124"/>
    <w:rsid w:val="5DE52DE2"/>
    <w:rsid w:val="5E03770C"/>
    <w:rsid w:val="5E2558D5"/>
    <w:rsid w:val="5E290590"/>
    <w:rsid w:val="5E5D506F"/>
    <w:rsid w:val="5E6A32E8"/>
    <w:rsid w:val="5E74216D"/>
    <w:rsid w:val="5E8643AB"/>
    <w:rsid w:val="5EA7453C"/>
    <w:rsid w:val="5EB84053"/>
    <w:rsid w:val="5EC2574A"/>
    <w:rsid w:val="5F16521D"/>
    <w:rsid w:val="5F2C537D"/>
    <w:rsid w:val="5F5875E4"/>
    <w:rsid w:val="5F5D4DF7"/>
    <w:rsid w:val="5F8E5E09"/>
    <w:rsid w:val="5F98B5AF"/>
    <w:rsid w:val="5FF05A6E"/>
    <w:rsid w:val="5FFE8511"/>
    <w:rsid w:val="5FFEACE2"/>
    <w:rsid w:val="601979D8"/>
    <w:rsid w:val="60413203"/>
    <w:rsid w:val="609738F3"/>
    <w:rsid w:val="609D5BF6"/>
    <w:rsid w:val="60B116A2"/>
    <w:rsid w:val="60E81DBB"/>
    <w:rsid w:val="61073070"/>
    <w:rsid w:val="616D146E"/>
    <w:rsid w:val="6170330B"/>
    <w:rsid w:val="61B9080E"/>
    <w:rsid w:val="61DF3FED"/>
    <w:rsid w:val="61F061FA"/>
    <w:rsid w:val="61F23D20"/>
    <w:rsid w:val="61FC4B9F"/>
    <w:rsid w:val="62A96AD4"/>
    <w:rsid w:val="62D5354F"/>
    <w:rsid w:val="634C3904"/>
    <w:rsid w:val="637D3ABD"/>
    <w:rsid w:val="63B76FCF"/>
    <w:rsid w:val="63BC45E5"/>
    <w:rsid w:val="63BD7C36"/>
    <w:rsid w:val="63CE60C7"/>
    <w:rsid w:val="63D336DD"/>
    <w:rsid w:val="63DC6A36"/>
    <w:rsid w:val="63DE27AE"/>
    <w:rsid w:val="642B176B"/>
    <w:rsid w:val="643EE26D"/>
    <w:rsid w:val="648A0240"/>
    <w:rsid w:val="64AA2690"/>
    <w:rsid w:val="656019A0"/>
    <w:rsid w:val="65744A4C"/>
    <w:rsid w:val="65847385"/>
    <w:rsid w:val="65A70771"/>
    <w:rsid w:val="65F242EE"/>
    <w:rsid w:val="661A1A97"/>
    <w:rsid w:val="66507267"/>
    <w:rsid w:val="66611474"/>
    <w:rsid w:val="666D7E19"/>
    <w:rsid w:val="66707909"/>
    <w:rsid w:val="668A4527"/>
    <w:rsid w:val="66AF21DF"/>
    <w:rsid w:val="66E31E89"/>
    <w:rsid w:val="67177D85"/>
    <w:rsid w:val="674C13C9"/>
    <w:rsid w:val="675114E9"/>
    <w:rsid w:val="677376B1"/>
    <w:rsid w:val="678A5829"/>
    <w:rsid w:val="67AF4C50"/>
    <w:rsid w:val="681D13CB"/>
    <w:rsid w:val="68376930"/>
    <w:rsid w:val="68386205"/>
    <w:rsid w:val="68633281"/>
    <w:rsid w:val="687A4A6F"/>
    <w:rsid w:val="687D344E"/>
    <w:rsid w:val="68896A60"/>
    <w:rsid w:val="68921DB9"/>
    <w:rsid w:val="68AF3FB6"/>
    <w:rsid w:val="68F91E38"/>
    <w:rsid w:val="69252C2D"/>
    <w:rsid w:val="695F613F"/>
    <w:rsid w:val="69763488"/>
    <w:rsid w:val="697F233D"/>
    <w:rsid w:val="69907EC9"/>
    <w:rsid w:val="6A682DD1"/>
    <w:rsid w:val="6A8120E5"/>
    <w:rsid w:val="6A8A6E10"/>
    <w:rsid w:val="6AB06526"/>
    <w:rsid w:val="6B19231D"/>
    <w:rsid w:val="6B2018FE"/>
    <w:rsid w:val="6B3158B9"/>
    <w:rsid w:val="6B560E7C"/>
    <w:rsid w:val="6B5B2936"/>
    <w:rsid w:val="6BA02A3F"/>
    <w:rsid w:val="6BA323BA"/>
    <w:rsid w:val="6BC04E8F"/>
    <w:rsid w:val="6BC95AF1"/>
    <w:rsid w:val="6BF95354"/>
    <w:rsid w:val="6C1E5A53"/>
    <w:rsid w:val="6C240F7A"/>
    <w:rsid w:val="6C3A254B"/>
    <w:rsid w:val="6C8163CC"/>
    <w:rsid w:val="6C89376B"/>
    <w:rsid w:val="6CFA4175"/>
    <w:rsid w:val="6D0E5786"/>
    <w:rsid w:val="6D2F7BD6"/>
    <w:rsid w:val="6D7101EF"/>
    <w:rsid w:val="6D7E0B5E"/>
    <w:rsid w:val="6D9F333C"/>
    <w:rsid w:val="6DC20A4A"/>
    <w:rsid w:val="6E8D42C9"/>
    <w:rsid w:val="6F5953DE"/>
    <w:rsid w:val="6F5C41AC"/>
    <w:rsid w:val="6F6B5112"/>
    <w:rsid w:val="6F743FC6"/>
    <w:rsid w:val="6F871F4B"/>
    <w:rsid w:val="6FAF6C78"/>
    <w:rsid w:val="706F162A"/>
    <w:rsid w:val="707149AA"/>
    <w:rsid w:val="70745077"/>
    <w:rsid w:val="707D6EAA"/>
    <w:rsid w:val="70DA60AB"/>
    <w:rsid w:val="716167CC"/>
    <w:rsid w:val="717128A4"/>
    <w:rsid w:val="718A7AD1"/>
    <w:rsid w:val="72190E55"/>
    <w:rsid w:val="72435ED2"/>
    <w:rsid w:val="726354CC"/>
    <w:rsid w:val="72A44BC2"/>
    <w:rsid w:val="72B50B7E"/>
    <w:rsid w:val="72F61637"/>
    <w:rsid w:val="72F86CBC"/>
    <w:rsid w:val="7317C656"/>
    <w:rsid w:val="7329156C"/>
    <w:rsid w:val="734B0ABC"/>
    <w:rsid w:val="734ED73F"/>
    <w:rsid w:val="738B5D82"/>
    <w:rsid w:val="73A226E5"/>
    <w:rsid w:val="73C82B32"/>
    <w:rsid w:val="73D56C31"/>
    <w:rsid w:val="73DB0AB8"/>
    <w:rsid w:val="73EF00BF"/>
    <w:rsid w:val="73F94DAE"/>
    <w:rsid w:val="74220495"/>
    <w:rsid w:val="742C4E6F"/>
    <w:rsid w:val="743511EA"/>
    <w:rsid w:val="745C526A"/>
    <w:rsid w:val="74717A57"/>
    <w:rsid w:val="747D1B6F"/>
    <w:rsid w:val="749E5641"/>
    <w:rsid w:val="74C02C43"/>
    <w:rsid w:val="75073EC6"/>
    <w:rsid w:val="752B3379"/>
    <w:rsid w:val="75501031"/>
    <w:rsid w:val="75556648"/>
    <w:rsid w:val="755E4E52"/>
    <w:rsid w:val="756920F3"/>
    <w:rsid w:val="75821F46"/>
    <w:rsid w:val="758D4034"/>
    <w:rsid w:val="75E43528"/>
    <w:rsid w:val="75FC4D15"/>
    <w:rsid w:val="76271066"/>
    <w:rsid w:val="768014A2"/>
    <w:rsid w:val="769B62DC"/>
    <w:rsid w:val="76B85934"/>
    <w:rsid w:val="76BE5AB5"/>
    <w:rsid w:val="77B43AFA"/>
    <w:rsid w:val="77DB1A01"/>
    <w:rsid w:val="77FD8BE9"/>
    <w:rsid w:val="78000AED"/>
    <w:rsid w:val="78395DAD"/>
    <w:rsid w:val="78535CA3"/>
    <w:rsid w:val="786A689E"/>
    <w:rsid w:val="786F7A21"/>
    <w:rsid w:val="78770683"/>
    <w:rsid w:val="788B475A"/>
    <w:rsid w:val="793D7B1F"/>
    <w:rsid w:val="79876FEC"/>
    <w:rsid w:val="798E037A"/>
    <w:rsid w:val="799314ED"/>
    <w:rsid w:val="79A9BD3F"/>
    <w:rsid w:val="79AC0800"/>
    <w:rsid w:val="7A050765"/>
    <w:rsid w:val="7A081EDB"/>
    <w:rsid w:val="7A2C6C49"/>
    <w:rsid w:val="7A320D06"/>
    <w:rsid w:val="7A37631C"/>
    <w:rsid w:val="7A476B1B"/>
    <w:rsid w:val="7AB45BBF"/>
    <w:rsid w:val="7AE33563"/>
    <w:rsid w:val="7B046B46"/>
    <w:rsid w:val="7B42766E"/>
    <w:rsid w:val="7B5D6256"/>
    <w:rsid w:val="7B776F12"/>
    <w:rsid w:val="7BC6204D"/>
    <w:rsid w:val="7BCD518A"/>
    <w:rsid w:val="7BF87D2D"/>
    <w:rsid w:val="7BFE17E7"/>
    <w:rsid w:val="7BFFFDD0"/>
    <w:rsid w:val="7C336E5F"/>
    <w:rsid w:val="7C8D4919"/>
    <w:rsid w:val="7C947A56"/>
    <w:rsid w:val="7CCD4D16"/>
    <w:rsid w:val="7CF8495E"/>
    <w:rsid w:val="7D7A5F86"/>
    <w:rsid w:val="7D9C58DF"/>
    <w:rsid w:val="7DAC0324"/>
    <w:rsid w:val="7DC46119"/>
    <w:rsid w:val="7DFE68B0"/>
    <w:rsid w:val="7E3F39F1"/>
    <w:rsid w:val="7E4B683A"/>
    <w:rsid w:val="7E5E656D"/>
    <w:rsid w:val="7E8458A8"/>
    <w:rsid w:val="7E8F2BCB"/>
    <w:rsid w:val="7EA67F14"/>
    <w:rsid w:val="7EAB1087"/>
    <w:rsid w:val="7ED9163C"/>
    <w:rsid w:val="7EF3682B"/>
    <w:rsid w:val="7F062761"/>
    <w:rsid w:val="7F1E7AAB"/>
    <w:rsid w:val="7F361298"/>
    <w:rsid w:val="7F37BB4E"/>
    <w:rsid w:val="7F643B5C"/>
    <w:rsid w:val="7F74591C"/>
    <w:rsid w:val="7F9A1827"/>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jc w:val="left"/>
    </w:pPr>
    <w:rPr>
      <w:rFonts w:ascii="宋体" w:hAnsi="宋体" w:cs="宋体"/>
      <w:kern w:val="0"/>
      <w:sz w:val="24"/>
      <w:szCs w:val="24"/>
    </w:r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7"/>
    <w:qFormat/>
    <w:uiPriority w:val="0"/>
    <w:rPr>
      <w:rFonts w:ascii="Times New Roman" w:hAnsi="Times New Roman" w:eastAsia="宋体" w:cs="Times New Roman"/>
      <w:kern w:val="2"/>
      <w:sz w:val="18"/>
      <w:szCs w:val="18"/>
    </w:rPr>
  </w:style>
  <w:style w:type="character" w:customStyle="1" w:styleId="22">
    <w:name w:val="页眉 字符"/>
    <w:basedOn w:val="16"/>
    <w:link w:val="9"/>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32</Pages>
  <Words>13605</Words>
  <Characters>14060</Characters>
  <Lines>58</Lines>
  <Paragraphs>16</Paragraphs>
  <TotalTime>35</TotalTime>
  <ScaleCrop>false</ScaleCrop>
  <LinksUpToDate>false</LinksUpToDate>
  <CharactersWithSpaces>14114</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2025-07-21T10:31:01Z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