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center"/>
        <w:rPr>
          <w:rFonts w:hint="default" w:ascii="Times New Roman" w:hAnsi="Times New Roman" w:eastAsia="华文中宋" w:cs="Times New Roman"/>
          <w:b/>
          <w:kern w:val="0"/>
          <w:sz w:val="52"/>
          <w:szCs w:val="52"/>
          <w:highlight w:val="none"/>
        </w:rPr>
      </w:pPr>
    </w:p>
    <w:p>
      <w:pPr>
        <w:spacing w:line="540" w:lineRule="exact"/>
        <w:rPr>
          <w:rFonts w:hint="default" w:ascii="Times New Roman" w:hAnsi="Times New Roman" w:eastAsia="华文中宋" w:cs="Times New Roman"/>
          <w:b/>
          <w:kern w:val="0"/>
          <w:sz w:val="52"/>
          <w:szCs w:val="52"/>
          <w:highlight w:val="none"/>
        </w:rPr>
      </w:pPr>
    </w:p>
    <w:p>
      <w:pPr>
        <w:spacing w:line="540" w:lineRule="exact"/>
        <w:jc w:val="center"/>
        <w:rPr>
          <w:rFonts w:hint="default" w:ascii="Times New Roman" w:hAnsi="Times New Roman" w:eastAsia="华文中宋" w:cs="Times New Roman"/>
          <w:b/>
          <w:kern w:val="0"/>
          <w:sz w:val="52"/>
          <w:szCs w:val="52"/>
          <w:highlight w:val="none"/>
        </w:rPr>
      </w:pPr>
    </w:p>
    <w:p>
      <w:pPr>
        <w:spacing w:line="540" w:lineRule="exact"/>
        <w:jc w:val="center"/>
        <w:rPr>
          <w:rFonts w:hint="default" w:ascii="Times New Roman" w:hAnsi="Times New Roman" w:eastAsia="华文中宋" w:cs="Times New Roman"/>
          <w:b/>
          <w:kern w:val="0"/>
          <w:sz w:val="52"/>
          <w:szCs w:val="52"/>
          <w:highlight w:val="none"/>
        </w:rPr>
      </w:pPr>
    </w:p>
    <w:p>
      <w:pPr>
        <w:spacing w:line="540" w:lineRule="exact"/>
        <w:jc w:val="center"/>
        <w:rPr>
          <w:rFonts w:hint="eastAsia" w:ascii="方正小标宋简体" w:hAnsi="方正小标宋简体" w:eastAsia="方正小标宋简体" w:cs="方正小标宋简体"/>
          <w:kern w:val="0"/>
          <w:sz w:val="44"/>
          <w:szCs w:val="44"/>
          <w:highlight w:val="none"/>
        </w:rPr>
      </w:pPr>
      <w:r>
        <w:rPr>
          <w:rFonts w:hint="eastAsia" w:ascii="方正小标宋简体" w:hAnsi="方正小标宋简体" w:eastAsia="方正小标宋简体" w:cs="方正小标宋简体"/>
          <w:kern w:val="0"/>
          <w:sz w:val="44"/>
          <w:szCs w:val="44"/>
          <w:highlight w:val="none"/>
          <w:lang w:val="en-US" w:eastAsia="zh-CN"/>
        </w:rPr>
        <w:t>伊犁州特克斯县2023年燃气老化更新改造建设</w:t>
      </w:r>
      <w:r>
        <w:rPr>
          <w:rFonts w:hint="eastAsia" w:ascii="方正小标宋简体" w:hAnsi="方正小标宋简体" w:eastAsia="方正小标宋简体" w:cs="方正小标宋简体"/>
          <w:kern w:val="0"/>
          <w:sz w:val="44"/>
          <w:szCs w:val="44"/>
          <w:highlight w:val="none"/>
        </w:rPr>
        <w:t>项目支出绩效评价报告</w:t>
      </w:r>
    </w:p>
    <w:p>
      <w:pPr>
        <w:spacing w:line="540" w:lineRule="exact"/>
        <w:jc w:val="center"/>
        <w:rPr>
          <w:rFonts w:hint="default" w:ascii="Times New Roman" w:hAnsi="Times New Roman" w:eastAsia="华文中宋" w:cs="Times New Roman"/>
          <w:b/>
          <w:kern w:val="0"/>
          <w:sz w:val="52"/>
          <w:szCs w:val="52"/>
          <w:highlight w:val="none"/>
        </w:rPr>
      </w:pPr>
    </w:p>
    <w:p>
      <w:pPr>
        <w:spacing w:line="540" w:lineRule="exact"/>
        <w:jc w:val="center"/>
        <w:rPr>
          <w:rFonts w:hint="default" w:ascii="Times New Roman" w:hAnsi="Times New Roman" w:eastAsia="仿宋_GB2312" w:cs="Times New Roman"/>
          <w:kern w:val="0"/>
          <w:sz w:val="32"/>
          <w:szCs w:val="32"/>
          <w:highlight w:val="none"/>
        </w:rPr>
      </w:pPr>
      <w:r>
        <w:rPr>
          <w:rFonts w:hint="default" w:ascii="Times New Roman" w:hAnsi="Times New Roman" w:eastAsia="仿宋_GB2312" w:cs="Times New Roman"/>
          <w:kern w:val="0"/>
          <w:sz w:val="32"/>
          <w:szCs w:val="32"/>
          <w:highlight w:val="none"/>
        </w:rPr>
        <w:t>（202</w:t>
      </w:r>
      <w:r>
        <w:rPr>
          <w:rFonts w:hint="default" w:ascii="Times New Roman" w:hAnsi="Times New Roman" w:eastAsia="仿宋_GB2312" w:cs="Times New Roman"/>
          <w:kern w:val="0"/>
          <w:sz w:val="32"/>
          <w:szCs w:val="32"/>
          <w:highlight w:val="none"/>
          <w:lang w:val="en-US" w:eastAsia="zh-CN"/>
        </w:rPr>
        <w:t>4</w:t>
      </w:r>
      <w:r>
        <w:rPr>
          <w:rFonts w:hint="default" w:ascii="Times New Roman" w:hAnsi="Times New Roman" w:eastAsia="仿宋_GB2312" w:cs="Times New Roman"/>
          <w:kern w:val="0"/>
          <w:sz w:val="32"/>
          <w:szCs w:val="32"/>
          <w:highlight w:val="none"/>
        </w:rPr>
        <w:t>年度）</w:t>
      </w:r>
    </w:p>
    <w:p>
      <w:pPr>
        <w:spacing w:line="540" w:lineRule="exact"/>
        <w:jc w:val="center"/>
        <w:rPr>
          <w:rFonts w:hint="default" w:ascii="Times New Roman" w:hAnsi="Times New Roman" w:eastAsia="仿宋_GB2312" w:cs="Times New Roman"/>
          <w:kern w:val="0"/>
          <w:sz w:val="32"/>
          <w:szCs w:val="32"/>
          <w:highlight w:val="none"/>
        </w:rPr>
      </w:pPr>
    </w:p>
    <w:p>
      <w:pPr>
        <w:spacing w:line="540" w:lineRule="exact"/>
        <w:jc w:val="center"/>
        <w:rPr>
          <w:rFonts w:hint="default" w:ascii="Times New Roman" w:hAnsi="Times New Roman" w:eastAsia="仿宋_GB2312" w:cs="Times New Roman"/>
          <w:kern w:val="0"/>
          <w:sz w:val="32"/>
          <w:szCs w:val="32"/>
          <w:highlight w:val="none"/>
        </w:rPr>
      </w:pPr>
    </w:p>
    <w:p>
      <w:pPr>
        <w:spacing w:line="540" w:lineRule="exact"/>
        <w:jc w:val="center"/>
        <w:rPr>
          <w:rFonts w:hint="default" w:ascii="Times New Roman" w:hAnsi="Times New Roman" w:eastAsia="仿宋_GB2312" w:cs="Times New Roman"/>
          <w:kern w:val="0"/>
          <w:sz w:val="32"/>
          <w:szCs w:val="32"/>
          <w:highlight w:val="none"/>
        </w:rPr>
      </w:pPr>
    </w:p>
    <w:p>
      <w:pPr>
        <w:pStyle w:val="10"/>
        <w:rPr>
          <w:rFonts w:hint="default" w:ascii="Times New Roman" w:hAnsi="Times New Roman" w:cs="Times New Roman"/>
          <w:sz w:val="32"/>
          <w:szCs w:val="32"/>
          <w:highlight w:val="none"/>
        </w:rPr>
      </w:pPr>
    </w:p>
    <w:p>
      <w:pPr>
        <w:spacing w:line="540" w:lineRule="exact"/>
        <w:jc w:val="center"/>
        <w:rPr>
          <w:rFonts w:hint="default" w:ascii="Times New Roman" w:hAnsi="Times New Roman" w:eastAsia="仿宋_GB2312" w:cs="Times New Roman"/>
          <w:kern w:val="0"/>
          <w:sz w:val="32"/>
          <w:szCs w:val="32"/>
          <w:highlight w:val="none"/>
        </w:rPr>
      </w:pPr>
    </w:p>
    <w:p>
      <w:pPr>
        <w:spacing w:line="540" w:lineRule="exact"/>
        <w:rPr>
          <w:rFonts w:hint="default" w:ascii="Times New Roman" w:hAnsi="Times New Roman" w:eastAsia="仿宋_GB2312" w:cs="Times New Roman"/>
          <w:kern w:val="0"/>
          <w:sz w:val="32"/>
          <w:szCs w:val="32"/>
          <w:highlight w:val="none"/>
        </w:rPr>
      </w:pPr>
    </w:p>
    <w:p>
      <w:pPr>
        <w:keepNext w:val="0"/>
        <w:keepLines w:val="0"/>
        <w:pageBreakBefore w:val="0"/>
        <w:widowControl w:val="0"/>
        <w:kinsoku/>
        <w:wordWrap/>
        <w:overflowPunct/>
        <w:topLinePunct w:val="0"/>
        <w:autoSpaceDE/>
        <w:autoSpaceDN/>
        <w:bidi w:val="0"/>
        <w:adjustRightInd/>
        <w:snapToGrid/>
        <w:spacing w:line="700" w:lineRule="exact"/>
        <w:ind w:left="2238" w:leftChars="304" w:hanging="1600" w:hangingChars="500"/>
        <w:jc w:val="left"/>
        <w:textAlignment w:val="auto"/>
        <w:rPr>
          <w:rFonts w:hint="default" w:ascii="Times New Roman" w:hAnsi="Times New Roman" w:eastAsia="仿宋_GB2312" w:cs="Times New Roman"/>
          <w:kern w:val="0"/>
          <w:sz w:val="32"/>
          <w:szCs w:val="32"/>
          <w:highlight w:val="none"/>
        </w:rPr>
      </w:pPr>
      <w:r>
        <w:rPr>
          <w:rFonts w:hint="default" w:ascii="Times New Roman" w:hAnsi="Times New Roman" w:eastAsia="仿宋_GB2312" w:cs="Times New Roman"/>
          <w:kern w:val="0"/>
          <w:sz w:val="32"/>
          <w:szCs w:val="32"/>
          <w:highlight w:val="none"/>
        </w:rPr>
        <w:t>项目名称：伊犁州特克斯县2023年燃气老化更新改造建设项目</w:t>
      </w:r>
    </w:p>
    <w:p>
      <w:pPr>
        <w:keepNext w:val="0"/>
        <w:keepLines w:val="0"/>
        <w:pageBreakBefore w:val="0"/>
        <w:widowControl w:val="0"/>
        <w:kinsoku/>
        <w:wordWrap/>
        <w:overflowPunct/>
        <w:topLinePunct w:val="0"/>
        <w:autoSpaceDE/>
        <w:autoSpaceDN/>
        <w:bidi w:val="0"/>
        <w:adjustRightInd/>
        <w:snapToGrid/>
        <w:spacing w:line="700" w:lineRule="exact"/>
        <w:ind w:firstLine="640" w:firstLineChars="200"/>
        <w:jc w:val="left"/>
        <w:textAlignment w:val="auto"/>
        <w:rPr>
          <w:rFonts w:hint="default" w:ascii="Times New Roman" w:hAnsi="Times New Roman" w:eastAsia="仿宋_GB2312" w:cs="Times New Roman"/>
          <w:kern w:val="0"/>
          <w:sz w:val="32"/>
          <w:szCs w:val="32"/>
          <w:highlight w:val="none"/>
          <w:lang w:val="en-US" w:eastAsia="zh-CN"/>
        </w:rPr>
      </w:pPr>
      <w:r>
        <w:rPr>
          <w:rFonts w:hint="default" w:ascii="Times New Roman" w:hAnsi="Times New Roman" w:eastAsia="仿宋_GB2312" w:cs="Times New Roman"/>
          <w:kern w:val="0"/>
          <w:sz w:val="32"/>
          <w:szCs w:val="32"/>
          <w:highlight w:val="none"/>
        </w:rPr>
        <w:t>实施单位（公章）：</w:t>
      </w:r>
      <w:r>
        <w:rPr>
          <w:rFonts w:hint="eastAsia" w:eastAsia="仿宋_GB2312" w:cs="Times New Roman"/>
          <w:kern w:val="0"/>
          <w:sz w:val="32"/>
          <w:szCs w:val="32"/>
          <w:highlight w:val="none"/>
          <w:lang w:val="en-US" w:eastAsia="zh-CN"/>
        </w:rPr>
        <w:t>特克斯县住房和城乡建设局</w:t>
      </w:r>
    </w:p>
    <w:p>
      <w:pPr>
        <w:keepNext w:val="0"/>
        <w:keepLines w:val="0"/>
        <w:pageBreakBefore w:val="0"/>
        <w:widowControl w:val="0"/>
        <w:kinsoku/>
        <w:wordWrap/>
        <w:overflowPunct/>
        <w:topLinePunct w:val="0"/>
        <w:autoSpaceDE/>
        <w:autoSpaceDN/>
        <w:bidi w:val="0"/>
        <w:adjustRightInd/>
        <w:snapToGrid/>
        <w:spacing w:line="700" w:lineRule="exact"/>
        <w:ind w:firstLine="640" w:firstLineChars="200"/>
        <w:jc w:val="left"/>
        <w:textAlignment w:val="auto"/>
        <w:rPr>
          <w:rFonts w:hint="default" w:ascii="Times New Roman" w:hAnsi="Times New Roman" w:eastAsia="仿宋_GB2312" w:cs="Times New Roman"/>
          <w:kern w:val="0"/>
          <w:sz w:val="32"/>
          <w:szCs w:val="32"/>
          <w:highlight w:val="none"/>
        </w:rPr>
      </w:pPr>
      <w:r>
        <w:rPr>
          <w:rFonts w:hint="default" w:ascii="Times New Roman" w:hAnsi="Times New Roman" w:eastAsia="仿宋_GB2312" w:cs="Times New Roman"/>
          <w:kern w:val="0"/>
          <w:sz w:val="32"/>
          <w:szCs w:val="32"/>
          <w:highlight w:val="none"/>
        </w:rPr>
        <w:t>主管部门（公章）：特克斯县住房和城乡建设局</w:t>
      </w:r>
    </w:p>
    <w:p>
      <w:pPr>
        <w:keepNext w:val="0"/>
        <w:keepLines w:val="0"/>
        <w:pageBreakBefore w:val="0"/>
        <w:widowControl w:val="0"/>
        <w:kinsoku/>
        <w:wordWrap/>
        <w:overflowPunct/>
        <w:topLinePunct w:val="0"/>
        <w:autoSpaceDE/>
        <w:autoSpaceDN/>
        <w:bidi w:val="0"/>
        <w:adjustRightInd/>
        <w:snapToGrid/>
        <w:spacing w:line="700" w:lineRule="exact"/>
        <w:ind w:firstLine="640" w:firstLineChars="200"/>
        <w:jc w:val="left"/>
        <w:textAlignment w:val="auto"/>
        <w:rPr>
          <w:rFonts w:hint="default" w:ascii="Times New Roman" w:hAnsi="Times New Roman" w:eastAsia="仿宋_GB2312" w:cs="Times New Roman"/>
          <w:kern w:val="0"/>
          <w:sz w:val="32"/>
          <w:szCs w:val="32"/>
          <w:highlight w:val="none"/>
          <w:lang w:val="en-US" w:eastAsia="zh-CN"/>
        </w:rPr>
      </w:pPr>
      <w:r>
        <w:rPr>
          <w:rFonts w:hint="default" w:ascii="Times New Roman" w:hAnsi="Times New Roman" w:eastAsia="仿宋_GB2312" w:cs="Times New Roman"/>
          <w:kern w:val="0"/>
          <w:sz w:val="32"/>
          <w:szCs w:val="32"/>
          <w:highlight w:val="none"/>
        </w:rPr>
        <w:t>项目负责人（签章）：</w:t>
      </w:r>
      <w:r>
        <w:rPr>
          <w:rFonts w:hint="eastAsia" w:eastAsia="仿宋_GB2312" w:cs="Times New Roman"/>
          <w:kern w:val="0"/>
          <w:sz w:val="32"/>
          <w:szCs w:val="32"/>
          <w:highlight w:val="none"/>
          <w:lang w:val="en-US" w:eastAsia="zh-CN"/>
        </w:rPr>
        <w:t>刘森彬</w:t>
      </w:r>
    </w:p>
    <w:p>
      <w:pPr>
        <w:keepNext w:val="0"/>
        <w:keepLines w:val="0"/>
        <w:pageBreakBefore w:val="0"/>
        <w:widowControl w:val="0"/>
        <w:kinsoku/>
        <w:wordWrap/>
        <w:overflowPunct/>
        <w:topLinePunct w:val="0"/>
        <w:autoSpaceDE/>
        <w:autoSpaceDN/>
        <w:bidi w:val="0"/>
        <w:adjustRightInd/>
        <w:snapToGrid/>
        <w:spacing w:line="700" w:lineRule="exact"/>
        <w:ind w:firstLine="640" w:firstLineChars="200"/>
        <w:jc w:val="left"/>
        <w:textAlignment w:val="auto"/>
        <w:rPr>
          <w:rFonts w:hint="default" w:ascii="Times New Roman" w:hAnsi="Times New Roman" w:eastAsia="黑体" w:cs="Times New Roman"/>
          <w:bCs/>
          <w:sz w:val="32"/>
          <w:szCs w:val="32"/>
          <w:highlight w:val="none"/>
        </w:rPr>
        <w:sectPr>
          <w:pgSz w:w="11906" w:h="16838"/>
          <w:pgMar w:top="2098" w:right="1531" w:bottom="1984" w:left="1531" w:header="851" w:footer="992" w:gutter="0"/>
          <w:cols w:space="425" w:num="1"/>
          <w:docGrid w:type="lines" w:linePitch="312" w:charSpace="0"/>
        </w:sectPr>
      </w:pPr>
      <w:r>
        <w:rPr>
          <w:rFonts w:hint="default" w:ascii="Times New Roman" w:hAnsi="Times New Roman" w:eastAsia="仿宋_GB2312" w:cs="Times New Roman"/>
          <w:kern w:val="0"/>
          <w:sz w:val="32"/>
          <w:szCs w:val="32"/>
          <w:highlight w:val="none"/>
        </w:rPr>
        <w:t>填报时间：</w:t>
      </w:r>
      <w:r>
        <w:rPr>
          <w:rFonts w:hint="eastAsia" w:eastAsia="仿宋_GB2312" w:cs="Times New Roman"/>
          <w:kern w:val="0"/>
          <w:sz w:val="32"/>
          <w:szCs w:val="32"/>
          <w:highlight w:val="none"/>
          <w:lang w:val="en-US" w:eastAsia="zh-CN"/>
        </w:rPr>
        <w:t>2025</w:t>
      </w:r>
      <w:r>
        <w:rPr>
          <w:rFonts w:hint="default" w:ascii="Times New Roman" w:hAnsi="Times New Roman" w:eastAsia="仿宋_GB2312" w:cs="Times New Roman"/>
          <w:kern w:val="0"/>
          <w:sz w:val="32"/>
          <w:szCs w:val="32"/>
          <w:highlight w:val="none"/>
        </w:rPr>
        <w:t>年</w:t>
      </w:r>
      <w:r>
        <w:rPr>
          <w:rFonts w:hint="eastAsia" w:eastAsia="仿宋_GB2312" w:cs="Times New Roman"/>
          <w:kern w:val="0"/>
          <w:sz w:val="32"/>
          <w:szCs w:val="32"/>
          <w:highlight w:val="none"/>
          <w:lang w:val="en-US" w:eastAsia="zh-CN"/>
        </w:rPr>
        <w:t>5</w:t>
      </w:r>
      <w:r>
        <w:rPr>
          <w:rFonts w:hint="default" w:ascii="Times New Roman" w:hAnsi="Times New Roman" w:eastAsia="仿宋_GB2312" w:cs="Times New Roman"/>
          <w:kern w:val="0"/>
          <w:sz w:val="32"/>
          <w:szCs w:val="32"/>
          <w:highlight w:val="none"/>
        </w:rPr>
        <w:t>月</w:t>
      </w:r>
      <w:r>
        <w:rPr>
          <w:rFonts w:hint="eastAsia" w:eastAsia="仿宋_GB2312" w:cs="Times New Roman"/>
          <w:kern w:val="0"/>
          <w:sz w:val="32"/>
          <w:szCs w:val="32"/>
          <w:highlight w:val="none"/>
          <w:lang w:val="en-US" w:eastAsia="zh-CN"/>
        </w:rPr>
        <w:t>20</w:t>
      </w:r>
      <w:r>
        <w:rPr>
          <w:rFonts w:hint="default" w:ascii="Times New Roman" w:hAnsi="Times New Roman" w:eastAsia="仿宋_GB2312" w:cs="Times New Roman"/>
          <w:kern w:val="0"/>
          <w:sz w:val="32"/>
          <w:szCs w:val="32"/>
          <w:highlight w:val="none"/>
        </w:rPr>
        <w:t>日</w:t>
      </w:r>
    </w:p>
    <w:p>
      <w:pPr>
        <w:spacing w:line="560" w:lineRule="exact"/>
        <w:ind w:firstLine="640" w:firstLineChars="200"/>
        <w:rPr>
          <w:rFonts w:hint="default" w:ascii="Times New Roman" w:hAnsi="Times New Roman" w:eastAsia="黑体" w:cs="Times New Roman"/>
          <w:bCs/>
          <w:sz w:val="32"/>
          <w:szCs w:val="32"/>
          <w:highlight w:val="none"/>
        </w:rPr>
      </w:pPr>
      <w:r>
        <w:rPr>
          <w:rFonts w:hint="default" w:ascii="Times New Roman" w:hAnsi="Times New Roman" w:eastAsia="黑体" w:cs="Times New Roman"/>
          <w:bCs/>
          <w:sz w:val="32"/>
          <w:szCs w:val="32"/>
          <w:highlight w:val="none"/>
        </w:rPr>
        <w:t>一、基本情况</w:t>
      </w:r>
    </w:p>
    <w:p>
      <w:pPr>
        <w:spacing w:line="560" w:lineRule="exact"/>
        <w:ind w:firstLine="643" w:firstLineChars="200"/>
        <w:rPr>
          <w:rFonts w:hint="default" w:ascii="Times New Roman" w:hAnsi="Times New Roman" w:eastAsia="楷体_GB2312" w:cs="Times New Roman"/>
          <w:b/>
          <w:bCs/>
          <w:sz w:val="32"/>
          <w:szCs w:val="32"/>
          <w:highlight w:val="none"/>
        </w:rPr>
      </w:pPr>
      <w:r>
        <w:rPr>
          <w:rFonts w:hint="default" w:ascii="Times New Roman" w:hAnsi="Times New Roman" w:eastAsia="楷体_GB2312" w:cs="Times New Roman"/>
          <w:b/>
          <w:bCs/>
          <w:sz w:val="32"/>
          <w:szCs w:val="32"/>
          <w:highlight w:val="none"/>
        </w:rPr>
        <w:t>（一）项目概况</w:t>
      </w:r>
    </w:p>
    <w:p>
      <w:pPr>
        <w:spacing w:line="560" w:lineRule="exact"/>
        <w:ind w:firstLine="643" w:firstLineChars="200"/>
        <w:rPr>
          <w:rFonts w:hint="default" w:ascii="Times New Roman" w:hAnsi="Times New Roman" w:eastAsia="仿宋_GB2312" w:cs="Times New Roman"/>
          <w:b/>
          <w:bCs/>
          <w:sz w:val="32"/>
          <w:szCs w:val="32"/>
          <w:highlight w:val="none"/>
        </w:rPr>
      </w:pPr>
      <w:r>
        <w:rPr>
          <w:rFonts w:hint="default" w:ascii="Times New Roman" w:hAnsi="Times New Roman" w:eastAsia="仿宋_GB2312" w:cs="Times New Roman"/>
          <w:b/>
          <w:bCs/>
          <w:sz w:val="32"/>
          <w:szCs w:val="32"/>
          <w:highlight w:val="none"/>
        </w:rPr>
        <w:t>1</w:t>
      </w:r>
      <w:r>
        <w:rPr>
          <w:rFonts w:hint="default" w:ascii="Times New Roman" w:hAnsi="Times New Roman" w:eastAsia="仿宋_GB2312" w:cs="Times New Roman"/>
          <w:b/>
          <w:bCs/>
          <w:sz w:val="32"/>
          <w:szCs w:val="32"/>
          <w:highlight w:val="none"/>
          <w:lang w:val="en-US" w:eastAsia="zh-CN"/>
        </w:rPr>
        <w:t>.</w:t>
      </w:r>
      <w:r>
        <w:rPr>
          <w:rFonts w:hint="default" w:ascii="Times New Roman" w:hAnsi="Times New Roman" w:eastAsia="仿宋_GB2312" w:cs="Times New Roman"/>
          <w:b/>
          <w:bCs/>
          <w:sz w:val="32"/>
          <w:szCs w:val="32"/>
          <w:highlight w:val="none"/>
        </w:rPr>
        <w:t>项目背景</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val="en-US" w:eastAsia="zh-CN"/>
        </w:rPr>
      </w:pPr>
      <w:r>
        <w:rPr>
          <w:rFonts w:hint="eastAsia" w:ascii="Times New Roman" w:hAnsi="Times New Roman" w:eastAsia="仿宋_GB2312" w:cs="Times New Roman"/>
          <w:sz w:val="32"/>
          <w:szCs w:val="32"/>
          <w:highlight w:val="none"/>
          <w:lang w:val="en-US" w:eastAsia="zh-CN"/>
        </w:rPr>
        <w:t>根据特克斯县总体规划及城区发展要求，特克斯县急需扩大城区 规模来适应日益增长的社会经济发展。城市天然气的使用是现代城市居民生活质量提高的重要标志之一，将一改燃煤和罐装液化气燃料的使用弊端，使居民家居生活变得轻松便捷，使城市燃料运输量大大减少，同时也为城市集中供热、供冷等的发展创造了良好条件，因此，发展天然气将大大加快城市现代化的进程。目前特克斯县燃气设施还不完备，难以满足民众的生活所需。正是基于以上背景下，提出了本项目“伊犁州特克斯县燃气设施建设项目”，项目的建设有利于提高当地民众生活条件，改善生活环境，推动经济结构调整和发展方式转变，拉动投资和消费增长，扩大就业，改善投资环境，增强城镇综合承载能力，提高城镇运行效率，对全面建设小康具有重要的现实意义。项目建设是促进特克斯县区域经济发展的需要</w:t>
      </w:r>
      <w:r>
        <w:rPr>
          <w:rFonts w:hint="eastAsia" w:eastAsia="仿宋_GB2312" w:cs="Times New Roman"/>
          <w:sz w:val="32"/>
          <w:szCs w:val="32"/>
          <w:highlight w:val="none"/>
          <w:lang w:val="en-US" w:eastAsia="zh-CN"/>
        </w:rPr>
        <w:t>，是改善投资环境，加快工业化和城镇化进程的需要，项目实施是扩大开放、招商引资的需要，是完善城镇基础设施，实现特克斯县发展战略的需要。</w:t>
      </w:r>
    </w:p>
    <w:p>
      <w:pPr>
        <w:pStyle w:val="10"/>
        <w:numPr>
          <w:ilvl w:val="0"/>
          <w:numId w:val="0"/>
        </w:numPr>
        <w:spacing w:before="0" w:after="0" w:line="560" w:lineRule="exact"/>
        <w:ind w:firstLine="643" w:firstLineChars="200"/>
        <w:jc w:val="both"/>
        <w:rPr>
          <w:rFonts w:hint="default" w:ascii="Times New Roman" w:hAnsi="Times New Roman" w:eastAsia="仿宋_GB2312" w:cs="Times New Roman"/>
          <w:kern w:val="2"/>
          <w:highlight w:val="none"/>
        </w:rPr>
      </w:pPr>
      <w:r>
        <w:rPr>
          <w:rFonts w:hint="default" w:ascii="Times New Roman" w:hAnsi="Times New Roman" w:eastAsia="仿宋_GB2312" w:cs="Times New Roman"/>
          <w:kern w:val="2"/>
          <w:highlight w:val="none"/>
          <w:lang w:val="en-US" w:eastAsia="zh-CN"/>
        </w:rPr>
        <w:t>2.</w:t>
      </w:r>
      <w:r>
        <w:rPr>
          <w:rFonts w:hint="default" w:ascii="Times New Roman" w:hAnsi="Times New Roman" w:eastAsia="仿宋_GB2312" w:cs="Times New Roman"/>
          <w:kern w:val="2"/>
          <w:highlight w:val="none"/>
        </w:rPr>
        <w:t>项目主要内容：</w:t>
      </w:r>
    </w:p>
    <w:p>
      <w:pPr>
        <w:spacing w:line="560" w:lineRule="exact"/>
        <w:ind w:firstLine="640" w:firstLineChars="200"/>
        <w:rPr>
          <w:rFonts w:hint="default" w:ascii="Times New Roman" w:hAnsi="Times New Roman" w:eastAsia="黑体" w:cs="Times New Roman"/>
          <w:highlight w:val="none"/>
          <w:lang w:eastAsia="zh-CN"/>
        </w:rPr>
      </w:pPr>
      <w:r>
        <w:rPr>
          <w:rFonts w:hint="default" w:ascii="Times New Roman" w:hAnsi="Times New Roman" w:eastAsia="仿宋_GB2312" w:cs="Times New Roman"/>
          <w:sz w:val="32"/>
          <w:szCs w:val="32"/>
          <w:highlight w:val="none"/>
          <w:lang w:val="en-US" w:eastAsia="zh-CN"/>
        </w:rPr>
        <w:t>项目主要内容：</w:t>
      </w:r>
      <w:r>
        <w:rPr>
          <w:rFonts w:hint="eastAsia" w:ascii="Times New Roman" w:hAnsi="Times New Roman" w:eastAsia="仿宋_GB2312" w:cs="Times New Roman"/>
          <w:sz w:val="32"/>
          <w:szCs w:val="32"/>
          <w:highlight w:val="none"/>
          <w:lang w:val="en-US" w:eastAsia="zh-CN"/>
        </w:rPr>
        <w:t xml:space="preserve">改造县城内燃气老管网约 </w:t>
      </w:r>
      <w:r>
        <w:rPr>
          <w:rFonts w:hint="default" w:ascii="Times New Roman" w:hAnsi="Times New Roman" w:eastAsia="仿宋_GB2312" w:cs="Times New Roman"/>
          <w:sz w:val="32"/>
          <w:szCs w:val="32"/>
          <w:highlight w:val="none"/>
          <w:lang w:val="en-US" w:eastAsia="zh-CN"/>
        </w:rPr>
        <w:t xml:space="preserve">9000 </w:t>
      </w:r>
      <w:r>
        <w:rPr>
          <w:rFonts w:hint="eastAsia" w:ascii="Times New Roman" w:hAnsi="Times New Roman" w:eastAsia="仿宋_GB2312" w:cs="Times New Roman"/>
          <w:sz w:val="32"/>
          <w:szCs w:val="32"/>
          <w:highlight w:val="none"/>
          <w:lang w:val="en-US" w:eastAsia="zh-CN"/>
        </w:rPr>
        <w:t xml:space="preserve">米、更换入户橡胶软管约 </w:t>
      </w:r>
      <w:r>
        <w:rPr>
          <w:rFonts w:hint="default" w:ascii="Times New Roman" w:hAnsi="Times New Roman" w:eastAsia="仿宋_GB2312" w:cs="Times New Roman"/>
          <w:sz w:val="32"/>
          <w:szCs w:val="32"/>
          <w:highlight w:val="none"/>
          <w:lang w:val="en-US" w:eastAsia="zh-CN"/>
        </w:rPr>
        <w:t>16664</w:t>
      </w:r>
      <w:r>
        <w:rPr>
          <w:rFonts w:hint="eastAsia" w:ascii="Times New Roman" w:hAnsi="Times New Roman" w:eastAsia="仿宋_GB2312" w:cs="Times New Roman"/>
          <w:sz w:val="32"/>
          <w:szCs w:val="32"/>
          <w:highlight w:val="none"/>
          <w:lang w:val="en-US" w:eastAsia="zh-CN"/>
        </w:rPr>
        <w:t xml:space="preserve">米，排水管网 </w:t>
      </w:r>
      <w:r>
        <w:rPr>
          <w:rFonts w:hint="default" w:ascii="Times New Roman" w:hAnsi="Times New Roman" w:eastAsia="仿宋_GB2312" w:cs="Times New Roman"/>
          <w:sz w:val="32"/>
          <w:szCs w:val="32"/>
          <w:highlight w:val="none"/>
          <w:lang w:val="en-US" w:eastAsia="zh-CN"/>
        </w:rPr>
        <w:t xml:space="preserve">12596 </w:t>
      </w:r>
      <w:r>
        <w:rPr>
          <w:rFonts w:hint="eastAsia" w:ascii="Times New Roman" w:hAnsi="Times New Roman" w:eastAsia="仿宋_GB2312" w:cs="Times New Roman"/>
          <w:sz w:val="32"/>
          <w:szCs w:val="32"/>
          <w:highlight w:val="none"/>
          <w:lang w:val="en-US" w:eastAsia="zh-CN"/>
        </w:rPr>
        <w:t xml:space="preserve">米、供水管网 </w:t>
      </w:r>
      <w:r>
        <w:rPr>
          <w:rFonts w:hint="default" w:ascii="Times New Roman" w:hAnsi="Times New Roman" w:eastAsia="仿宋_GB2312" w:cs="Times New Roman"/>
          <w:sz w:val="32"/>
          <w:szCs w:val="32"/>
          <w:highlight w:val="none"/>
          <w:lang w:val="en-US" w:eastAsia="zh-CN"/>
        </w:rPr>
        <w:t xml:space="preserve">12000 </w:t>
      </w:r>
      <w:r>
        <w:rPr>
          <w:rFonts w:hint="eastAsia" w:ascii="Times New Roman" w:hAnsi="Times New Roman" w:eastAsia="仿宋_GB2312" w:cs="Times New Roman"/>
          <w:sz w:val="32"/>
          <w:szCs w:val="32"/>
          <w:highlight w:val="none"/>
          <w:lang w:val="en-US" w:eastAsia="zh-CN"/>
        </w:rPr>
        <w:t>米，阀井远传报警装置、燃气泄漏安全报警装置及配套附属设施建设。</w:t>
      </w:r>
    </w:p>
    <w:p>
      <w:pPr>
        <w:spacing w:line="560" w:lineRule="exact"/>
        <w:ind w:firstLine="640" w:firstLineChars="200"/>
        <w:rPr>
          <w:rFonts w:hint="default" w:ascii="Times New Roman" w:hAnsi="Times New Roman" w:cs="Times New Roman"/>
          <w:highlight w:val="none"/>
        </w:rPr>
      </w:pPr>
      <w:r>
        <w:rPr>
          <w:rFonts w:hint="default" w:ascii="Times New Roman" w:hAnsi="Times New Roman" w:eastAsia="仿宋_GB2312" w:cs="Times New Roman"/>
          <w:sz w:val="32"/>
          <w:szCs w:val="32"/>
          <w:highlight w:val="none"/>
        </w:rPr>
        <w:t>项目实施情况：改造燃气老管网约2605米、更换入户橡胶软管约1</w:t>
      </w:r>
      <w:r>
        <w:rPr>
          <w:rFonts w:hint="eastAsia"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rPr>
        <w:t>000米，排水管网6000米、供水管网6000米，燃气泄漏安全报警装置及配套附属设施建设。</w:t>
      </w:r>
    </w:p>
    <w:p>
      <w:pPr>
        <w:spacing w:line="560" w:lineRule="exact"/>
        <w:ind w:firstLine="643" w:firstLineChars="200"/>
        <w:rPr>
          <w:rFonts w:hint="default" w:ascii="Times New Roman" w:hAnsi="Times New Roman" w:eastAsia="仿宋_GB2312" w:cs="Times New Roman"/>
          <w:b/>
          <w:bCs/>
          <w:sz w:val="32"/>
          <w:szCs w:val="32"/>
          <w:highlight w:val="none"/>
        </w:rPr>
      </w:pPr>
      <w:r>
        <w:rPr>
          <w:rFonts w:hint="default" w:ascii="Times New Roman" w:hAnsi="Times New Roman" w:eastAsia="仿宋_GB2312" w:cs="Times New Roman"/>
          <w:b/>
          <w:bCs/>
          <w:sz w:val="32"/>
          <w:szCs w:val="32"/>
          <w:highlight w:val="none"/>
        </w:rPr>
        <w:t>3</w:t>
      </w:r>
      <w:r>
        <w:rPr>
          <w:rFonts w:hint="default" w:ascii="Times New Roman" w:hAnsi="Times New Roman" w:eastAsia="仿宋_GB2312" w:cs="Times New Roman"/>
          <w:b/>
          <w:bCs/>
          <w:sz w:val="32"/>
          <w:szCs w:val="32"/>
          <w:highlight w:val="none"/>
          <w:lang w:val="en-US" w:eastAsia="zh-CN"/>
        </w:rPr>
        <w:t>.</w:t>
      </w:r>
      <w:r>
        <w:rPr>
          <w:rFonts w:hint="default" w:ascii="Times New Roman" w:hAnsi="Times New Roman" w:eastAsia="仿宋_GB2312" w:cs="Times New Roman"/>
          <w:b/>
          <w:bCs/>
          <w:sz w:val="32"/>
          <w:szCs w:val="32"/>
          <w:highlight w:val="none"/>
        </w:rPr>
        <w:t>资金投入和使用情况</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（1）资金投入情况</w:t>
      </w:r>
    </w:p>
    <w:p>
      <w:pPr>
        <w:shd w:val="clear"/>
        <w:spacing w:line="600" w:lineRule="exact"/>
        <w:ind w:firstLine="640" w:firstLineChars="200"/>
        <w:outlineLvl w:val="0"/>
        <w:rPr>
          <w:rFonts w:hint="default" w:ascii="Times New Roman" w:hAnsi="Times New Roman" w:eastAsia="仿宋_GB2312" w:cs="Times New Roman"/>
          <w:color w:val="FF0000"/>
          <w:sz w:val="32"/>
          <w:szCs w:val="32"/>
          <w:highlight w:val="none"/>
          <w:lang w:val="en-US" w:eastAsia="zh-CN"/>
        </w:rPr>
      </w:pPr>
      <w:r>
        <w:rPr>
          <w:rFonts w:hint="default" w:ascii="Times New Roman" w:hAnsi="Times New Roman" w:eastAsia="仿宋_GB2312" w:cs="Times New Roman"/>
          <w:sz w:val="32"/>
          <w:szCs w:val="32"/>
          <w:highlight w:val="none"/>
          <w:lang w:val="en-US" w:eastAsia="zh-CN"/>
        </w:rPr>
        <w:t>该项目年初预算数</w:t>
      </w:r>
      <w:r>
        <w:rPr>
          <w:rFonts w:hint="eastAsia" w:eastAsia="仿宋_GB2312" w:cs="Times New Roman"/>
          <w:sz w:val="32"/>
          <w:szCs w:val="32"/>
          <w:highlight w:val="none"/>
          <w:lang w:val="en-US" w:eastAsia="zh-CN"/>
        </w:rPr>
        <w:t>1200</w:t>
      </w:r>
      <w:r>
        <w:rPr>
          <w:rFonts w:hint="default" w:ascii="Times New Roman" w:hAnsi="Times New Roman" w:eastAsia="仿宋_GB2312" w:cs="Times New Roman"/>
          <w:sz w:val="32"/>
          <w:szCs w:val="32"/>
          <w:highlight w:val="none"/>
          <w:lang w:val="en-US" w:eastAsia="zh-CN"/>
        </w:rPr>
        <w:t>万元，全年预算数</w:t>
      </w:r>
      <w:r>
        <w:rPr>
          <w:rFonts w:hint="eastAsia" w:eastAsia="仿宋_GB2312" w:cs="Times New Roman"/>
          <w:sz w:val="32"/>
          <w:szCs w:val="32"/>
          <w:highlight w:val="none"/>
          <w:lang w:val="en-US" w:eastAsia="zh-CN"/>
        </w:rPr>
        <w:t>1200</w:t>
      </w:r>
      <w:r>
        <w:rPr>
          <w:rFonts w:hint="default" w:ascii="Times New Roman" w:hAnsi="Times New Roman" w:eastAsia="仿宋_GB2312" w:cs="Times New Roman"/>
          <w:sz w:val="32"/>
          <w:szCs w:val="32"/>
          <w:highlight w:val="none"/>
          <w:lang w:val="en-US" w:eastAsia="zh-CN"/>
        </w:rPr>
        <w:t>万元，该项目资金已全部落实到位，资金来源为</w:t>
      </w:r>
      <w:r>
        <w:rPr>
          <w:rFonts w:hint="eastAsia" w:eastAsia="仿宋_GB2312" w:cs="Times New Roman"/>
          <w:sz w:val="32"/>
          <w:szCs w:val="32"/>
          <w:highlight w:val="none"/>
          <w:lang w:val="en-US" w:eastAsia="zh-CN"/>
        </w:rPr>
        <w:t>财政拨款</w:t>
      </w:r>
      <w:r>
        <w:rPr>
          <w:rFonts w:hint="default" w:ascii="Times New Roman" w:hAnsi="Times New Roman" w:eastAsia="仿宋_GB2312" w:cs="Times New Roman"/>
          <w:sz w:val="32"/>
          <w:szCs w:val="32"/>
          <w:highlight w:val="none"/>
          <w:lang w:val="en-US" w:eastAsia="zh-CN"/>
        </w:rPr>
        <w:t>。</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（2）资金使用情况</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该项目年初预算数</w:t>
      </w:r>
      <w:r>
        <w:rPr>
          <w:rFonts w:hint="eastAsia" w:eastAsia="仿宋_GB2312" w:cs="Times New Roman"/>
          <w:sz w:val="32"/>
          <w:szCs w:val="32"/>
          <w:highlight w:val="none"/>
          <w:lang w:val="en-US" w:eastAsia="zh-CN"/>
        </w:rPr>
        <w:t>1200</w:t>
      </w:r>
      <w:r>
        <w:rPr>
          <w:rFonts w:hint="default" w:ascii="Times New Roman" w:hAnsi="Times New Roman" w:eastAsia="仿宋_GB2312" w:cs="Times New Roman"/>
          <w:sz w:val="32"/>
          <w:szCs w:val="32"/>
          <w:highlight w:val="none"/>
          <w:lang w:val="en-US" w:eastAsia="zh-CN"/>
        </w:rPr>
        <w:t>万元，全年预算数</w:t>
      </w:r>
      <w:r>
        <w:rPr>
          <w:rFonts w:hint="eastAsia" w:eastAsia="仿宋_GB2312" w:cs="Times New Roman"/>
          <w:sz w:val="32"/>
          <w:szCs w:val="32"/>
          <w:highlight w:val="none"/>
          <w:lang w:val="en-US" w:eastAsia="zh-CN"/>
        </w:rPr>
        <w:t>1200</w:t>
      </w:r>
      <w:r>
        <w:rPr>
          <w:rFonts w:hint="default" w:ascii="Times New Roman" w:hAnsi="Times New Roman" w:eastAsia="仿宋_GB2312" w:cs="Times New Roman"/>
          <w:sz w:val="32"/>
          <w:szCs w:val="32"/>
          <w:highlight w:val="none"/>
          <w:lang w:val="en-US" w:eastAsia="zh-CN"/>
        </w:rPr>
        <w:t>万元，全年执行数</w:t>
      </w:r>
      <w:r>
        <w:rPr>
          <w:rFonts w:hint="eastAsia" w:eastAsia="仿宋_GB2312" w:cs="Times New Roman"/>
          <w:sz w:val="32"/>
          <w:szCs w:val="32"/>
          <w:highlight w:val="none"/>
          <w:lang w:val="en-US" w:eastAsia="zh-CN"/>
        </w:rPr>
        <w:t>1200</w:t>
      </w:r>
      <w:r>
        <w:rPr>
          <w:rFonts w:hint="default" w:ascii="Times New Roman" w:hAnsi="Times New Roman" w:eastAsia="仿宋_GB2312" w:cs="Times New Roman"/>
          <w:sz w:val="32"/>
          <w:szCs w:val="32"/>
          <w:highlight w:val="none"/>
          <w:lang w:val="en-US" w:eastAsia="zh-CN"/>
        </w:rPr>
        <w:t>万元，预算执行率为</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%，主要用于：</w:t>
      </w:r>
      <w:r>
        <w:rPr>
          <w:rFonts w:hint="eastAsia" w:eastAsia="仿宋_GB2312" w:cs="Times New Roman"/>
          <w:sz w:val="32"/>
          <w:szCs w:val="32"/>
          <w:highlight w:val="none"/>
          <w:lang w:val="en-US" w:eastAsia="zh-CN"/>
        </w:rPr>
        <w:t>该项目建设，包括燃气老管网改造、供排水管网改造、居民户内燃气设施更换</w:t>
      </w:r>
      <w:r>
        <w:rPr>
          <w:rFonts w:hint="default" w:ascii="Times New Roman" w:hAnsi="Times New Roman" w:eastAsia="仿宋_GB2312" w:cs="Times New Roman"/>
          <w:sz w:val="32"/>
          <w:szCs w:val="32"/>
          <w:highlight w:val="none"/>
          <w:lang w:val="en-US" w:eastAsia="zh-CN"/>
        </w:rPr>
        <w:t>。</w:t>
      </w:r>
    </w:p>
    <w:p>
      <w:pPr>
        <w:spacing w:line="560" w:lineRule="exact"/>
        <w:ind w:firstLine="643" w:firstLineChars="200"/>
        <w:rPr>
          <w:rFonts w:hint="default" w:ascii="Times New Roman" w:hAnsi="Times New Roman" w:eastAsia="楷体_GB2312" w:cs="Times New Roman"/>
          <w:b/>
          <w:bCs/>
          <w:sz w:val="32"/>
          <w:szCs w:val="32"/>
          <w:highlight w:val="none"/>
        </w:rPr>
      </w:pPr>
      <w:r>
        <w:rPr>
          <w:rFonts w:hint="default" w:ascii="Times New Roman" w:hAnsi="Times New Roman" w:eastAsia="楷体_GB2312" w:cs="Times New Roman"/>
          <w:b/>
          <w:bCs/>
          <w:sz w:val="32"/>
          <w:szCs w:val="32"/>
          <w:highlight w:val="none"/>
        </w:rPr>
        <w:t>（二）项目绩效目标</w:t>
      </w:r>
    </w:p>
    <w:p>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1</w:t>
      </w:r>
      <w:r>
        <w:rPr>
          <w:rFonts w:hint="default" w:ascii="Times New Roman" w:hAnsi="Times New Roman" w:eastAsia="仿宋_GB2312" w:cs="Times New Roman"/>
          <w:b/>
          <w:bCs/>
          <w:sz w:val="32"/>
          <w:szCs w:val="32"/>
          <w:highlight w:val="none"/>
          <w:lang w:val="en-US" w:eastAsia="zh-CN"/>
        </w:rPr>
        <w:t>.</w:t>
      </w:r>
      <w:r>
        <w:rPr>
          <w:rFonts w:hint="default" w:ascii="Times New Roman" w:hAnsi="Times New Roman" w:eastAsia="仿宋_GB2312" w:cs="Times New Roman"/>
          <w:sz w:val="32"/>
          <w:szCs w:val="32"/>
          <w:highlight w:val="none"/>
        </w:rPr>
        <w:t>总体目标</w:t>
      </w:r>
    </w:p>
    <w:p>
      <w:pPr>
        <w:spacing w:line="560" w:lineRule="exact"/>
        <w:ind w:firstLine="640" w:firstLineChars="200"/>
        <w:rPr>
          <w:rFonts w:hint="default" w:ascii="Times New Roman" w:hAnsi="Times New Roman" w:eastAsia="黑体" w:cs="Times New Roman"/>
          <w:b w:val="0"/>
          <w:bCs/>
          <w:highlight w:val="none"/>
          <w:lang w:eastAsia="zh-CN"/>
        </w:rPr>
      </w:pPr>
      <w:r>
        <w:rPr>
          <w:rFonts w:hint="default" w:ascii="Times New Roman" w:hAnsi="Times New Roman" w:eastAsia="仿宋_GB2312" w:cs="Times New Roman"/>
          <w:sz w:val="32"/>
          <w:szCs w:val="32"/>
          <w:highlight w:val="none"/>
        </w:rPr>
        <w:t>改造燃气老管网约2605米、更换入户橡胶软管约1</w:t>
      </w:r>
      <w:r>
        <w:rPr>
          <w:rFonts w:hint="eastAsia"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rPr>
        <w:t>000米，排水管网6000米、供水管网6000米，燃气泄漏安全报警装置及配套附属设施建设。</w:t>
      </w:r>
    </w:p>
    <w:p>
      <w:pPr>
        <w:spacing w:line="560" w:lineRule="exact"/>
        <w:ind w:firstLine="640" w:firstLineChars="200"/>
        <w:rPr>
          <w:rFonts w:hint="default" w:ascii="Times New Roman" w:hAnsi="Times New Roman" w:eastAsia="仿宋_GB2312" w:cs="Times New Roman"/>
          <w:sz w:val="32"/>
          <w:szCs w:val="32"/>
          <w:highlight w:val="none"/>
        </w:rPr>
      </w:pPr>
      <w:r>
        <w:rPr>
          <w:rFonts w:hint="eastAsia"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rPr>
        <w:t>阶段性目标</w:t>
      </w:r>
    </w:p>
    <w:p>
      <w:pPr>
        <w:spacing w:line="560" w:lineRule="exact"/>
        <w:ind w:firstLine="640" w:firstLineChars="200"/>
        <w:rPr>
          <w:rFonts w:hint="default" w:ascii="Times New Roman" w:hAnsi="Times New Roman" w:eastAsia="黑体" w:cs="Times New Roman"/>
          <w:b w:val="0"/>
          <w:bCs/>
          <w:highlight w:val="none"/>
          <w:lang w:eastAsia="zh-CN"/>
        </w:rPr>
      </w:pPr>
      <w:r>
        <w:rPr>
          <w:rFonts w:hint="eastAsia" w:eastAsia="仿宋_GB2312" w:cs="Times New Roman"/>
          <w:sz w:val="32"/>
          <w:szCs w:val="32"/>
          <w:highlight w:val="none"/>
          <w:lang w:val="en-US" w:eastAsia="zh-CN"/>
        </w:rPr>
        <w:t>该项目分两个阶段，上半年为第一阶段，完成改造燃气老管网1000米、更换入户橡胶软管约8000米，排水管网3000米、供水管网3000米，燃气泄漏安全报警装置及配套附属设施建设。下半年为第二阶段，完成改造燃气老管网1605米、更换入户橡胶软管约4000米，排水管网3000米、供水管网3000米，燃气泄漏安全报警装置及配套附属设施建设。</w:t>
      </w:r>
    </w:p>
    <w:p>
      <w:pPr>
        <w:spacing w:line="560" w:lineRule="exact"/>
        <w:ind w:firstLine="640" w:firstLineChars="200"/>
        <w:rPr>
          <w:rFonts w:hint="default"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rPr>
        <w:t>二、绩效评价工作开展情况</w:t>
      </w:r>
    </w:p>
    <w:p>
      <w:pPr>
        <w:spacing w:line="560" w:lineRule="exact"/>
        <w:ind w:firstLine="643" w:firstLineChars="200"/>
        <w:rPr>
          <w:rFonts w:hint="default" w:ascii="Times New Roman" w:hAnsi="Times New Roman" w:eastAsia="楷体_GB2312" w:cs="Times New Roman"/>
          <w:b/>
          <w:bCs/>
          <w:sz w:val="32"/>
          <w:szCs w:val="32"/>
          <w:highlight w:val="none"/>
        </w:rPr>
      </w:pPr>
      <w:r>
        <w:rPr>
          <w:rFonts w:hint="default" w:ascii="Times New Roman" w:hAnsi="Times New Roman" w:eastAsia="楷体_GB2312" w:cs="Times New Roman"/>
          <w:b/>
          <w:bCs/>
          <w:sz w:val="32"/>
          <w:szCs w:val="32"/>
          <w:highlight w:val="none"/>
        </w:rPr>
        <w:t>（一）绩效评价目的、对象和范围</w:t>
      </w:r>
    </w:p>
    <w:p>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lang w:val="en-US" w:eastAsia="zh-CN"/>
        </w:rPr>
      </w:pPr>
      <w:r>
        <w:rPr>
          <w:rFonts w:hint="default" w:ascii="Times New Roman" w:hAnsi="Times New Roman" w:eastAsia="仿宋_GB2312" w:cs="Times New Roman"/>
          <w:b w:val="0"/>
          <w:bCs w:val="0"/>
          <w:highlight w:val="none"/>
          <w:lang w:val="en-US" w:eastAsia="zh-CN"/>
        </w:rPr>
        <w:t>1.绩效评价完整性</w:t>
      </w:r>
    </w:p>
    <w:p>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本项目预算绩效评价报告在编制过程中，严格遵循相关法规与标准，确保评价内容的全面性与准确性。报告涵盖了项目从预算编制、执行到完成的全过程，对项目的各项绩效指标进行了细致的梳理与评估。</w:t>
      </w:r>
    </w:p>
    <w:p>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在评价指标体系的构建上，充分考虑了项目的性质、目标以及预期成果，选取了具有代表性和可衡量性的关键指标，涵盖了</w:t>
      </w:r>
      <w:r>
        <w:rPr>
          <w:rFonts w:hint="eastAsia" w:eastAsia="仿宋_GB2312" w:cs="Times New Roman"/>
          <w:sz w:val="32"/>
          <w:szCs w:val="32"/>
          <w:highlight w:val="none"/>
          <w:lang w:val="en-US" w:eastAsia="zh-CN"/>
        </w:rPr>
        <w:t>两项</w:t>
      </w:r>
      <w:r>
        <w:rPr>
          <w:rFonts w:hint="default" w:ascii="Times New Roman" w:hAnsi="Times New Roman" w:eastAsia="仿宋_GB2312" w:cs="Times New Roman"/>
          <w:sz w:val="32"/>
          <w:szCs w:val="32"/>
          <w:highlight w:val="none"/>
          <w:lang w:val="en-US" w:eastAsia="zh-CN"/>
        </w:rPr>
        <w:t>社会效益，力求全方位反映项目的绩效状况。同时，对于每个指标的评价标准和数据来源均进行了明确说明，确保评价结果的客观性和可追溯性。</w:t>
      </w:r>
    </w:p>
    <w:p>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在数据收集与分析环节，采用了多种科学合理的方法，如实地调研、问卷调查、数据分析等，广泛收集了与项目相关的各类数据，并运用专业的统计分析工具对数据进行深入挖掘，以确保评价结论的科学性和可靠性。此外，还对数据的质量和完整性进行了严格把控，对于缺失或异常的数据进行了合理的处理和说明，保证了评价数据的真实性和有效性。</w:t>
      </w:r>
    </w:p>
    <w:p>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在报告的撰写结构上，按照统一的格式和规范进行编排，内容层次分明、条理清晰。首先对项目的背景、目标和预算安排进行了简要介绍，为后续的绩效评价提供了必要的背景信息；接着详细阐述了绩效评价的指标体系、评价方法和数据来源，为评价过程的透明性和可复现性奠定了基础；然后对各项绩效指标的完成情况进行了逐一分析和评价，指出了项目在实施过程中存在的问题和不足，并提出了相应的改进建议；最后对整个项目的绩效状况进行了综合总结，给出了明确的评价结论和后续工作的建议，为项目的持续改进和决策提供了有力支持。</w:t>
      </w:r>
    </w:p>
    <w:p>
      <w:pPr>
        <w:spacing w:line="560" w:lineRule="exact"/>
        <w:ind w:firstLine="640" w:firstLineChars="20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本项目预算绩效评价报告在内容、方法和数据等方面均具备较高的完整性，能够真实、客观地反映项目的绩效情况，为项目管理决策提供了有价值的参考依据。在未来的工作中，我们将继续完善绩效评价体系，不断提升评价工作的质量和水平，以更好地服务于项目的管理和优化。</w:t>
      </w:r>
    </w:p>
    <w:p>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rPr>
        <w:t>绩效评价的目的</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（1）评估项目实施效果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通过对项目预算执行情况及各项绩效目标达成程度的系统性分析，全面、客观地评估项目在预定周期内的实施效果，包括社会效益、可持续性等指标，为项目后续的改进与优化提供科学依据。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（2）提升资源利用效率</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深入剖析项目预算资金的投入与产出关系，识别资金使用过程中的冗余环节与低效领域，挖掘潜在的资源优化配置空间，推动项目在有限的预算资源下实现更高的绩效产出，提升整体资源利用效率，确保财政资金的合理、高效运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（3）强化项目管理责任</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明确项目各参与主体在预算绩效管理中的职责与任务，借助绩效评价结果对项目管理过程进行监督与问责，促使项目管理者增强责任意识，主动优化管理流程，完善内部控制机制，提高项目管理水平与执行力，保障项目按计划、高质量推进。</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（4）为决策提供支持</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为项目主管部门、财政部门及相关决策层提供详实、准确的绩效评价信息，辅助其在项目审批、预算安排、政策调整等关键决策环节做出更加科学、合理的判断，促进项目资源的合理分配与有效整合，推动项目管理体系的不断完善与升级，提升公共资源配置的精准度与有效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（5）促进项目持续改进</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基于绩效评价发现的问题与不足，提出针对性的改进建议与措施，引导项目团队聚焦关键环节，持续优化项目实施方案，加强过程监控与质量把控，形成项目绩效持续改进的良性循环，不断提升项目整体绩效水平，实现项目长期稳定发展的目标。</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highlight w:val="none"/>
        </w:rPr>
      </w:pPr>
      <w:r>
        <w:rPr>
          <w:rFonts w:hint="default" w:ascii="Times New Roman" w:hAnsi="Times New Roman" w:eastAsia="仿宋_GB2312" w:cs="Times New Roman"/>
          <w:sz w:val="32"/>
          <w:szCs w:val="32"/>
          <w:highlight w:val="none"/>
        </w:rPr>
        <w:t>本项目预算绩效评价报告的编制以提升项目绩效为核心，旨在通过科学、严谨的评价工作，为项目管理与决策提供全方位、深层次的支持，推动项目在预算约束下实现高质量、可持续发展，充分发挥财政资金的经济效益与社会效益。</w:t>
      </w:r>
    </w:p>
    <w:p>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lang w:val="en-US" w:eastAsia="zh-CN"/>
        </w:rPr>
        <w:t>3</w:t>
      </w:r>
      <w:r>
        <w:rPr>
          <w:rFonts w:hint="default" w:ascii="Times New Roman" w:hAnsi="Times New Roman" w:eastAsia="仿宋_GB2312" w:cs="Times New Roman"/>
          <w:b/>
          <w:bCs/>
          <w:sz w:val="32"/>
          <w:szCs w:val="32"/>
          <w:highlight w:val="none"/>
          <w:lang w:val="en-US" w:eastAsia="zh-CN"/>
        </w:rPr>
        <w:t>.</w:t>
      </w:r>
      <w:r>
        <w:rPr>
          <w:rFonts w:hint="default" w:ascii="Times New Roman" w:hAnsi="Times New Roman" w:eastAsia="仿宋_GB2312" w:cs="Times New Roman"/>
          <w:b w:val="0"/>
          <w:bCs w:val="0"/>
          <w:highlight w:val="none"/>
        </w:rPr>
        <w:t>绩效评价的对象</w:t>
      </w:r>
    </w:p>
    <w:p>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本项目预算绩效评价报告的评价对象是</w:t>
      </w:r>
      <w:r>
        <w:rPr>
          <w:rFonts w:hint="eastAsia" w:ascii="Times New Roman" w:hAnsi="Times New Roman" w:eastAsia="仿宋_GB2312" w:cs="Times New Roman"/>
          <w:b w:val="0"/>
          <w:bCs w:val="0"/>
          <w:highlight w:val="none"/>
          <w:lang w:val="en-US" w:eastAsia="zh-CN"/>
        </w:rPr>
        <w:t>伊犁州特克斯县2023年燃气老化更新改造建设项目</w:t>
      </w:r>
      <w:r>
        <w:rPr>
          <w:rFonts w:hint="default" w:ascii="Times New Roman" w:hAnsi="Times New Roman" w:eastAsia="仿宋_GB2312" w:cs="Times New Roman"/>
          <w:b w:val="0"/>
          <w:bCs w:val="0"/>
          <w:highlight w:val="none"/>
        </w:rPr>
        <w:t>及其预算执行情况。该项目由</w:t>
      </w:r>
      <w:r>
        <w:rPr>
          <w:rFonts w:hint="eastAsia" w:ascii="Times New Roman" w:hAnsi="Times New Roman" w:eastAsia="仿宋_GB2312" w:cs="Times New Roman"/>
          <w:b w:val="0"/>
          <w:bCs w:val="0"/>
          <w:highlight w:val="none"/>
          <w:lang w:val="en-US" w:eastAsia="zh-CN"/>
        </w:rPr>
        <w:t>特克斯县住房和城乡建设局</w:t>
      </w:r>
      <w:r>
        <w:rPr>
          <w:rFonts w:hint="default" w:ascii="Times New Roman" w:hAnsi="Times New Roman" w:eastAsia="仿宋_GB2312" w:cs="Times New Roman"/>
          <w:b w:val="0"/>
          <w:bCs w:val="0"/>
          <w:highlight w:val="none"/>
        </w:rPr>
        <w:t>负责实施，旨在改造燃气老管网约2605米、更换入户橡胶软管约12000米，排水管网6000米、供水管网6000米，燃气泄漏安全报警装置及配套附属设施建设。项目预算涵盖从</w:t>
      </w:r>
      <w:r>
        <w:rPr>
          <w:rFonts w:hint="eastAsia" w:ascii="Times New Roman" w:hAnsi="Times New Roman" w:eastAsia="仿宋_GB2312" w:cs="Times New Roman"/>
          <w:b w:val="0"/>
          <w:bCs w:val="0"/>
          <w:highlight w:val="none"/>
          <w:lang w:val="en-US" w:eastAsia="zh-CN"/>
        </w:rPr>
        <w:t>2024年2月27日</w:t>
      </w:r>
      <w:r>
        <w:rPr>
          <w:rFonts w:hint="default" w:ascii="Times New Roman" w:hAnsi="Times New Roman" w:eastAsia="仿宋_GB2312" w:cs="Times New Roman"/>
          <w:b w:val="0"/>
          <w:bCs w:val="0"/>
          <w:highlight w:val="none"/>
        </w:rPr>
        <w:t>至</w:t>
      </w:r>
      <w:r>
        <w:rPr>
          <w:rFonts w:hint="eastAsia" w:ascii="Times New Roman" w:hAnsi="Times New Roman" w:eastAsia="仿宋_GB2312" w:cs="Times New Roman"/>
          <w:b w:val="0"/>
          <w:bCs w:val="0"/>
          <w:highlight w:val="none"/>
          <w:lang w:val="en-US" w:eastAsia="zh-CN"/>
        </w:rPr>
        <w:t>2024年9月4日</w:t>
      </w:r>
      <w:r>
        <w:rPr>
          <w:rFonts w:hint="default" w:ascii="Times New Roman" w:hAnsi="Times New Roman" w:eastAsia="仿宋_GB2312" w:cs="Times New Roman"/>
          <w:b w:val="0"/>
          <w:bCs w:val="0"/>
          <w:highlight w:val="none"/>
        </w:rPr>
        <w:t>的全部资金投入与支出，涉及资金总额为</w:t>
      </w:r>
      <w:r>
        <w:rPr>
          <w:rFonts w:hint="eastAsia" w:ascii="Times New Roman" w:hAnsi="Times New Roman" w:eastAsia="仿宋_GB2312" w:cs="Times New Roman"/>
          <w:b w:val="0"/>
          <w:bCs w:val="0"/>
          <w:highlight w:val="none"/>
          <w:lang w:val="en-US" w:eastAsia="zh-CN"/>
        </w:rPr>
        <w:t>1200</w:t>
      </w:r>
      <w:r>
        <w:rPr>
          <w:rFonts w:hint="default" w:ascii="Times New Roman" w:hAnsi="Times New Roman" w:eastAsia="仿宋_GB2312" w:cs="Times New Roman"/>
          <w:b w:val="0"/>
          <w:bCs w:val="0"/>
          <w:highlight w:val="none"/>
          <w:lang w:val="en-US" w:eastAsia="zh-CN"/>
        </w:rPr>
        <w:t>万</w:t>
      </w:r>
      <w:r>
        <w:rPr>
          <w:rFonts w:hint="default" w:ascii="Times New Roman" w:hAnsi="Times New Roman" w:eastAsia="仿宋_GB2312" w:cs="Times New Roman"/>
          <w:b w:val="0"/>
          <w:bCs w:val="0"/>
          <w:highlight w:val="none"/>
        </w:rPr>
        <w:t>元。</w:t>
      </w:r>
    </w:p>
    <w:p>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lang w:val="en-US" w:eastAsia="zh-CN"/>
        </w:rPr>
        <w:t>4.</w:t>
      </w:r>
      <w:r>
        <w:rPr>
          <w:rFonts w:hint="default" w:ascii="Times New Roman" w:hAnsi="Times New Roman" w:eastAsia="仿宋_GB2312" w:cs="Times New Roman"/>
          <w:b w:val="0"/>
          <w:bCs w:val="0"/>
          <w:highlight w:val="none"/>
        </w:rPr>
        <w:t>绩效评价的范围</w:t>
      </w:r>
    </w:p>
    <w:p>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本项目预算绩效评价报告的评价范围广泛而全面，涵盖了从项目立项至评价时点期间的所有关键预算活动和财务流程。具体而言，评价范围包括但不限于以下几个方面：</w:t>
      </w:r>
    </w:p>
    <w:p>
      <w:pPr>
        <w:pStyle w:val="10"/>
        <w:widowControl w:val="0"/>
        <w:numPr>
          <w:ilvl w:val="0"/>
          <w:numId w:val="1"/>
        </w:numPr>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项目预算编制与执行：全面审视项目预算的编制依据、合理性、科学性以及实际执行情况，包括预算调整的原因和效果。</w:t>
      </w:r>
    </w:p>
    <w:p>
      <w:pPr>
        <w:pStyle w:val="10"/>
        <w:widowControl w:val="0"/>
        <w:numPr>
          <w:ilvl w:val="0"/>
          <w:numId w:val="1"/>
        </w:numPr>
        <w:spacing w:before="0" w:after="0" w:line="560" w:lineRule="exact"/>
        <w:ind w:firstLine="640" w:firstLineChars="200"/>
        <w:jc w:val="both"/>
        <w:outlineLvl w:val="9"/>
        <w:rPr>
          <w:rFonts w:hint="default" w:ascii="Times New Roman" w:hAnsi="Times New Roman" w:eastAsia="仿宋_GB2312" w:cs="Times New Roman"/>
          <w:b w:val="0"/>
          <w:bCs w:val="0"/>
          <w:highlight w:val="none"/>
          <w:lang w:eastAsia="zh-CN"/>
        </w:rPr>
      </w:pPr>
      <w:r>
        <w:rPr>
          <w:rFonts w:hint="default" w:ascii="Times New Roman" w:hAnsi="Times New Roman" w:eastAsia="仿宋_GB2312" w:cs="Times New Roman"/>
          <w:b w:val="0"/>
          <w:bCs w:val="0"/>
          <w:highlight w:val="none"/>
        </w:rPr>
        <w:t>资金管理：深入分析项目资金的分配、使用和监管情况，确保资金使用的合规性、高效性和透明度。</w:t>
      </w:r>
    </w:p>
    <w:p>
      <w:pPr>
        <w:pStyle w:val="10"/>
        <w:widowControl w:val="0"/>
        <w:numPr>
          <w:ilvl w:val="0"/>
          <w:numId w:val="1"/>
        </w:numPr>
        <w:spacing w:before="0" w:after="0" w:line="560" w:lineRule="exact"/>
        <w:ind w:firstLine="640" w:firstLineChars="200"/>
        <w:jc w:val="both"/>
        <w:outlineLvl w:val="9"/>
        <w:rPr>
          <w:rFonts w:hint="default" w:ascii="Times New Roman" w:hAnsi="Times New Roman" w:eastAsia="仿宋_GB2312" w:cs="Times New Roman"/>
          <w:b w:val="0"/>
          <w:bCs w:val="0"/>
          <w:highlight w:val="none"/>
          <w:lang w:eastAsia="zh-CN"/>
        </w:rPr>
      </w:pPr>
      <w:r>
        <w:rPr>
          <w:rFonts w:hint="default" w:ascii="Times New Roman" w:hAnsi="Times New Roman" w:eastAsia="仿宋_GB2312" w:cs="Times New Roman"/>
          <w:b w:val="0"/>
          <w:bCs w:val="0"/>
          <w:highlight w:val="none"/>
        </w:rPr>
        <w:t>项目实施进度与产出：评估项目是否按照既定计划顺利推进，各项任务是否按时完成，以及项目产出的数量、质量和时效性是否符合预期。</w:t>
      </w:r>
    </w:p>
    <w:p>
      <w:pPr>
        <w:pStyle w:val="10"/>
        <w:widowControl w:val="0"/>
        <w:numPr>
          <w:ilvl w:val="0"/>
          <w:numId w:val="1"/>
        </w:numPr>
        <w:spacing w:before="0" w:after="0" w:line="560" w:lineRule="exact"/>
        <w:ind w:firstLine="640" w:firstLineChars="200"/>
        <w:jc w:val="both"/>
        <w:outlineLvl w:val="9"/>
        <w:rPr>
          <w:rFonts w:hint="default" w:ascii="Times New Roman" w:hAnsi="Times New Roman" w:eastAsia="仿宋_GB2312" w:cs="Times New Roman"/>
          <w:b w:val="0"/>
          <w:bCs w:val="0"/>
          <w:highlight w:val="none"/>
          <w:lang w:eastAsia="zh-CN"/>
        </w:rPr>
      </w:pPr>
      <w:r>
        <w:rPr>
          <w:rFonts w:hint="default" w:ascii="Times New Roman" w:hAnsi="Times New Roman" w:eastAsia="仿宋_GB2312" w:cs="Times New Roman"/>
          <w:b w:val="0"/>
          <w:bCs w:val="0"/>
          <w:highlight w:val="none"/>
        </w:rPr>
        <w:t>社会</w:t>
      </w:r>
      <w:r>
        <w:rPr>
          <w:rFonts w:hint="default" w:ascii="Times New Roman" w:hAnsi="Times New Roman" w:eastAsia="仿宋_GB2312" w:cs="Times New Roman"/>
          <w:b w:val="0"/>
          <w:bCs w:val="0"/>
          <w:highlight w:val="none"/>
          <w:lang w:eastAsia="zh-CN"/>
        </w:rPr>
        <w:t>、</w:t>
      </w:r>
      <w:r>
        <w:rPr>
          <w:rFonts w:hint="eastAsia" w:ascii="Times New Roman" w:hAnsi="Times New Roman" w:eastAsia="仿宋_GB2312" w:cs="Times New Roman"/>
          <w:b w:val="0"/>
          <w:bCs w:val="0"/>
          <w:highlight w:val="none"/>
          <w:lang w:val="en-US" w:eastAsia="zh-CN"/>
        </w:rPr>
        <w:t>生态</w:t>
      </w:r>
      <w:r>
        <w:rPr>
          <w:rFonts w:hint="default" w:ascii="Times New Roman" w:hAnsi="Times New Roman" w:eastAsia="仿宋_GB2312" w:cs="Times New Roman"/>
          <w:b w:val="0"/>
          <w:bCs w:val="0"/>
          <w:highlight w:val="none"/>
          <w:lang w:val="en-US" w:eastAsia="zh-CN"/>
        </w:rPr>
        <w:t>等</w:t>
      </w:r>
      <w:r>
        <w:rPr>
          <w:rFonts w:hint="default" w:ascii="Times New Roman" w:hAnsi="Times New Roman" w:eastAsia="仿宋_GB2312" w:cs="Times New Roman"/>
          <w:b w:val="0"/>
          <w:bCs w:val="0"/>
          <w:highlight w:val="none"/>
        </w:rPr>
        <w:t>影响：考察项目对社会、经济等方面的综合影响。</w:t>
      </w:r>
    </w:p>
    <w:p>
      <w:pPr>
        <w:spacing w:line="560" w:lineRule="exact"/>
        <w:ind w:firstLine="643" w:firstLineChars="200"/>
        <w:rPr>
          <w:rFonts w:hint="default" w:ascii="Times New Roman" w:hAnsi="Times New Roman" w:cs="Times New Roman"/>
          <w:highlight w:val="none"/>
        </w:rPr>
      </w:pPr>
      <w:r>
        <w:rPr>
          <w:rFonts w:hint="default" w:ascii="Times New Roman" w:hAnsi="Times New Roman" w:eastAsia="楷体_GB2312" w:cs="Times New Roman"/>
          <w:b/>
          <w:bCs/>
          <w:sz w:val="32"/>
          <w:szCs w:val="32"/>
          <w:highlight w:val="none"/>
        </w:rPr>
        <w:t>（二）绩效评价原则、评价指标体系、评价方法、评价标准。</w:t>
      </w:r>
    </w:p>
    <w:p>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1</w:t>
      </w:r>
      <w:r>
        <w:rPr>
          <w:rFonts w:hint="default" w:ascii="Times New Roman" w:hAnsi="Times New Roman" w:eastAsia="仿宋_GB2312" w:cs="Times New Roman"/>
          <w:b/>
          <w:bCs/>
          <w:sz w:val="32"/>
          <w:szCs w:val="32"/>
          <w:highlight w:val="none"/>
          <w:lang w:val="en-US" w:eastAsia="zh-CN"/>
        </w:rPr>
        <w:t>.</w:t>
      </w:r>
      <w:r>
        <w:rPr>
          <w:rFonts w:hint="default" w:ascii="Times New Roman" w:hAnsi="Times New Roman" w:eastAsia="仿宋_GB2312" w:cs="Times New Roman"/>
          <w:b w:val="0"/>
          <w:bCs w:val="0"/>
          <w:highlight w:val="none"/>
        </w:rPr>
        <w:t>绩效评价原则</w:t>
      </w:r>
    </w:p>
    <w:p>
      <w:pPr>
        <w:spacing w:line="560" w:lineRule="exact"/>
        <w:ind w:firstLine="640" w:firstLineChars="200"/>
        <w:rPr>
          <w:rFonts w:hint="default" w:ascii="Times New Roman" w:hAnsi="Times New Roman" w:eastAsia="仿宋_GB2312" w:cs="Times New Roman"/>
          <w:color w:val="000000"/>
          <w:sz w:val="32"/>
          <w:szCs w:val="32"/>
          <w:highlight w:val="none"/>
        </w:rPr>
      </w:pPr>
      <w:r>
        <w:rPr>
          <w:rFonts w:hint="default" w:ascii="Times New Roman" w:hAnsi="Times New Roman" w:eastAsia="仿宋_GB2312" w:cs="Times New Roman"/>
          <w:color w:val="000000"/>
          <w:sz w:val="32"/>
          <w:szCs w:val="32"/>
          <w:highlight w:val="none"/>
        </w:rPr>
        <w:t>本次项目绩效评价遵循以下基本原则：</w:t>
      </w:r>
    </w:p>
    <w:p>
      <w:pPr>
        <w:pStyle w:val="10"/>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（1）科学公正。绩效评价应当运用科学合理的方法，按照规范的程序，对项目绩效进行客观、公正的反映。</w:t>
      </w:r>
    </w:p>
    <w:p>
      <w:pPr>
        <w:pStyle w:val="10"/>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（2）统筹兼顾。单位自评、部门评价和财政评价应职责明确，各有侧重，相互衔接。单位自评应由项目单位自主实施，即“谁支出、谁自评”。部门评价和财政评价应在单位自评的基础上开展。</w:t>
      </w:r>
    </w:p>
    <w:p>
      <w:pPr>
        <w:pStyle w:val="10"/>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（3）激励约束。绩效评价结果应与预算安排、政策调整、改进管理实质性挂钩，体现奖优罚劣和激励相容导向，有效要安排、低效要压减、无效要问责。</w:t>
      </w:r>
    </w:p>
    <w:p>
      <w:pPr>
        <w:pStyle w:val="10"/>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（4）公开透明。绩效评价结果应依法依规公开，并自觉接受社会监督。</w:t>
      </w:r>
    </w:p>
    <w:p>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2</w:t>
      </w:r>
      <w:r>
        <w:rPr>
          <w:rFonts w:hint="default" w:ascii="Times New Roman" w:hAnsi="Times New Roman" w:eastAsia="仿宋_GB2312" w:cs="Times New Roman"/>
          <w:b w:val="0"/>
          <w:bCs w:val="0"/>
          <w:highlight w:val="none"/>
          <w:lang w:val="en-US" w:eastAsia="zh-CN"/>
        </w:rPr>
        <w:t>.</w:t>
      </w:r>
      <w:r>
        <w:rPr>
          <w:rFonts w:hint="default" w:ascii="Times New Roman" w:hAnsi="Times New Roman" w:eastAsia="仿宋_GB2312" w:cs="Times New Roman"/>
          <w:b w:val="0"/>
          <w:bCs w:val="0"/>
          <w:highlight w:val="none"/>
        </w:rPr>
        <w:t>评价指标体系</w:t>
      </w:r>
    </w:p>
    <w:p>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绩效评价框架是开展绩效评价的核心。绩效评价框架包括评价准则、关键评价问题、评价指标、数据来源、数据收集方法等。指标体系建立过程如下：</w:t>
      </w:r>
    </w:p>
    <w:p>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（1）确定评价指标</w:t>
      </w:r>
    </w:p>
    <w:p>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采用层次分析法，建立评价指标体系。绩效评价将指标分为项目决策指标、项目过程指标、项目产出指标、项目效益指标四个维度，最终形成一个由多个相互联系的指标组成的多层次指标体系。</w:t>
      </w:r>
    </w:p>
    <w:p>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（2）确定权重</w:t>
      </w:r>
    </w:p>
    <w:p>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lang w:eastAsia="zh-CN"/>
        </w:rPr>
      </w:pPr>
      <w:r>
        <w:rPr>
          <w:rFonts w:hint="default" w:ascii="Times New Roman" w:hAnsi="Times New Roman" w:eastAsia="仿宋_GB2312" w:cs="Times New Roman"/>
          <w:b w:val="0"/>
          <w:bCs w:val="0"/>
          <w:highlight w:val="none"/>
        </w:rPr>
        <w:t>确定各个指标相对于项目总体绩效的权重分值。在绩效评价指标体系中，项目决策权重为20分，项目过程权重为20分，项目产出权重为40分，项目效益权重为20分。</w:t>
      </w:r>
    </w:p>
    <w:p>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（3）确定指标标准值</w:t>
      </w:r>
    </w:p>
    <w:p>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指标标准值是绩效评价指标的尺度，既要反映同类项目的先进水平，又要符合项目的实际绩效水平。具体采用计划标准等确定此次绩效评价指标标准值。</w:t>
      </w:r>
    </w:p>
    <w:p>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绩效评价总分值100分，根据综合评分结果，90（含）-100分为优、80（含）-90分为良、60（含）-80分为中、60分以下为差。</w:t>
      </w:r>
    </w:p>
    <w:p>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具体评价指标体系详情见附件1</w:t>
      </w:r>
    </w:p>
    <w:p>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3</w:t>
      </w:r>
      <w:r>
        <w:rPr>
          <w:rFonts w:hint="default" w:ascii="Times New Roman" w:hAnsi="Times New Roman" w:eastAsia="仿宋_GB2312" w:cs="Times New Roman"/>
          <w:b w:val="0"/>
          <w:bCs w:val="0"/>
          <w:highlight w:val="none"/>
          <w:lang w:val="en-US" w:eastAsia="zh-CN"/>
        </w:rPr>
        <w:t>.</w:t>
      </w:r>
      <w:r>
        <w:rPr>
          <w:rFonts w:hint="default" w:ascii="Times New Roman" w:hAnsi="Times New Roman" w:eastAsia="仿宋_GB2312" w:cs="Times New Roman"/>
          <w:b w:val="0"/>
          <w:bCs w:val="0"/>
          <w:highlight w:val="none"/>
        </w:rPr>
        <w:t>绩效评价方法</w:t>
      </w:r>
    </w:p>
    <w:p>
      <w:pPr>
        <w:spacing w:line="560" w:lineRule="exact"/>
        <w:ind w:firstLine="708" w:firstLineChars="200"/>
        <w:rPr>
          <w:rFonts w:hint="default" w:ascii="Times New Roman" w:hAnsi="Times New Roman" w:eastAsia="仿宋_GB2312" w:cs="Times New Roman"/>
          <w:color w:val="000000"/>
          <w:spacing w:val="17"/>
          <w:sz w:val="32"/>
          <w:szCs w:val="32"/>
          <w:highlight w:val="none"/>
        </w:rPr>
      </w:pPr>
      <w:r>
        <w:rPr>
          <w:rFonts w:hint="default" w:ascii="Times New Roman" w:hAnsi="Times New Roman" w:eastAsia="仿宋_GB2312" w:cs="Times New Roman"/>
          <w:color w:val="000000"/>
          <w:spacing w:val="17"/>
          <w:sz w:val="32"/>
          <w:szCs w:val="32"/>
          <w:highlight w:val="none"/>
        </w:rPr>
        <w:t>绩效评价从项目决策、项目过程、项目产出、项目效益四个维度进行评价。评价对象为项目目标实施情况，  评价核心为资金的支出完成情况和项目的产出效益。</w:t>
      </w:r>
    </w:p>
    <w:p>
      <w:pPr>
        <w:spacing w:line="560" w:lineRule="exact"/>
        <w:ind w:firstLine="708" w:firstLineChars="200"/>
        <w:rPr>
          <w:rFonts w:hint="default" w:ascii="Times New Roman" w:hAnsi="Times New Roman" w:eastAsia="仿宋_GB2312" w:cs="Times New Roman"/>
          <w:color w:val="000000"/>
          <w:spacing w:val="17"/>
          <w:sz w:val="32"/>
          <w:szCs w:val="32"/>
          <w:highlight w:val="none"/>
        </w:rPr>
      </w:pPr>
      <w:r>
        <w:rPr>
          <w:rFonts w:hint="default" w:ascii="Times New Roman" w:hAnsi="Times New Roman" w:eastAsia="仿宋_GB2312" w:cs="Times New Roman"/>
          <w:color w:val="000000"/>
          <w:spacing w:val="17"/>
          <w:sz w:val="32"/>
          <w:szCs w:val="32"/>
          <w:highlight w:val="none"/>
        </w:rPr>
        <w:t>本次评价指标中，既有定性指标又有定量指标，各类指标因考核内容不同和客观标准不同存在较大差异，因此核定具体指标时采用了因素分析法。是指综合分析影响绩效目标实现、实施效果的内外部因素的方法。</w:t>
      </w:r>
      <w:r>
        <w:rPr>
          <w:rFonts w:hint="eastAsia" w:eastAsia="仿宋_GB2312" w:cs="Times New Roman"/>
          <w:color w:val="000000"/>
          <w:spacing w:val="17"/>
          <w:sz w:val="32"/>
          <w:szCs w:val="32"/>
          <w:highlight w:val="none"/>
          <w:lang w:val="en-US" w:eastAsia="zh-CN"/>
        </w:rPr>
        <w:t>公正客观分析项目绩效</w:t>
      </w:r>
      <w:r>
        <w:rPr>
          <w:rFonts w:hint="default" w:ascii="Times New Roman" w:hAnsi="Times New Roman" w:eastAsia="仿宋_GB2312" w:cs="Times New Roman"/>
          <w:color w:val="000000"/>
          <w:spacing w:val="17"/>
          <w:sz w:val="32"/>
          <w:szCs w:val="32"/>
          <w:highlight w:val="none"/>
        </w:rPr>
        <w:t>。</w:t>
      </w:r>
    </w:p>
    <w:p>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4</w:t>
      </w:r>
      <w:r>
        <w:rPr>
          <w:rFonts w:hint="default" w:ascii="Times New Roman" w:hAnsi="Times New Roman" w:eastAsia="仿宋_GB2312" w:cs="Times New Roman"/>
          <w:b/>
          <w:bCs/>
          <w:sz w:val="32"/>
          <w:szCs w:val="32"/>
          <w:highlight w:val="none"/>
          <w:lang w:val="en-US" w:eastAsia="zh-CN"/>
        </w:rPr>
        <w:t>.</w:t>
      </w:r>
      <w:r>
        <w:rPr>
          <w:rFonts w:hint="default" w:ascii="Times New Roman" w:hAnsi="Times New Roman" w:eastAsia="仿宋_GB2312" w:cs="Times New Roman"/>
          <w:b w:val="0"/>
          <w:bCs w:val="0"/>
          <w:highlight w:val="none"/>
        </w:rPr>
        <w:t>评价标准</w:t>
      </w:r>
    </w:p>
    <w:p>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lang w:val="en-US" w:eastAsia="zh-CN"/>
        </w:rPr>
      </w:pPr>
      <w:r>
        <w:rPr>
          <w:rFonts w:hint="default" w:ascii="Times New Roman" w:hAnsi="Times New Roman" w:eastAsia="仿宋_GB2312" w:cs="Times New Roman"/>
          <w:b w:val="0"/>
          <w:bCs w:val="0"/>
          <w:highlight w:val="none"/>
        </w:rPr>
        <w:t>绩效评价标准通常包括计划标准、行业标准、历史标准等，用于对绩效指标完成情况进行比较、分析、评价。本次评价主要采用了</w:t>
      </w:r>
      <w:r>
        <w:rPr>
          <w:rFonts w:hint="eastAsia" w:ascii="Times New Roman" w:hAnsi="Times New Roman" w:eastAsia="仿宋_GB2312" w:cs="Times New Roman"/>
          <w:b w:val="0"/>
          <w:bCs w:val="0"/>
          <w:highlight w:val="none"/>
          <w:lang w:val="en-US" w:eastAsia="zh-CN"/>
        </w:rPr>
        <w:t>行业</w:t>
      </w:r>
      <w:r>
        <w:rPr>
          <w:rFonts w:hint="default" w:ascii="Times New Roman" w:hAnsi="Times New Roman" w:eastAsia="仿宋_GB2312" w:cs="Times New Roman"/>
          <w:b w:val="0"/>
          <w:bCs w:val="0"/>
          <w:highlight w:val="none"/>
        </w:rPr>
        <w:t>标准。指参照国家公布的行业指标数据制定的评价标准</w:t>
      </w:r>
      <w:r>
        <w:rPr>
          <w:rFonts w:hint="eastAsia" w:ascii="Times New Roman" w:hAnsi="Times New Roman" w:eastAsia="仿宋_GB2312" w:cs="Times New Roman"/>
          <w:b w:val="0"/>
          <w:bCs w:val="0"/>
          <w:highlight w:val="none"/>
          <w:lang w:eastAsia="zh-CN"/>
        </w:rPr>
        <w:t>，</w:t>
      </w:r>
      <w:r>
        <w:rPr>
          <w:rFonts w:hint="eastAsia" w:ascii="Times New Roman" w:hAnsi="Times New Roman" w:eastAsia="仿宋_GB2312" w:cs="Times New Roman"/>
          <w:b w:val="0"/>
          <w:bCs w:val="0"/>
          <w:highlight w:val="none"/>
          <w:lang w:val="en-US" w:eastAsia="zh-CN"/>
        </w:rPr>
        <w:t>该标准能够客观公正的评价该标准。</w:t>
      </w:r>
    </w:p>
    <w:p>
      <w:pPr>
        <w:pStyle w:val="10"/>
        <w:numPr>
          <w:ilvl w:val="0"/>
          <w:numId w:val="2"/>
        </w:numPr>
        <w:spacing w:before="0" w:after="0" w:line="560" w:lineRule="exact"/>
        <w:ind w:firstLine="711" w:firstLineChars="200"/>
        <w:jc w:val="both"/>
        <w:rPr>
          <w:rFonts w:hint="default" w:ascii="Times New Roman" w:hAnsi="Times New Roman" w:eastAsia="楷体" w:cs="Times New Roman"/>
          <w:color w:val="000000"/>
          <w:spacing w:val="17"/>
          <w:highlight w:val="none"/>
        </w:rPr>
      </w:pPr>
      <w:r>
        <w:rPr>
          <w:rFonts w:hint="default" w:ascii="Times New Roman" w:hAnsi="Times New Roman" w:eastAsia="楷体" w:cs="Times New Roman"/>
          <w:color w:val="000000"/>
          <w:spacing w:val="17"/>
          <w:highlight w:val="none"/>
        </w:rPr>
        <w:t>绩效评价工作过程</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1</w:t>
      </w: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前期准备与规划</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在项目绩效评价工作启动之初，成立了专门的评价工作小组，小组成员由财务专家、项目管理专业人员及相关领域技术骨干组成，确保从多角度、全方位对项目绩效进行评价。同时，明确了评价工作的目标、范围、重点及时间安排，制定了详细的工作计划，为评价工作的顺利开展奠定了坚实基础。</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lang w:eastAsia="zh-CN"/>
        </w:rPr>
        <w:t>）指标体系构建</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依据项目的性质、目标以及预期成果，构建了科学合理的绩效评价指标体系。该指标体系涵盖了</w:t>
      </w:r>
      <w:r>
        <w:rPr>
          <w:rFonts w:hint="default" w:ascii="Times New Roman" w:hAnsi="Times New Roman" w:eastAsia="仿宋_GB2312" w:cs="Times New Roman"/>
          <w:color w:val="000000"/>
          <w:spacing w:val="17"/>
          <w:sz w:val="32"/>
          <w:szCs w:val="32"/>
          <w:highlight w:val="none"/>
        </w:rPr>
        <w:t>项目决策、项目过程、项目产出、项目效益四个维度</w:t>
      </w:r>
      <w:r>
        <w:rPr>
          <w:rFonts w:hint="default" w:ascii="Times New Roman" w:hAnsi="Times New Roman" w:eastAsia="仿宋_GB2312" w:cs="Times New Roman"/>
          <w:sz w:val="32"/>
          <w:szCs w:val="32"/>
          <w:highlight w:val="none"/>
          <w:lang w:eastAsia="zh-CN"/>
        </w:rPr>
        <w:t>，选取了具有代表性和可衡量性的关键指标，并为每个指标设定了明确的评价标准与权重，确保评价结果能够全面、准确地反映项目的绩效状况。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3</w:t>
      </w:r>
      <w:r>
        <w:rPr>
          <w:rFonts w:hint="default" w:ascii="Times New Roman" w:hAnsi="Times New Roman" w:eastAsia="仿宋_GB2312" w:cs="Times New Roman"/>
          <w:sz w:val="32"/>
          <w:szCs w:val="32"/>
          <w:highlight w:val="none"/>
          <w:lang w:eastAsia="zh-CN"/>
        </w:rPr>
        <w:t>）数据收集与整理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广泛收集与项目相关的各类数据，包括财务报表、项目文档、业务数据、用户反馈等。在数据收集过程中，注重数据的质量与完整性，对缺失或异常的数据进行了合理的处理和补充。随后，对收集到的数据进行了系统的整理与分类，为后续的数据分析提供了有力支持。</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4</w:t>
      </w:r>
      <w:r>
        <w:rPr>
          <w:rFonts w:hint="default" w:ascii="Times New Roman" w:hAnsi="Times New Roman" w:eastAsia="仿宋_GB2312" w:cs="Times New Roman"/>
          <w:sz w:val="32"/>
          <w:szCs w:val="32"/>
          <w:highlight w:val="none"/>
          <w:lang w:eastAsia="zh-CN"/>
        </w:rPr>
        <w:t>）数据分析与评估</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对收集到的数据进行了深入挖掘与分析。通过对各项绩效指标的实际完成情况与预期目标进行对比，计算出指标的达成率，并结合指标权重进行综合评分，从而得出项目的整体绩效评价结果。在分析过程中，注重数据之间的关联性与逻辑性，深入剖析项目绩效背后的原因，识别出项目实施过程中的优势与不足，为提出有针对性的改进建议提供了依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5</w:t>
      </w:r>
      <w:r>
        <w:rPr>
          <w:rFonts w:hint="default" w:ascii="Times New Roman" w:hAnsi="Times New Roman" w:eastAsia="仿宋_GB2312" w:cs="Times New Roman"/>
          <w:sz w:val="32"/>
          <w:szCs w:val="32"/>
          <w:highlight w:val="none"/>
          <w:lang w:eastAsia="zh-CN"/>
        </w:rPr>
        <w:t>）报告撰写与反馈</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根据数据分析与评估的结果，按照统一的格式和规范撰写项目预算绩效评价报告。报告内容包括项目背景、评价目的、评价指标体系、数据收集与分析方法、绩效评价结果、存在问题与改进建议等多个部分，力求条理清晰、重点突出、语言简洁明了。在报告撰写完成后，及时向项目实施主体及相关利益相关者进行反馈，充分听取各方意见与建议，对报告内容进行进一步的完善与优化，确保评价报告的质量与实用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6</w:t>
      </w:r>
      <w:r>
        <w:rPr>
          <w:rFonts w:hint="default" w:ascii="Times New Roman" w:hAnsi="Times New Roman" w:eastAsia="仿宋_GB2312" w:cs="Times New Roman"/>
          <w:sz w:val="32"/>
          <w:szCs w:val="32"/>
          <w:highlight w:val="none"/>
          <w:lang w:eastAsia="zh-CN"/>
        </w:rPr>
        <w:t>）后续跟踪与改进</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在评价报告提交后，我们将持续跟踪项目的改进措施落实情况，定期对项目绩效进行复查与评估，确保项目能够根据评价结果及时调整与优化，实现绩效的持续提升。同时，根据项目实施过程中出现的新情况、新问题，适时调整绩效评价指标体系与方法，保持评价工作的适应性与前瞻性，为项目的长期稳定发展提供有力保障。</w:t>
      </w:r>
    </w:p>
    <w:p>
      <w:pPr>
        <w:numPr>
          <w:ilvl w:val="0"/>
          <w:numId w:val="3"/>
        </w:numPr>
        <w:spacing w:line="560" w:lineRule="exact"/>
        <w:ind w:firstLine="640" w:firstLineChars="200"/>
        <w:rPr>
          <w:rFonts w:hint="default"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rPr>
        <w:t>综合评价情况及评价结论（附相关评分表）</w:t>
      </w:r>
    </w:p>
    <w:p>
      <w:pPr>
        <w:pStyle w:val="10"/>
        <w:keepNext w:val="0"/>
        <w:keepLines w:val="0"/>
        <w:pageBreakBefore w:val="0"/>
        <w:widowControl/>
        <w:kinsoku/>
        <w:wordWrap/>
        <w:overflowPunct/>
        <w:topLinePunct w:val="0"/>
        <w:autoSpaceDE/>
        <w:autoSpaceDN/>
        <w:bidi w:val="0"/>
        <w:adjustRightInd/>
        <w:snapToGrid/>
        <w:spacing w:before="0" w:after="0" w:line="560" w:lineRule="exact"/>
        <w:ind w:firstLine="643" w:firstLineChars="200"/>
        <w:jc w:val="both"/>
        <w:textAlignment w:val="auto"/>
        <w:rPr>
          <w:rFonts w:hint="default" w:ascii="Times New Roman" w:hAnsi="Times New Roman" w:eastAsia="楷体_GB2312" w:cs="Times New Roman"/>
          <w:highlight w:val="none"/>
          <w:lang w:val="en-US" w:eastAsia="zh-CN"/>
        </w:rPr>
      </w:pPr>
      <w:r>
        <w:rPr>
          <w:rFonts w:hint="default" w:ascii="Times New Roman" w:hAnsi="Times New Roman" w:eastAsia="楷体_GB2312" w:cs="Times New Roman"/>
          <w:highlight w:val="none"/>
          <w:lang w:eastAsia="zh-CN"/>
        </w:rPr>
        <w:t>（</w:t>
      </w:r>
      <w:r>
        <w:rPr>
          <w:rFonts w:hint="default" w:ascii="Times New Roman" w:hAnsi="Times New Roman" w:eastAsia="楷体_GB2312" w:cs="Times New Roman"/>
          <w:highlight w:val="none"/>
          <w:lang w:val="en-US" w:eastAsia="zh-CN"/>
        </w:rPr>
        <w:t>一</w:t>
      </w:r>
      <w:r>
        <w:rPr>
          <w:rFonts w:hint="default" w:ascii="Times New Roman" w:hAnsi="Times New Roman" w:eastAsia="楷体_GB2312" w:cs="Times New Roman"/>
          <w:highlight w:val="none"/>
          <w:lang w:eastAsia="zh-CN"/>
        </w:rPr>
        <w:t>）</w:t>
      </w:r>
      <w:r>
        <w:rPr>
          <w:rFonts w:hint="default" w:ascii="Times New Roman" w:hAnsi="Times New Roman" w:eastAsia="楷体_GB2312" w:cs="Times New Roman"/>
          <w:highlight w:val="none"/>
          <w:lang w:val="en-US" w:eastAsia="zh-CN"/>
        </w:rPr>
        <w:t>评价情况</w:t>
      </w:r>
    </w:p>
    <w:p>
      <w:pPr>
        <w:pStyle w:val="9"/>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本项目的综合评价基于对项目各方面绩效的深入分析与评估。从项目目标的达成情况来看，</w:t>
      </w:r>
      <w:r>
        <w:rPr>
          <w:rFonts w:hint="default" w:ascii="Times New Roman" w:hAnsi="Times New Roman" w:eastAsia="仿宋_GB2312" w:cs="Times New Roman"/>
          <w:color w:val="auto"/>
          <w:sz w:val="32"/>
          <w:szCs w:val="32"/>
          <w:highlight w:val="none"/>
        </w:rPr>
        <w:t>伊犁州特克斯县2023年燃气老化更新改造建设项目</w:t>
      </w:r>
      <w:r>
        <w:rPr>
          <w:rFonts w:hint="default" w:ascii="Times New Roman" w:hAnsi="Times New Roman" w:eastAsia="仿宋_GB2312" w:cs="Times New Roman"/>
          <w:sz w:val="32"/>
          <w:szCs w:val="32"/>
          <w:highlight w:val="none"/>
        </w:rPr>
        <w:t>在改造燃气老管网约2605米、更换入户橡胶软管约12000米，排水管网6000米、供水管网6000米，燃气泄漏安全报警装置及配套附属设施建设等方面表现出色，达到了预期的标准与要求。同时，项目也在</w:t>
      </w:r>
      <w:r>
        <w:rPr>
          <w:rFonts w:hint="eastAsia" w:eastAsia="仿宋_GB2312" w:cs="Times New Roman"/>
          <w:color w:val="auto"/>
          <w:sz w:val="32"/>
          <w:szCs w:val="32"/>
          <w:highlight w:val="none"/>
          <w:lang w:val="en-US" w:eastAsia="zh-CN"/>
        </w:rPr>
        <w:t>社会效益</w:t>
      </w:r>
      <w:r>
        <w:rPr>
          <w:rFonts w:hint="default" w:ascii="Times New Roman" w:hAnsi="Times New Roman" w:eastAsia="仿宋_GB2312" w:cs="Times New Roman"/>
          <w:sz w:val="32"/>
          <w:szCs w:val="32"/>
          <w:highlight w:val="none"/>
        </w:rPr>
        <w:t>取得了显著的成效，如</w:t>
      </w:r>
      <w:r>
        <w:rPr>
          <w:rFonts w:hint="eastAsia" w:eastAsia="仿宋_GB2312" w:cs="Times New Roman"/>
          <w:sz w:val="32"/>
          <w:szCs w:val="32"/>
          <w:highlight w:val="none"/>
          <w:lang w:val="en-US" w:eastAsia="zh-CN"/>
        </w:rPr>
        <w:t>保障全县燃气正常运行</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val="en-US" w:eastAsia="zh-CN"/>
        </w:rPr>
        <w:t>燃气受益人数增加</w:t>
      </w:r>
      <w:r>
        <w:rPr>
          <w:rFonts w:hint="default" w:ascii="Times New Roman" w:hAnsi="Times New Roman" w:eastAsia="仿宋_GB2312" w:cs="Times New Roman"/>
          <w:sz w:val="32"/>
          <w:szCs w:val="32"/>
          <w:highlight w:val="none"/>
        </w:rPr>
        <w:t>等。</w:t>
      </w:r>
    </w:p>
    <w:p>
      <w:pPr>
        <w:pStyle w:val="9"/>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在项目管理方面，</w:t>
      </w:r>
      <w:r>
        <w:rPr>
          <w:rFonts w:hint="eastAsia" w:eastAsia="仿宋_GB2312" w:cs="Times New Roman"/>
          <w:sz w:val="32"/>
          <w:szCs w:val="32"/>
          <w:highlight w:val="none"/>
          <w:lang w:val="en-US" w:eastAsia="zh-CN"/>
        </w:rPr>
        <w:t>特克斯县住房和城乡建设局</w:t>
      </w:r>
      <w:r>
        <w:rPr>
          <w:rFonts w:hint="default" w:ascii="Times New Roman" w:hAnsi="Times New Roman" w:eastAsia="仿宋_GB2312" w:cs="Times New Roman"/>
          <w:sz w:val="32"/>
          <w:szCs w:val="32"/>
          <w:highlight w:val="none"/>
        </w:rPr>
        <w:t>通过有效的规划、组织与协调，项目得以顺利实施，并在预算与时间上保持了良好的控制。</w:t>
      </w:r>
    </w:p>
    <w:p>
      <w:pPr>
        <w:pStyle w:val="9"/>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从项目效益的角度来看，本项目不仅实现了预期的社会效益方面产生了积极的影响。具体而言，保障全县燃气正常运行、燃气受益人数增加等方面的提升，为项目的利益相关者带来了实实在在的利益。</w:t>
      </w:r>
    </w:p>
    <w:p>
      <w:pPr>
        <w:pStyle w:val="9"/>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cs="Times New Roman"/>
          <w:highlight w:val="none"/>
        </w:rPr>
      </w:pPr>
      <w:r>
        <w:rPr>
          <w:rFonts w:hint="default" w:ascii="Times New Roman" w:hAnsi="Times New Roman" w:eastAsia="仿宋_GB2312" w:cs="Times New Roman"/>
          <w:sz w:val="32"/>
          <w:szCs w:val="32"/>
          <w:highlight w:val="none"/>
        </w:rPr>
        <w:t>综上所述，伊犁州特克斯县2023年燃气老化更新改造建设项目在绩效评价中表现出色，达到了项目的预期目标，并在多个方面取得了显著的成效。</w:t>
      </w:r>
    </w:p>
    <w:p>
      <w:pPr>
        <w:pStyle w:val="10"/>
        <w:keepNext w:val="0"/>
        <w:keepLines w:val="0"/>
        <w:pageBreakBefore w:val="0"/>
        <w:widowControl/>
        <w:kinsoku/>
        <w:wordWrap/>
        <w:overflowPunct/>
        <w:topLinePunct w:val="0"/>
        <w:autoSpaceDE/>
        <w:autoSpaceDN/>
        <w:bidi w:val="0"/>
        <w:adjustRightInd/>
        <w:snapToGrid/>
        <w:spacing w:before="0" w:after="0" w:line="560" w:lineRule="exact"/>
        <w:ind w:firstLine="643" w:firstLineChars="200"/>
        <w:jc w:val="both"/>
        <w:textAlignment w:val="auto"/>
        <w:rPr>
          <w:rFonts w:hint="default" w:ascii="Times New Roman" w:hAnsi="Times New Roman" w:eastAsia="楷体_GB2312" w:cs="Times New Roman"/>
          <w:highlight w:val="none"/>
          <w:lang w:val="en-US" w:eastAsia="zh-CN"/>
        </w:rPr>
      </w:pPr>
      <w:r>
        <w:rPr>
          <w:rFonts w:hint="default" w:ascii="Times New Roman" w:hAnsi="Times New Roman" w:eastAsia="楷体_GB2312" w:cs="Times New Roman"/>
          <w:highlight w:val="none"/>
          <w:lang w:eastAsia="zh-CN"/>
        </w:rPr>
        <w:t>（</w:t>
      </w:r>
      <w:r>
        <w:rPr>
          <w:rFonts w:hint="default" w:ascii="Times New Roman" w:hAnsi="Times New Roman" w:eastAsia="楷体_GB2312" w:cs="Times New Roman"/>
          <w:highlight w:val="none"/>
          <w:lang w:val="en-US" w:eastAsia="zh-CN"/>
        </w:rPr>
        <w:t>二</w:t>
      </w:r>
      <w:r>
        <w:rPr>
          <w:rFonts w:hint="default" w:ascii="Times New Roman" w:hAnsi="Times New Roman" w:eastAsia="楷体_GB2312" w:cs="Times New Roman"/>
          <w:highlight w:val="none"/>
          <w:lang w:eastAsia="zh-CN"/>
        </w:rPr>
        <w:t>）</w:t>
      </w:r>
      <w:r>
        <w:rPr>
          <w:rFonts w:hint="default" w:ascii="Times New Roman" w:hAnsi="Times New Roman" w:eastAsia="楷体_GB2312" w:cs="Times New Roman"/>
          <w:highlight w:val="none"/>
          <w:lang w:val="en-US" w:eastAsia="zh-CN"/>
        </w:rPr>
        <w:t>评价结论</w:t>
      </w:r>
    </w:p>
    <w:p>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lang w:eastAsia="zh-CN"/>
        </w:rPr>
      </w:pPr>
      <w:r>
        <w:rPr>
          <w:rFonts w:hint="default" w:ascii="Times New Roman" w:hAnsi="Times New Roman" w:eastAsia="仿宋_GB2312" w:cs="Times New Roman"/>
          <w:b w:val="0"/>
          <w:bCs w:val="0"/>
          <w:highlight w:val="none"/>
        </w:rPr>
        <w:t>运用绩效评价组制定的评价指标体系以及财政部《项目支出绩效评价管理办法》（财预〔2020〕10号）文件的评分标准，通过数据采集、问卷调查及访谈等方式，对本项目进行客观评价，最终评分结果：总得分为</w:t>
      </w:r>
      <w:r>
        <w:rPr>
          <w:rFonts w:hint="eastAsia" w:ascii="Times New Roman" w:hAnsi="Times New Roman" w:eastAsia="仿宋_GB2312" w:cs="Times New Roman"/>
          <w:b w:val="0"/>
          <w:bCs w:val="0"/>
          <w:highlight w:val="none"/>
          <w:lang w:val="en-US" w:eastAsia="zh-CN"/>
        </w:rPr>
        <w:t>100</w:t>
      </w:r>
      <w:r>
        <w:rPr>
          <w:rFonts w:hint="default" w:ascii="Times New Roman" w:hAnsi="Times New Roman" w:eastAsia="仿宋_GB2312" w:cs="Times New Roman"/>
          <w:b w:val="0"/>
          <w:bCs w:val="0"/>
          <w:highlight w:val="none"/>
        </w:rPr>
        <w:t xml:space="preserve">分，属于“优”。其中，项目决策类指标权重为20分，得分为 </w:t>
      </w:r>
      <w:r>
        <w:rPr>
          <w:rFonts w:hint="eastAsia" w:ascii="Times New Roman" w:hAnsi="Times New Roman" w:eastAsia="仿宋_GB2312" w:cs="Times New Roman"/>
          <w:b w:val="0"/>
          <w:bCs w:val="0"/>
          <w:highlight w:val="none"/>
          <w:lang w:val="en-US" w:eastAsia="zh-CN"/>
        </w:rPr>
        <w:t>20</w:t>
      </w:r>
      <w:r>
        <w:rPr>
          <w:rFonts w:hint="default" w:ascii="Times New Roman" w:hAnsi="Times New Roman" w:eastAsia="仿宋_GB2312" w:cs="Times New Roman"/>
          <w:b w:val="0"/>
          <w:bCs w:val="0"/>
          <w:highlight w:val="none"/>
        </w:rPr>
        <w:t xml:space="preserve">分，得分率为 </w:t>
      </w:r>
      <w:r>
        <w:rPr>
          <w:rFonts w:hint="eastAsia" w:ascii="Times New Roman" w:hAnsi="Times New Roman" w:eastAsia="仿宋_GB2312" w:cs="Times New Roman"/>
          <w:b w:val="0"/>
          <w:bCs w:val="0"/>
          <w:highlight w:val="none"/>
          <w:lang w:val="en-US" w:eastAsia="zh-CN"/>
        </w:rPr>
        <w:t>100</w:t>
      </w:r>
      <w:r>
        <w:rPr>
          <w:rFonts w:hint="default" w:ascii="Times New Roman" w:hAnsi="Times New Roman" w:eastAsia="仿宋_GB2312" w:cs="Times New Roman"/>
          <w:b w:val="0"/>
          <w:bCs w:val="0"/>
          <w:highlight w:val="none"/>
        </w:rPr>
        <w:t>%。项目过程类指标权重为20分，得分为</w:t>
      </w:r>
      <w:r>
        <w:rPr>
          <w:rFonts w:hint="eastAsia" w:ascii="Times New Roman" w:hAnsi="Times New Roman" w:eastAsia="仿宋_GB2312" w:cs="Times New Roman"/>
          <w:b w:val="0"/>
          <w:bCs w:val="0"/>
          <w:highlight w:val="none"/>
          <w:lang w:val="en-US" w:eastAsia="zh-CN"/>
        </w:rPr>
        <w:t>20</w:t>
      </w:r>
      <w:r>
        <w:rPr>
          <w:rFonts w:hint="default" w:ascii="Times New Roman" w:hAnsi="Times New Roman" w:eastAsia="仿宋_GB2312" w:cs="Times New Roman"/>
          <w:b w:val="0"/>
          <w:bCs w:val="0"/>
          <w:highlight w:val="none"/>
        </w:rPr>
        <w:t xml:space="preserve">分，得分率为 </w:t>
      </w:r>
      <w:r>
        <w:rPr>
          <w:rFonts w:hint="eastAsia" w:ascii="Times New Roman" w:hAnsi="Times New Roman" w:eastAsia="仿宋_GB2312" w:cs="Times New Roman"/>
          <w:b w:val="0"/>
          <w:bCs w:val="0"/>
          <w:highlight w:val="none"/>
          <w:lang w:val="en-US" w:eastAsia="zh-CN"/>
        </w:rPr>
        <w:t>100</w:t>
      </w:r>
      <w:r>
        <w:rPr>
          <w:rFonts w:hint="default" w:ascii="Times New Roman" w:hAnsi="Times New Roman" w:eastAsia="仿宋_GB2312" w:cs="Times New Roman"/>
          <w:b w:val="0"/>
          <w:bCs w:val="0"/>
          <w:highlight w:val="none"/>
        </w:rPr>
        <w:t>%。项目产出类指标权重为40分，得分为</w:t>
      </w:r>
      <w:r>
        <w:rPr>
          <w:rFonts w:hint="eastAsia" w:ascii="Times New Roman" w:hAnsi="Times New Roman" w:eastAsia="仿宋_GB2312" w:cs="Times New Roman"/>
          <w:b w:val="0"/>
          <w:bCs w:val="0"/>
          <w:highlight w:val="none"/>
          <w:lang w:val="en-US" w:eastAsia="zh-CN"/>
        </w:rPr>
        <w:t>40</w:t>
      </w:r>
      <w:r>
        <w:rPr>
          <w:rFonts w:hint="default" w:ascii="Times New Roman" w:hAnsi="Times New Roman" w:eastAsia="仿宋_GB2312" w:cs="Times New Roman"/>
          <w:b w:val="0"/>
          <w:bCs w:val="0"/>
          <w:highlight w:val="none"/>
        </w:rPr>
        <w:t>分，得分率为</w:t>
      </w:r>
      <w:r>
        <w:rPr>
          <w:rFonts w:hint="eastAsia" w:ascii="Times New Roman" w:hAnsi="Times New Roman" w:eastAsia="仿宋_GB2312" w:cs="Times New Roman"/>
          <w:b w:val="0"/>
          <w:bCs w:val="0"/>
          <w:highlight w:val="none"/>
          <w:lang w:val="en-US" w:eastAsia="zh-CN"/>
        </w:rPr>
        <w:t>100</w:t>
      </w:r>
      <w:r>
        <w:rPr>
          <w:rFonts w:hint="default" w:ascii="Times New Roman" w:hAnsi="Times New Roman" w:eastAsia="仿宋_GB2312" w:cs="Times New Roman"/>
          <w:b w:val="0"/>
          <w:bCs w:val="0"/>
          <w:highlight w:val="none"/>
        </w:rPr>
        <w:t>%。项目效益类指标权重为20分，得分为</w:t>
      </w:r>
      <w:r>
        <w:rPr>
          <w:rFonts w:hint="eastAsia" w:ascii="Times New Roman" w:hAnsi="Times New Roman" w:eastAsia="仿宋_GB2312" w:cs="Times New Roman"/>
          <w:b w:val="0"/>
          <w:bCs w:val="0"/>
          <w:highlight w:val="none"/>
          <w:lang w:val="en-US" w:eastAsia="zh-CN"/>
        </w:rPr>
        <w:t>20</w:t>
      </w:r>
      <w:r>
        <w:rPr>
          <w:rFonts w:hint="default" w:ascii="Times New Roman" w:hAnsi="Times New Roman" w:eastAsia="仿宋_GB2312" w:cs="Times New Roman"/>
          <w:b w:val="0"/>
          <w:bCs w:val="0"/>
          <w:highlight w:val="none"/>
        </w:rPr>
        <w:t>分，得分率为</w:t>
      </w:r>
      <w:r>
        <w:rPr>
          <w:rFonts w:hint="eastAsia" w:ascii="Times New Roman" w:hAnsi="Times New Roman" w:eastAsia="仿宋_GB2312" w:cs="Times New Roman"/>
          <w:b w:val="0"/>
          <w:bCs w:val="0"/>
          <w:highlight w:val="none"/>
          <w:lang w:val="en-US" w:eastAsia="zh-CN"/>
        </w:rPr>
        <w:t>100</w:t>
      </w:r>
      <w:r>
        <w:rPr>
          <w:rFonts w:hint="default" w:ascii="Times New Roman" w:hAnsi="Times New Roman" w:eastAsia="仿宋_GB2312" w:cs="Times New Roman"/>
          <w:b w:val="0"/>
          <w:bCs w:val="0"/>
          <w:highlight w:val="none"/>
        </w:rPr>
        <w:t>%。具体打分情况详见：</w:t>
      </w:r>
      <w:r>
        <w:rPr>
          <w:rFonts w:hint="eastAsia" w:ascii="Times New Roman" w:hAnsi="Times New Roman" w:eastAsia="仿宋_GB2312" w:cs="Times New Roman"/>
          <w:b w:val="0"/>
          <w:bCs w:val="0"/>
          <w:highlight w:val="none"/>
          <w:lang w:val="en-US" w:eastAsia="zh-CN"/>
        </w:rPr>
        <w:t>表</w:t>
      </w:r>
      <w:r>
        <w:rPr>
          <w:rFonts w:hint="default" w:ascii="Times New Roman" w:hAnsi="Times New Roman" w:eastAsia="仿宋_GB2312" w:cs="Times New Roman"/>
          <w:b w:val="0"/>
          <w:bCs w:val="0"/>
          <w:highlight w:val="none"/>
        </w:rPr>
        <w:t>1综合评分表</w:t>
      </w:r>
      <w:r>
        <w:rPr>
          <w:rFonts w:hint="default" w:ascii="Times New Roman" w:hAnsi="Times New Roman" w:eastAsia="仿宋_GB2312" w:cs="Times New Roman"/>
          <w:b w:val="0"/>
          <w:bCs w:val="0"/>
          <w:highlight w:val="none"/>
          <w:lang w:eastAsia="zh-CN"/>
        </w:rPr>
        <w:t>。</w:t>
      </w:r>
    </w:p>
    <w:p>
      <w:pPr>
        <w:pStyle w:val="10"/>
        <w:keepNext w:val="0"/>
        <w:keepLines w:val="0"/>
        <w:pageBreakBefore w:val="0"/>
        <w:widowControl/>
        <w:kinsoku/>
        <w:wordWrap/>
        <w:overflowPunct/>
        <w:topLinePunct w:val="0"/>
        <w:autoSpaceDE/>
        <w:autoSpaceDN/>
        <w:bidi w:val="0"/>
        <w:adjustRightInd/>
        <w:snapToGrid/>
        <w:spacing w:before="0" w:after="0"/>
        <w:textAlignment w:val="auto"/>
        <w:rPr>
          <w:rFonts w:hint="default" w:ascii="Times New Roman" w:hAnsi="Times New Roman" w:eastAsia="仿宋_GB2312" w:cs="Times New Roman"/>
          <w:sz w:val="21"/>
          <w:szCs w:val="21"/>
          <w:highlight w:val="none"/>
        </w:rPr>
      </w:pPr>
      <w:r>
        <w:rPr>
          <w:rFonts w:hint="default" w:ascii="Times New Roman" w:hAnsi="Times New Roman" w:eastAsia="仿宋_GB2312" w:cs="Times New Roman"/>
          <w:sz w:val="21"/>
          <w:szCs w:val="21"/>
          <w:highlight w:val="none"/>
        </w:rPr>
        <w:t>表1综合评分表</w:t>
      </w:r>
    </w:p>
    <w:tbl>
      <w:tblPr>
        <w:tblStyle w:val="14"/>
        <w:tblW w:w="7583" w:type="dxa"/>
        <w:jc w:val="center"/>
        <w:tblLayout w:type="fixed"/>
        <w:tblCellMar>
          <w:top w:w="0" w:type="dxa"/>
          <w:left w:w="108" w:type="dxa"/>
          <w:bottom w:w="0" w:type="dxa"/>
          <w:right w:w="108" w:type="dxa"/>
        </w:tblCellMar>
      </w:tblPr>
      <w:tblGrid>
        <w:gridCol w:w="3137"/>
        <w:gridCol w:w="2168"/>
        <w:gridCol w:w="2278"/>
      </w:tblGrid>
      <w:tr>
        <w:tblPrEx>
          <w:tblCellMar>
            <w:top w:w="0" w:type="dxa"/>
            <w:left w:w="108" w:type="dxa"/>
            <w:bottom w:w="0" w:type="dxa"/>
            <w:right w:w="108" w:type="dxa"/>
          </w:tblCellMar>
        </w:tblPrEx>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BEBEBE" w:themeFill="background1" w:themeFillShade="BF"/>
            <w:vAlign w:val="center"/>
          </w:tcPr>
          <w:p>
            <w:pPr>
              <w:jc w:val="center"/>
              <w:rPr>
                <w:rFonts w:hint="default" w:ascii="Times New Roman" w:hAnsi="Times New Roman" w:eastAsia="仿宋_GB2312" w:cs="Times New Roman"/>
                <w:b/>
                <w:bCs/>
                <w:color w:val="000000"/>
                <w:sz w:val="21"/>
                <w:szCs w:val="21"/>
                <w:highlight w:val="none"/>
              </w:rPr>
            </w:pPr>
            <w:r>
              <w:rPr>
                <w:rFonts w:hint="default" w:ascii="Times New Roman" w:hAnsi="Times New Roman" w:eastAsia="仿宋_GB2312" w:cs="Times New Roman"/>
                <w:b/>
                <w:bCs/>
                <w:color w:val="000000"/>
                <w:sz w:val="21"/>
                <w:szCs w:val="21"/>
                <w:highlight w:val="none"/>
              </w:rPr>
              <w:t>一级指标</w:t>
            </w:r>
          </w:p>
        </w:tc>
        <w:tc>
          <w:tcPr>
            <w:tcW w:w="216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jc w:val="center"/>
              <w:rPr>
                <w:rFonts w:hint="default" w:ascii="Times New Roman" w:hAnsi="Times New Roman" w:eastAsia="仿宋_GB2312" w:cs="Times New Roman"/>
                <w:b/>
                <w:bCs/>
                <w:color w:val="000000"/>
                <w:sz w:val="21"/>
                <w:szCs w:val="21"/>
                <w:highlight w:val="none"/>
              </w:rPr>
            </w:pPr>
            <w:r>
              <w:rPr>
                <w:rFonts w:hint="default" w:ascii="Times New Roman" w:hAnsi="Times New Roman" w:eastAsia="仿宋_GB2312" w:cs="Times New Roman"/>
                <w:b/>
                <w:bCs/>
                <w:color w:val="000000"/>
                <w:sz w:val="21"/>
                <w:szCs w:val="21"/>
                <w:highlight w:val="none"/>
              </w:rPr>
              <w:t>权重分</w:t>
            </w:r>
          </w:p>
        </w:tc>
        <w:tc>
          <w:tcPr>
            <w:tcW w:w="227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jc w:val="center"/>
              <w:rPr>
                <w:rFonts w:hint="default" w:ascii="Times New Roman" w:hAnsi="Times New Roman" w:eastAsia="仿宋_GB2312" w:cs="Times New Roman"/>
                <w:b/>
                <w:bCs/>
                <w:color w:val="000000"/>
                <w:sz w:val="21"/>
                <w:szCs w:val="21"/>
                <w:highlight w:val="none"/>
              </w:rPr>
            </w:pPr>
            <w:r>
              <w:rPr>
                <w:rFonts w:hint="default" w:ascii="Times New Roman" w:hAnsi="Times New Roman" w:eastAsia="仿宋_GB2312" w:cs="Times New Roman"/>
                <w:b/>
                <w:bCs/>
                <w:color w:val="000000"/>
                <w:sz w:val="21"/>
                <w:szCs w:val="21"/>
                <w:highlight w:val="none"/>
              </w:rPr>
              <w:t>得分</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highlight w:val="none"/>
              </w:rPr>
            </w:pPr>
            <w:r>
              <w:rPr>
                <w:rFonts w:hint="default" w:ascii="Times New Roman" w:hAnsi="Times New Roman" w:eastAsia="仿宋_GB2312" w:cs="Times New Roman"/>
                <w:color w:val="000000"/>
                <w:sz w:val="21"/>
                <w:szCs w:val="21"/>
                <w:highlight w:val="none"/>
              </w:rPr>
              <w:t>项目决策</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highlight w:val="none"/>
                <w:lang w:val="en-US" w:eastAsia="zh-CN"/>
              </w:rPr>
            </w:pPr>
            <w:r>
              <w:rPr>
                <w:rFonts w:hint="default" w:ascii="Times New Roman" w:hAnsi="Times New Roman" w:eastAsia="仿宋_GB2312" w:cs="Times New Roman"/>
                <w:color w:val="000000"/>
                <w:sz w:val="21"/>
                <w:szCs w:val="21"/>
                <w:highlight w:val="none"/>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highlight w:val="none"/>
                <w:lang w:val="en-US" w:eastAsia="zh-CN"/>
              </w:rPr>
            </w:pPr>
            <w:r>
              <w:rPr>
                <w:rFonts w:hint="eastAsia" w:eastAsia="仿宋_GB2312" w:cs="Times New Roman"/>
                <w:color w:val="000000"/>
                <w:sz w:val="21"/>
                <w:szCs w:val="21"/>
                <w:highlight w:val="none"/>
                <w:lang w:val="en-US" w:eastAsia="zh-CN"/>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highlight w:val="none"/>
              </w:rPr>
            </w:pPr>
            <w:r>
              <w:rPr>
                <w:rFonts w:hint="default" w:ascii="Times New Roman" w:hAnsi="Times New Roman" w:eastAsia="仿宋_GB2312" w:cs="Times New Roman"/>
                <w:color w:val="000000"/>
                <w:sz w:val="21"/>
                <w:szCs w:val="21"/>
                <w:highlight w:val="none"/>
              </w:rPr>
              <w:t>项目过程</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highlight w:val="none"/>
                <w:lang w:val="en-US" w:eastAsia="zh-CN"/>
              </w:rPr>
            </w:pPr>
            <w:r>
              <w:rPr>
                <w:rFonts w:hint="default" w:ascii="Times New Roman" w:hAnsi="Times New Roman" w:eastAsia="仿宋_GB2312" w:cs="Times New Roman"/>
                <w:color w:val="000000"/>
                <w:sz w:val="21"/>
                <w:szCs w:val="21"/>
                <w:highlight w:val="none"/>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highlight w:val="none"/>
                <w:lang w:val="en-US" w:eastAsia="zh-CN"/>
              </w:rPr>
            </w:pPr>
            <w:r>
              <w:rPr>
                <w:rFonts w:hint="eastAsia" w:eastAsia="仿宋_GB2312" w:cs="Times New Roman"/>
                <w:color w:val="000000"/>
                <w:sz w:val="21"/>
                <w:szCs w:val="21"/>
                <w:highlight w:val="none"/>
                <w:lang w:val="en-US" w:eastAsia="zh-CN"/>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highlight w:val="none"/>
              </w:rPr>
            </w:pPr>
            <w:r>
              <w:rPr>
                <w:rFonts w:hint="default" w:ascii="Times New Roman" w:hAnsi="Times New Roman" w:eastAsia="仿宋_GB2312" w:cs="Times New Roman"/>
                <w:color w:val="000000"/>
                <w:sz w:val="21"/>
                <w:szCs w:val="21"/>
                <w:highlight w:val="none"/>
              </w:rPr>
              <w:t>项目产出</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highlight w:val="none"/>
                <w:lang w:val="en-US" w:eastAsia="zh-CN"/>
              </w:rPr>
            </w:pPr>
            <w:r>
              <w:rPr>
                <w:rFonts w:hint="default" w:ascii="Times New Roman" w:hAnsi="Times New Roman" w:eastAsia="仿宋_GB2312" w:cs="Times New Roman"/>
                <w:color w:val="000000"/>
                <w:sz w:val="21"/>
                <w:szCs w:val="21"/>
                <w:highlight w:val="none"/>
                <w:lang w:val="en-US" w:eastAsia="zh-CN"/>
              </w:rPr>
              <w:t>40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highlight w:val="none"/>
                <w:lang w:val="en-US" w:eastAsia="zh-CN"/>
              </w:rPr>
            </w:pPr>
            <w:r>
              <w:rPr>
                <w:rFonts w:hint="eastAsia" w:eastAsia="仿宋_GB2312" w:cs="Times New Roman"/>
                <w:color w:val="000000"/>
                <w:sz w:val="21"/>
                <w:szCs w:val="21"/>
                <w:highlight w:val="none"/>
                <w:lang w:val="en-US" w:eastAsia="zh-CN"/>
              </w:rPr>
              <w:t>40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highlight w:val="none"/>
              </w:rPr>
            </w:pPr>
            <w:r>
              <w:rPr>
                <w:rFonts w:hint="default" w:ascii="Times New Roman" w:hAnsi="Times New Roman" w:eastAsia="仿宋_GB2312" w:cs="Times New Roman"/>
                <w:color w:val="000000"/>
                <w:sz w:val="21"/>
                <w:szCs w:val="21"/>
                <w:highlight w:val="none"/>
              </w:rPr>
              <w:t>项目效益</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highlight w:val="none"/>
                <w:lang w:val="en-US" w:eastAsia="zh-CN"/>
              </w:rPr>
            </w:pPr>
            <w:r>
              <w:rPr>
                <w:rFonts w:hint="default" w:ascii="Times New Roman" w:hAnsi="Times New Roman" w:eastAsia="仿宋_GB2312" w:cs="Times New Roman"/>
                <w:color w:val="000000"/>
                <w:sz w:val="21"/>
                <w:szCs w:val="21"/>
                <w:highlight w:val="none"/>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highlight w:val="none"/>
                <w:lang w:val="en-US" w:eastAsia="zh-CN"/>
              </w:rPr>
            </w:pPr>
            <w:r>
              <w:rPr>
                <w:rFonts w:hint="eastAsia" w:eastAsia="仿宋_GB2312" w:cs="Times New Roman"/>
                <w:color w:val="000000"/>
                <w:sz w:val="21"/>
                <w:szCs w:val="21"/>
                <w:highlight w:val="none"/>
                <w:lang w:val="en-US" w:eastAsia="zh-CN"/>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b/>
                <w:bCs/>
                <w:color w:val="000000"/>
                <w:sz w:val="21"/>
                <w:szCs w:val="21"/>
                <w:highlight w:val="none"/>
              </w:rPr>
            </w:pPr>
            <w:r>
              <w:rPr>
                <w:rFonts w:hint="default" w:ascii="Times New Roman" w:hAnsi="Times New Roman" w:eastAsia="仿宋_GB2312" w:cs="Times New Roman"/>
                <w:b/>
                <w:bCs/>
                <w:color w:val="000000"/>
                <w:sz w:val="21"/>
                <w:szCs w:val="21"/>
                <w:highlight w:val="none"/>
              </w:rPr>
              <w:t>合计</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b/>
                <w:bCs/>
                <w:color w:val="000000"/>
                <w:sz w:val="21"/>
                <w:szCs w:val="21"/>
                <w:highlight w:val="none"/>
                <w:lang w:val="en-US" w:eastAsia="zh-CN"/>
              </w:rPr>
            </w:pPr>
            <w:r>
              <w:rPr>
                <w:rFonts w:hint="default" w:ascii="Times New Roman" w:hAnsi="Times New Roman" w:eastAsia="仿宋_GB2312" w:cs="Times New Roman"/>
                <w:b/>
                <w:bCs/>
                <w:color w:val="000000"/>
                <w:sz w:val="21"/>
                <w:szCs w:val="21"/>
                <w:highlight w:val="none"/>
                <w:lang w:val="en-US" w:eastAsia="zh-CN"/>
              </w:rPr>
              <w:t>100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b/>
                <w:bCs/>
                <w:color w:val="000000"/>
                <w:sz w:val="21"/>
                <w:szCs w:val="21"/>
                <w:highlight w:val="none"/>
                <w:lang w:val="en-US" w:eastAsia="zh-CN"/>
              </w:rPr>
            </w:pPr>
            <w:r>
              <w:rPr>
                <w:rFonts w:hint="eastAsia" w:eastAsia="仿宋_GB2312" w:cs="Times New Roman"/>
                <w:b/>
                <w:bCs/>
                <w:color w:val="000000"/>
                <w:sz w:val="21"/>
                <w:szCs w:val="21"/>
                <w:highlight w:val="none"/>
                <w:lang w:val="en-US" w:eastAsia="zh-CN"/>
              </w:rPr>
              <w:t>100</w:t>
            </w:r>
          </w:p>
        </w:tc>
      </w:tr>
    </w:tbl>
    <w:p>
      <w:pPr>
        <w:spacing w:line="560" w:lineRule="exact"/>
        <w:ind w:firstLine="640" w:firstLineChars="200"/>
        <w:rPr>
          <w:rFonts w:hint="default"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rPr>
        <w:t>四、绩效评价指标分析</w:t>
      </w:r>
    </w:p>
    <w:p>
      <w:pPr>
        <w:pStyle w:val="10"/>
        <w:spacing w:before="0" w:after="0" w:line="560" w:lineRule="exact"/>
        <w:ind w:firstLine="643" w:firstLineChars="200"/>
        <w:jc w:val="both"/>
        <w:rPr>
          <w:rFonts w:hint="default" w:ascii="Times New Roman" w:hAnsi="Times New Roman" w:eastAsia="楷体_GB2312" w:cs="Times New Roman"/>
          <w:highlight w:val="none"/>
        </w:rPr>
      </w:pPr>
      <w:r>
        <w:rPr>
          <w:rFonts w:hint="default" w:ascii="Times New Roman" w:hAnsi="Times New Roman" w:eastAsia="楷体_GB2312" w:cs="Times New Roman"/>
          <w:highlight w:val="none"/>
        </w:rPr>
        <w:t>（一）项目决策情况</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项目决策类指标包括项目立项、绩效目标和资金投入三方面的内容，由6个三级指标构成，权重分值为20分，实际得分</w:t>
      </w:r>
      <w:r>
        <w:rPr>
          <w:rFonts w:hint="eastAsia" w:eastAsia="仿宋_GB2312" w:cs="Times New Roman"/>
          <w:sz w:val="32"/>
          <w:szCs w:val="32"/>
          <w:highlight w:val="none"/>
          <w:lang w:val="en-US" w:eastAsia="zh-CN"/>
        </w:rPr>
        <w:t>20</w:t>
      </w:r>
      <w:r>
        <w:rPr>
          <w:rFonts w:hint="default" w:ascii="Times New Roman" w:hAnsi="Times New Roman" w:eastAsia="仿宋_GB2312" w:cs="Times New Roman"/>
          <w:sz w:val="32"/>
          <w:szCs w:val="32"/>
          <w:highlight w:val="none"/>
          <w:lang w:val="en-US" w:eastAsia="zh-CN"/>
        </w:rPr>
        <w:t>分，得分率为</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w:t>
      </w:r>
    </w:p>
    <w:p>
      <w:pPr>
        <w:pStyle w:val="19"/>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highlight w:val="none"/>
          <w:lang w:val="en-US" w:eastAsia="zh-CN"/>
        </w:rPr>
      </w:pPr>
      <w:r>
        <w:rPr>
          <w:rFonts w:hint="default" w:ascii="Times New Roman" w:hAnsi="Times New Roman" w:eastAsia="仿宋_GB2312" w:cs="Times New Roman"/>
          <w:b/>
          <w:bCs/>
          <w:sz w:val="32"/>
          <w:szCs w:val="32"/>
          <w:highlight w:val="none"/>
          <w:lang w:val="en-US" w:eastAsia="zh-CN"/>
        </w:rPr>
        <w:t>1.项目立项</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（1）立项依据充分性</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该项目立项符合国家相关法律法规及发展政策，符合行业规划要求，围绕本年度工作重点和工作计划制定经费预算，属于公共财政支持范围。本项目与部门内部其他相关项目不重复。部门发展规划及职能文件等归档完整。</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（2）立项程序规范性</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项目申请、设立过程符合相关要求，</w:t>
      </w:r>
      <w:r>
        <w:rPr>
          <w:rFonts w:hint="default" w:ascii="Times New Roman" w:hAnsi="Times New Roman" w:eastAsia="仿宋_GB2312" w:cs="Times New Roman"/>
          <w:sz w:val="32"/>
          <w:szCs w:val="32"/>
          <w:highlight w:val="none"/>
          <w:lang w:eastAsia="zh-Hans"/>
        </w:rPr>
        <w:t>严格按照审批流程准备符合要求的文件、材料；</w:t>
      </w:r>
      <w:r>
        <w:rPr>
          <w:rFonts w:hint="default" w:ascii="Times New Roman" w:hAnsi="Times New Roman" w:eastAsia="仿宋_GB2312" w:cs="Times New Roman"/>
          <w:sz w:val="32"/>
          <w:szCs w:val="32"/>
          <w:highlight w:val="none"/>
          <w:lang w:val="en-US" w:eastAsia="zh-CN"/>
        </w:rPr>
        <w:t>根据决算依据编制工作计划和经费预算，经过与部门项目分管领导沟通、筛选确定经费预算计划，确定最终预算方案。项目的审批文件、材料符合相关要求，项目事前经过必要的可行性研究、专家论证、风险评估、绩效评估、集体决策，保障了程序的规范性。</w:t>
      </w:r>
    </w:p>
    <w:p>
      <w:pPr>
        <w:pStyle w:val="19"/>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highlight w:val="none"/>
          <w:lang w:val="en-US" w:eastAsia="zh-CN"/>
        </w:rPr>
      </w:pPr>
      <w:r>
        <w:rPr>
          <w:rFonts w:hint="default" w:ascii="Times New Roman" w:hAnsi="Times New Roman" w:eastAsia="仿宋_GB2312" w:cs="Times New Roman"/>
          <w:b/>
          <w:bCs/>
          <w:sz w:val="32"/>
          <w:szCs w:val="32"/>
          <w:highlight w:val="none"/>
          <w:lang w:val="en-US" w:eastAsia="zh-CN"/>
        </w:rPr>
        <w:t>2.绩效目标</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（1）绩效目标合理性</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Hans"/>
        </w:rPr>
        <w:t>年初结合实际工作内容</w:t>
      </w:r>
      <w:r>
        <w:rPr>
          <w:rFonts w:hint="default" w:ascii="Times New Roman" w:hAnsi="Times New Roman" w:eastAsia="仿宋_GB2312" w:cs="Times New Roman"/>
          <w:sz w:val="32"/>
          <w:szCs w:val="32"/>
          <w:highlight w:val="none"/>
          <w:lang w:val="en-US" w:eastAsia="zh-CN"/>
        </w:rPr>
        <w:t>设定绩效目标</w:t>
      </w:r>
      <w:r>
        <w:rPr>
          <w:rFonts w:hint="default" w:ascii="Times New Roman" w:hAnsi="Times New Roman" w:eastAsia="仿宋_GB2312" w:cs="Times New Roman"/>
          <w:sz w:val="32"/>
          <w:szCs w:val="32"/>
          <w:highlight w:val="none"/>
          <w:lang w:val="en-US" w:eastAsia="zh-Hans"/>
        </w:rPr>
        <w:t>，绩效目标</w:t>
      </w:r>
      <w:r>
        <w:rPr>
          <w:rFonts w:hint="default" w:ascii="Times New Roman" w:hAnsi="Times New Roman" w:eastAsia="仿宋_GB2312" w:cs="Times New Roman"/>
          <w:sz w:val="32"/>
          <w:szCs w:val="32"/>
          <w:highlight w:val="none"/>
          <w:lang w:val="en-US" w:eastAsia="zh-CN"/>
        </w:rPr>
        <w:t>依据充分，符合客观实际，能反映和考核项目绩效目标与项目实施的相符情况，依据绩效目标设定的绩效指标清晰、细化、可衡量，能反映和考核项目绩效目标的明细化情况。绩效目标表经过审核，绩效目标与实际工作内容具有相关性，预算与确定的项目投资额相匹配，对项目任务进行了详细分解。项目预期产出效益及效果符合正常的业绩水平。</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（2）绩效指标明确性</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项目设置了明确的预期产出效益和效果，将绩效目标细化分解为具体的绩效指标，绩效目标与项目目标任务数相对应，绩效目标设定的绩效指标清晰、细化、可衡量。</w:t>
      </w:r>
    </w:p>
    <w:p>
      <w:pPr>
        <w:pStyle w:val="19"/>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highlight w:val="none"/>
          <w:lang w:val="en-US" w:eastAsia="zh-CN"/>
        </w:rPr>
      </w:pPr>
      <w:r>
        <w:rPr>
          <w:rFonts w:hint="default" w:ascii="Times New Roman" w:hAnsi="Times New Roman" w:eastAsia="仿宋_GB2312" w:cs="Times New Roman"/>
          <w:b/>
          <w:bCs/>
          <w:sz w:val="32"/>
          <w:szCs w:val="32"/>
          <w:highlight w:val="none"/>
          <w:lang w:val="en-US" w:eastAsia="zh-CN"/>
        </w:rPr>
        <w:t>3.资金投入</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（1）预算编制科学性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本项目的预算编制过程严谨、科学，充分体现了精细化管理的要求。预算编制之初，进行了全面的成本估算，确保项目所需的各项资源得到合理的预估与分配。同时，预算编制还紧密结合了项目的特点与实际情况，对不同阶段、不同任务的资金需求进行了详细的分析与计算。</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在预算编制过程中，</w:t>
      </w:r>
      <w:r>
        <w:rPr>
          <w:rFonts w:hint="default" w:ascii="Times New Roman" w:hAnsi="Times New Roman" w:eastAsia="仿宋_GB2312" w:cs="Times New Roman"/>
          <w:sz w:val="32"/>
          <w:szCs w:val="32"/>
          <w:highlight w:val="none"/>
          <w:lang w:val="en-US" w:eastAsia="zh-CN"/>
        </w:rPr>
        <w:t>还</w:t>
      </w:r>
      <w:r>
        <w:rPr>
          <w:rFonts w:hint="default" w:ascii="Times New Roman" w:hAnsi="Times New Roman" w:eastAsia="仿宋_GB2312" w:cs="Times New Roman"/>
          <w:sz w:val="32"/>
          <w:szCs w:val="32"/>
          <w:highlight w:val="none"/>
          <w:lang w:eastAsia="zh-CN"/>
        </w:rPr>
        <w:t>注重了成本控制与效益最大化的原则。通过优化资源配置、提高资金使用效率等措施，确保项目在有限的预算内取得最大的经济效益与社会效益。此外，预算编制还充分考虑了风险因素，对可能出现的超支情况进行了预留与规划，以应对项目实施过程中的不确定性。</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（2）资金分配合理性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本项目的资金分配遵循了公平、公正、透明的原则，确保了项目资源的合理配置与高效利用。在资金分配过程中，我们充分考虑了项目的实际需求与目标，对不同阶段、不同任务的资金进行了科学的规划与安排。</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具体而言，资金分配紧密结合了项目的特点与实际情况，对关键领域与重要环节给予了重点支持。同时，我们也注重了资金的均衡分配，避免了资源浪费与资金闲置。此外，资金分配还充分考虑了风险因素，对可能出现的超支情况进行了预留与调整。</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综上所述，本项目的资金分配是合理的、科学的，既符合项目的实际情况，又满足了资金使用的效益最大化要求。资金分配的合理性为项目的成功实施提供了有力的保障，也为项目的绩效评价奠定了坚实的基础。</w:t>
      </w:r>
    </w:p>
    <w:p>
      <w:pPr>
        <w:pStyle w:val="10"/>
        <w:numPr>
          <w:ilvl w:val="0"/>
          <w:numId w:val="4"/>
        </w:numPr>
        <w:spacing w:before="0" w:after="0" w:line="560" w:lineRule="exact"/>
        <w:ind w:firstLine="643" w:firstLineChars="200"/>
        <w:jc w:val="both"/>
        <w:rPr>
          <w:rFonts w:hint="default" w:ascii="Times New Roman" w:hAnsi="Times New Roman" w:eastAsia="楷体" w:cs="Times New Roman"/>
          <w:highlight w:val="none"/>
        </w:rPr>
      </w:pPr>
      <w:r>
        <w:rPr>
          <w:rFonts w:hint="default" w:ascii="Times New Roman" w:hAnsi="Times New Roman" w:eastAsia="楷体" w:cs="Times New Roman"/>
          <w:highlight w:val="none"/>
        </w:rPr>
        <w:t>项目过程情况</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项目过程类指标包括资金管理和组织实施两方面的内容，由</w:t>
      </w:r>
      <w:r>
        <w:rPr>
          <w:rFonts w:hint="eastAsia" w:eastAsia="仿宋_GB2312" w:cs="Times New Roman"/>
          <w:sz w:val="32"/>
          <w:szCs w:val="32"/>
          <w:highlight w:val="none"/>
          <w:lang w:val="en-US" w:eastAsia="zh-CN"/>
        </w:rPr>
        <w:t>5</w:t>
      </w:r>
      <w:r>
        <w:rPr>
          <w:rFonts w:hint="default" w:ascii="Times New Roman" w:hAnsi="Times New Roman" w:eastAsia="仿宋_GB2312" w:cs="Times New Roman"/>
          <w:sz w:val="32"/>
          <w:szCs w:val="32"/>
          <w:highlight w:val="none"/>
          <w:lang w:val="en-US" w:eastAsia="zh-CN"/>
        </w:rPr>
        <w:t>个三级指标构成，权重分值为</w:t>
      </w:r>
      <w:r>
        <w:rPr>
          <w:rFonts w:hint="eastAsia"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lang w:val="en-US" w:eastAsia="zh-CN"/>
        </w:rPr>
        <w:t>0分，实际得分</w:t>
      </w:r>
      <w:r>
        <w:rPr>
          <w:rFonts w:hint="eastAsia" w:eastAsia="仿宋_GB2312" w:cs="Times New Roman"/>
          <w:sz w:val="32"/>
          <w:szCs w:val="32"/>
          <w:highlight w:val="none"/>
          <w:lang w:val="en-US" w:eastAsia="zh-CN"/>
        </w:rPr>
        <w:t>20</w:t>
      </w:r>
      <w:r>
        <w:rPr>
          <w:rFonts w:hint="default" w:ascii="Times New Roman" w:hAnsi="Times New Roman" w:eastAsia="仿宋_GB2312" w:cs="Times New Roman"/>
          <w:sz w:val="32"/>
          <w:szCs w:val="32"/>
          <w:highlight w:val="none"/>
          <w:lang w:val="en-US" w:eastAsia="zh-CN"/>
        </w:rPr>
        <w:t>分</w:t>
      </w:r>
      <w:r>
        <w:rPr>
          <w:rFonts w:hint="default" w:ascii="Times New Roman" w:hAnsi="Times New Roman" w:eastAsia="仿宋_GB2312" w:cs="Times New Roman"/>
          <w:sz w:val="32"/>
          <w:szCs w:val="32"/>
          <w:highlight w:val="none"/>
          <w:lang w:val="en-US" w:eastAsia="zh-CN"/>
        </w:rPr>
        <w:t>，得分率为</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w:t>
      </w:r>
    </w:p>
    <w:p>
      <w:pPr>
        <w:pStyle w:val="19"/>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highlight w:val="none"/>
          <w:lang w:val="en-US" w:eastAsia="zh-CN"/>
        </w:rPr>
      </w:pPr>
      <w:r>
        <w:rPr>
          <w:rFonts w:hint="default" w:ascii="Times New Roman" w:hAnsi="Times New Roman" w:eastAsia="仿宋_GB2312" w:cs="Times New Roman"/>
          <w:b/>
          <w:bCs/>
          <w:sz w:val="32"/>
          <w:szCs w:val="32"/>
          <w:highlight w:val="none"/>
          <w:lang w:val="en-US" w:eastAsia="zh-CN"/>
        </w:rPr>
        <w:t>1.资金管理</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（1）资金到位率</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本项目总投资</w:t>
      </w:r>
      <w:r>
        <w:rPr>
          <w:rFonts w:hint="eastAsia" w:eastAsia="仿宋_GB2312" w:cs="Times New Roman"/>
          <w:sz w:val="32"/>
          <w:szCs w:val="32"/>
          <w:highlight w:val="none"/>
          <w:lang w:val="en-US" w:eastAsia="zh-CN"/>
        </w:rPr>
        <w:t>1200</w:t>
      </w:r>
      <w:r>
        <w:rPr>
          <w:rFonts w:hint="default" w:ascii="Times New Roman" w:hAnsi="Times New Roman" w:eastAsia="仿宋_GB2312" w:cs="Times New Roman"/>
          <w:sz w:val="32"/>
          <w:szCs w:val="32"/>
          <w:highlight w:val="none"/>
          <w:lang w:val="en-US" w:eastAsia="zh-CN"/>
        </w:rPr>
        <w:t>万元，财政资金及时足额到位，到位率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%，预算资金按计划进度执行。</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（2）预算执行率</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预算编制较为详细，项目资金支出总体能够按照预算执行，预算资金支出</w:t>
      </w:r>
      <w:r>
        <w:rPr>
          <w:rFonts w:hint="eastAsia" w:eastAsia="仿宋_GB2312" w:cs="Times New Roman"/>
          <w:sz w:val="32"/>
          <w:szCs w:val="32"/>
          <w:highlight w:val="none"/>
          <w:lang w:val="en-US" w:eastAsia="zh-CN"/>
        </w:rPr>
        <w:t>1200</w:t>
      </w:r>
      <w:r>
        <w:rPr>
          <w:rFonts w:hint="default" w:ascii="Times New Roman" w:hAnsi="Times New Roman" w:eastAsia="仿宋_GB2312" w:cs="Times New Roman"/>
          <w:sz w:val="32"/>
          <w:szCs w:val="32"/>
          <w:highlight w:val="none"/>
          <w:lang w:val="en-US" w:eastAsia="zh-CN"/>
        </w:rPr>
        <w:t>万元，预算执行率为</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（3）资金使用合规性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本项目的资金使用严格遵循了国家相关法律法规与财务制度，确保了资金的合规性与安全性。在资金使用过程中，我们建立了完善的财务管理体系，对资金的流动进行了全程监控与记录。</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具体而言，资金使用坚持了专款专用的原则，确保了项目资金不被挪用或截留。同时，我们还加强了对资金使用的审计与监督，定期对财务收支进行自查与自纠，及时发现并纠正可能存在的问题。此外，资金使用还充分考虑了成本效益原则，通过优化资源配置、提高资金使用效率等措施，确保了项目资金的最大化利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综上所述，本项目的资金使用是合规的、安全的，既符合国家相关法律法规与财务制度的要求，又满足了项目实施的实际需要。资金使用的合规性为项目的成功实施提供了有力的保障，也为项目的绩效评价奠定了坚实的基础。</w:t>
      </w:r>
    </w:p>
    <w:p>
      <w:pPr>
        <w:pStyle w:val="19"/>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highlight w:val="none"/>
          <w:lang w:val="en-US" w:eastAsia="zh-CN"/>
        </w:rPr>
      </w:pPr>
      <w:r>
        <w:rPr>
          <w:rFonts w:hint="default" w:ascii="Times New Roman" w:hAnsi="Times New Roman" w:eastAsia="仿宋_GB2312" w:cs="Times New Roman"/>
          <w:b/>
          <w:bCs/>
          <w:sz w:val="32"/>
          <w:szCs w:val="32"/>
          <w:highlight w:val="none"/>
          <w:lang w:val="en-US" w:eastAsia="zh-CN"/>
        </w:rPr>
        <w:t>2.组织实施</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（1）管理制度健全性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本项目拥有一套完善、健全的管理制度体系，为项目的成功实施提供了坚实的制度保障。项目管理制度的制定紧密结合了项目的特点与实际情况，涵盖了项目的策划、组织、实施、监控与收尾等各个环节。</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在制度设计上，我们注重了制度的科学性与可操作性，确保制度能够切实指导项目的执行与管理。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此外，项目管理制度还充分考虑了风险因素，制定了相应的风险应对措施与预案，以应对项目实施过程中可能出现的各种风险与挑战。管理制度的健全性不仅体现在制度的完善上，还体现在制度的执行与监督上。我们建立了有效的监督机制与反馈机制，对项目的实施情况进行定期检查与评估，及时发现并纠正可能存在的问题。</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综上所述，本项目的管理制度是健全的、有效的，既符合项目的实际情况，又满足了项目管理的需要。管理制度的健全性为项目的成功实施提供了有力的保障，也为项目的绩效评价奠定了坚实的基础。</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（2）制度执行有效性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本项目在执行过程中，管理制度得到了全面、有效的落实，为确保项目的顺利实施与目标实现提供了坚实的保障。项目</w:t>
      </w:r>
      <w:r>
        <w:rPr>
          <w:rFonts w:hint="default" w:ascii="Times New Roman" w:hAnsi="Times New Roman" w:eastAsia="仿宋_GB2312" w:cs="Times New Roman"/>
          <w:sz w:val="32"/>
          <w:szCs w:val="32"/>
          <w:highlight w:val="none"/>
          <w:lang w:val="en-US" w:eastAsia="zh-CN"/>
        </w:rPr>
        <w:t>单位</w:t>
      </w:r>
      <w:r>
        <w:rPr>
          <w:rFonts w:hint="default" w:ascii="Times New Roman" w:hAnsi="Times New Roman" w:eastAsia="仿宋_GB2312" w:cs="Times New Roman"/>
          <w:sz w:val="32"/>
          <w:szCs w:val="32"/>
          <w:highlight w:val="none"/>
          <w:lang w:eastAsia="zh-CN"/>
        </w:rPr>
        <w:t>重视制度执行的重要性，通过明确责任分工、制定详细执行计划、加强监督考核等措施，确保了各项管理制度能够得到有效执行。</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在具体执行过程中，项目团队成员严格按照制度要求进行操作。同时，我们还建立了有效的沟通机制与反馈机制，确保项目信息的及时传递与问题的及时解决，进一步提高了制度执行的效率与效果。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eastAsia="zh-CN"/>
        </w:rPr>
        <w:t>综上所述，本项目的管理制度在执行过程中表现出了高度的有效性，既确保了项目的顺利进行，又实现了项目目标的有效达成。</w:t>
      </w:r>
    </w:p>
    <w:p>
      <w:pPr>
        <w:pStyle w:val="12"/>
        <w:numPr>
          <w:ilvl w:val="0"/>
          <w:numId w:val="4"/>
        </w:numPr>
        <w:spacing w:line="560" w:lineRule="exact"/>
        <w:ind w:firstLine="643"/>
        <w:rPr>
          <w:rFonts w:hint="default" w:ascii="Times New Roman" w:hAnsi="Times New Roman" w:eastAsia="楷体_GB2312" w:cs="Times New Roman"/>
          <w:b/>
          <w:bCs/>
          <w:sz w:val="32"/>
          <w:szCs w:val="32"/>
          <w:highlight w:val="none"/>
        </w:rPr>
      </w:pPr>
      <w:r>
        <w:rPr>
          <w:rFonts w:hint="default" w:ascii="Times New Roman" w:hAnsi="Times New Roman" w:eastAsia="楷体_GB2312" w:cs="Times New Roman"/>
          <w:b/>
          <w:bCs/>
          <w:sz w:val="32"/>
          <w:szCs w:val="32"/>
          <w:highlight w:val="none"/>
        </w:rPr>
        <w:t>项目产出</w:t>
      </w:r>
      <w:r>
        <w:rPr>
          <w:rFonts w:hint="default" w:ascii="Times New Roman" w:hAnsi="Times New Roman" w:eastAsia="楷体_GB2312" w:cs="Times New Roman"/>
          <w:b/>
          <w:bCs/>
          <w:sz w:val="32"/>
          <w:szCs w:val="32"/>
          <w:highlight w:val="none"/>
          <w:lang w:val="en-US" w:eastAsia="zh-CN"/>
        </w:rPr>
        <w:t>情况</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项目产出类指标包括产出数量、产出质量、产出时效、产出成本四方面的内容，由</w:t>
      </w:r>
      <w:r>
        <w:rPr>
          <w:rFonts w:hint="eastAsia" w:eastAsia="仿宋_GB2312" w:cs="Times New Roman"/>
          <w:sz w:val="32"/>
          <w:szCs w:val="32"/>
          <w:highlight w:val="none"/>
          <w:lang w:val="en-US" w:eastAsia="zh-CN"/>
        </w:rPr>
        <w:t>11</w:t>
      </w:r>
      <w:r>
        <w:rPr>
          <w:rFonts w:hint="default" w:ascii="Times New Roman" w:hAnsi="Times New Roman" w:eastAsia="仿宋_GB2312" w:cs="Times New Roman"/>
          <w:sz w:val="32"/>
          <w:szCs w:val="32"/>
          <w:highlight w:val="none"/>
          <w:lang w:val="en-US" w:eastAsia="zh-CN"/>
        </w:rPr>
        <w:t>个三级指标构成，权重分为</w:t>
      </w:r>
      <w:r>
        <w:rPr>
          <w:rFonts w:hint="eastAsia" w:eastAsia="仿宋_GB2312" w:cs="Times New Roman"/>
          <w:sz w:val="32"/>
          <w:szCs w:val="32"/>
          <w:highlight w:val="none"/>
          <w:lang w:val="en-US" w:eastAsia="zh-CN"/>
        </w:rPr>
        <w:t>4</w:t>
      </w:r>
      <w:r>
        <w:rPr>
          <w:rFonts w:hint="default" w:ascii="Times New Roman" w:hAnsi="Times New Roman" w:eastAsia="仿宋_GB2312" w:cs="Times New Roman"/>
          <w:sz w:val="32"/>
          <w:szCs w:val="32"/>
          <w:highlight w:val="none"/>
          <w:lang w:val="en-US" w:eastAsia="zh-CN"/>
        </w:rPr>
        <w:t>0分，实际得分</w:t>
      </w:r>
      <w:r>
        <w:rPr>
          <w:rFonts w:hint="eastAsia" w:eastAsia="仿宋_GB2312" w:cs="Times New Roman"/>
          <w:sz w:val="32"/>
          <w:szCs w:val="32"/>
          <w:highlight w:val="none"/>
          <w:lang w:val="en-US" w:eastAsia="zh-CN"/>
        </w:rPr>
        <w:t>40</w:t>
      </w:r>
      <w:r>
        <w:rPr>
          <w:rFonts w:hint="default" w:ascii="Times New Roman" w:hAnsi="Times New Roman" w:eastAsia="仿宋_GB2312" w:cs="Times New Roman"/>
          <w:sz w:val="32"/>
          <w:szCs w:val="32"/>
          <w:highlight w:val="none"/>
          <w:lang w:val="en-US" w:eastAsia="zh-CN"/>
        </w:rPr>
        <w:t>分，得分率为</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%。具体产出指标完成情况如下：</w:t>
      </w:r>
    </w:p>
    <w:p>
      <w:pPr>
        <w:shd w:val="clear"/>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1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①</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数量指标：</w:t>
      </w:r>
    </w:p>
    <w:p>
      <w:pPr>
        <w:shd w:val="clear"/>
        <w:spacing w:line="600" w:lineRule="exact"/>
        <w:ind w:firstLine="640" w:firstLineChars="200"/>
        <w:outlineLvl w:val="0"/>
        <w:rPr>
          <w:rFonts w:hint="eastAsia"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指标1：</w:t>
      </w:r>
      <w:r>
        <w:rPr>
          <w:rFonts w:hint="eastAsia" w:eastAsia="仿宋_GB2312" w:cs="Times New Roman"/>
          <w:sz w:val="32"/>
          <w:szCs w:val="32"/>
          <w:highlight w:val="none"/>
          <w:lang w:val="en-US" w:eastAsia="zh-CN"/>
        </w:rPr>
        <w:t>改造燃气老管网</w:t>
      </w:r>
      <w:r>
        <w:rPr>
          <w:rFonts w:hint="default" w:ascii="Times New Roman" w:hAnsi="Times New Roman" w:eastAsia="仿宋_GB2312" w:cs="Times New Roman"/>
          <w:sz w:val="32"/>
          <w:szCs w:val="32"/>
          <w:highlight w:val="none"/>
        </w:rPr>
        <w:t>，指标值：</w:t>
      </w:r>
      <w:r>
        <w:rPr>
          <w:rFonts w:hint="eastAsia" w:eastAsia="仿宋_GB2312" w:cs="Times New Roman"/>
          <w:sz w:val="32"/>
          <w:szCs w:val="32"/>
          <w:highlight w:val="none"/>
          <w:lang w:val="en-US" w:eastAsia="zh-CN"/>
        </w:rPr>
        <w:t>≥2605米</w:t>
      </w:r>
      <w:r>
        <w:rPr>
          <w:rFonts w:hint="default" w:ascii="Times New Roman" w:hAnsi="Times New Roman" w:eastAsia="仿宋_GB2312" w:cs="Times New Roman"/>
          <w:sz w:val="32"/>
          <w:szCs w:val="32"/>
          <w:highlight w:val="none"/>
        </w:rPr>
        <w:t>，实际完成值：</w:t>
      </w:r>
      <w:r>
        <w:rPr>
          <w:rFonts w:hint="eastAsia" w:eastAsia="仿宋_GB2312" w:cs="Times New Roman"/>
          <w:sz w:val="32"/>
          <w:szCs w:val="32"/>
          <w:highlight w:val="none"/>
          <w:lang w:val="en-US" w:eastAsia="zh-CN"/>
        </w:rPr>
        <w:t>2605米</w:t>
      </w:r>
      <w:r>
        <w:rPr>
          <w:rFonts w:hint="default" w:ascii="Times New Roman" w:hAnsi="Times New Roman" w:eastAsia="仿宋_GB2312" w:cs="Times New Roman"/>
          <w:sz w:val="32"/>
          <w:szCs w:val="32"/>
          <w:highlight w:val="none"/>
        </w:rPr>
        <w:t>，指标完成率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eastAsia="zh-CN"/>
        </w:rPr>
        <w:t>；</w:t>
      </w:r>
      <w:r>
        <w:rPr>
          <w:rFonts w:hint="eastAsia" w:eastAsia="仿宋_GB2312" w:cs="Times New Roman"/>
          <w:sz w:val="32"/>
          <w:szCs w:val="32"/>
          <w:highlight w:val="none"/>
          <w:lang w:val="en-US" w:eastAsia="zh-CN"/>
        </w:rPr>
        <w:t>指标2：更换橡胶软管，指标值：≥12000米，实际完成值12000米，指标完成率100%；指标3：新改建排水管网长度，指标值：≥6000米，实际完成值：6000米，指标完成率100%；指标4：新改建供水管网长度，指标值：≥6000米，实际完成值：6000米，指标完成率100%。</w:t>
      </w:r>
    </w:p>
    <w:p>
      <w:pPr>
        <w:shd w:val="clear"/>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2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②</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质量指标：</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eastAsia" w:eastAsia="仿宋_GB2312" w:cs="Times New Roman"/>
          <w:sz w:val="32"/>
          <w:szCs w:val="32"/>
          <w:highlight w:val="none"/>
          <w:lang w:val="en-US" w:eastAsia="zh-CN"/>
        </w:rPr>
        <w:t>指标1：燃气安全隐患消除率</w:t>
      </w:r>
      <w:r>
        <w:rPr>
          <w:rFonts w:hint="default" w:ascii="Times New Roman" w:hAnsi="Times New Roman" w:eastAsia="仿宋_GB2312" w:cs="Times New Roman"/>
          <w:sz w:val="32"/>
          <w:szCs w:val="32"/>
          <w:highlight w:val="none"/>
          <w:lang w:val="en-US" w:eastAsia="zh-CN"/>
        </w:rPr>
        <w:t>，指标值：</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，实际完成值：</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，指标完成率100%；指标</w:t>
      </w:r>
      <w:r>
        <w:rPr>
          <w:rFonts w:hint="eastAsia"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lang w:val="en-US" w:eastAsia="zh-CN"/>
        </w:rPr>
        <w:t>：</w:t>
      </w:r>
      <w:r>
        <w:rPr>
          <w:rFonts w:hint="eastAsia" w:eastAsia="仿宋_GB2312" w:cs="Times New Roman"/>
          <w:sz w:val="32"/>
          <w:szCs w:val="32"/>
          <w:highlight w:val="none"/>
          <w:lang w:val="en-US" w:eastAsia="zh-CN"/>
        </w:rPr>
        <w:t>资金支付准确</w:t>
      </w:r>
      <w:r>
        <w:rPr>
          <w:rFonts w:hint="default" w:ascii="Times New Roman" w:hAnsi="Times New Roman" w:eastAsia="仿宋_GB2312" w:cs="Times New Roman"/>
          <w:sz w:val="32"/>
          <w:szCs w:val="32"/>
          <w:highlight w:val="none"/>
          <w:lang w:val="en-US" w:eastAsia="zh-CN"/>
        </w:rPr>
        <w:t>率，指标值：</w:t>
      </w:r>
      <w:r>
        <w:rPr>
          <w:rFonts w:hint="eastAsia" w:eastAsia="仿宋_GB2312" w:cs="Times New Roman"/>
          <w:sz w:val="32"/>
          <w:szCs w:val="32"/>
          <w:highlight w:val="none"/>
          <w:lang w:val="en-US" w:eastAsia="zh-CN"/>
        </w:rPr>
        <w:t>≥99</w:t>
      </w:r>
      <w:r>
        <w:rPr>
          <w:rFonts w:hint="default" w:ascii="Times New Roman" w:hAnsi="Times New Roman" w:eastAsia="仿宋_GB2312" w:cs="Times New Roman"/>
          <w:sz w:val="32"/>
          <w:szCs w:val="32"/>
          <w:highlight w:val="none"/>
          <w:lang w:val="en-US" w:eastAsia="zh-CN"/>
        </w:rPr>
        <w:t>%，实际完成值：</w:t>
      </w:r>
      <w:r>
        <w:rPr>
          <w:rFonts w:hint="eastAsia" w:eastAsia="仿宋_GB2312" w:cs="Times New Roman"/>
          <w:sz w:val="32"/>
          <w:szCs w:val="32"/>
          <w:highlight w:val="none"/>
          <w:lang w:val="en-US" w:eastAsia="zh-CN"/>
        </w:rPr>
        <w:t>99</w:t>
      </w:r>
      <w:r>
        <w:rPr>
          <w:rFonts w:hint="default" w:ascii="Times New Roman" w:hAnsi="Times New Roman" w:eastAsia="仿宋_GB2312" w:cs="Times New Roman"/>
          <w:sz w:val="32"/>
          <w:szCs w:val="32"/>
          <w:highlight w:val="none"/>
          <w:lang w:val="en-US" w:eastAsia="zh-CN"/>
        </w:rPr>
        <w:t>%，指标完成率100%；</w:t>
      </w:r>
    </w:p>
    <w:p>
      <w:pPr>
        <w:shd w:val="clear"/>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3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③</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时效指标：</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指标1：</w:t>
      </w:r>
      <w:r>
        <w:rPr>
          <w:rFonts w:hint="eastAsia" w:eastAsia="仿宋_GB2312" w:cs="Times New Roman"/>
          <w:sz w:val="32"/>
          <w:szCs w:val="32"/>
          <w:highlight w:val="none"/>
          <w:lang w:val="en-US" w:eastAsia="zh-CN"/>
        </w:rPr>
        <w:t>资金支付及时</w:t>
      </w:r>
      <w:r>
        <w:rPr>
          <w:rFonts w:hint="default" w:ascii="Times New Roman" w:hAnsi="Times New Roman" w:eastAsia="仿宋_GB2312" w:cs="Times New Roman"/>
          <w:sz w:val="32"/>
          <w:szCs w:val="32"/>
          <w:highlight w:val="none"/>
          <w:lang w:val="en-US" w:eastAsia="zh-CN"/>
        </w:rPr>
        <w:t>率，指标值：100%，实际完成值：100%，指标完成率100%</w:t>
      </w:r>
      <w:r>
        <w:rPr>
          <w:rFonts w:hint="eastAsia" w:eastAsia="仿宋_GB2312" w:cs="Times New Roman"/>
          <w:sz w:val="32"/>
          <w:szCs w:val="32"/>
          <w:highlight w:val="none"/>
          <w:lang w:val="en-US" w:eastAsia="zh-CN"/>
        </w:rPr>
        <w:t>。</w:t>
      </w:r>
    </w:p>
    <w:p>
      <w:pPr>
        <w:shd w:val="clear"/>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4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④</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成本指标：</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指标1：燃气</w:t>
      </w:r>
      <w:r>
        <w:rPr>
          <w:rFonts w:hint="eastAsia" w:eastAsia="仿宋_GB2312" w:cs="Times New Roman"/>
          <w:sz w:val="32"/>
          <w:szCs w:val="32"/>
          <w:highlight w:val="none"/>
          <w:lang w:val="en-US" w:eastAsia="zh-CN"/>
        </w:rPr>
        <w:t>管网改造成本</w:t>
      </w:r>
      <w:r>
        <w:rPr>
          <w:rFonts w:hint="default" w:ascii="Times New Roman" w:hAnsi="Times New Roman" w:eastAsia="仿宋_GB2312" w:cs="Times New Roman"/>
          <w:sz w:val="32"/>
          <w:szCs w:val="32"/>
          <w:highlight w:val="none"/>
          <w:lang w:val="en-US" w:eastAsia="zh-CN"/>
        </w:rPr>
        <w:t>，指标值：</w:t>
      </w:r>
      <w:r>
        <w:rPr>
          <w:rFonts w:hint="eastAsia" w:eastAsia="仿宋_GB2312" w:cs="Times New Roman"/>
          <w:sz w:val="32"/>
          <w:szCs w:val="32"/>
          <w:highlight w:val="none"/>
          <w:lang w:val="en-US" w:eastAsia="zh-CN"/>
        </w:rPr>
        <w:t>≤520万元</w:t>
      </w:r>
      <w:r>
        <w:rPr>
          <w:rFonts w:hint="default" w:ascii="Times New Roman" w:hAnsi="Times New Roman" w:eastAsia="仿宋_GB2312" w:cs="Times New Roman"/>
          <w:sz w:val="32"/>
          <w:szCs w:val="32"/>
          <w:highlight w:val="none"/>
          <w:lang w:val="en-US" w:eastAsia="zh-CN"/>
        </w:rPr>
        <w:t>，实际完成值：</w:t>
      </w:r>
      <w:r>
        <w:rPr>
          <w:rFonts w:hint="eastAsia" w:eastAsia="仿宋_GB2312" w:cs="Times New Roman"/>
          <w:sz w:val="32"/>
          <w:szCs w:val="32"/>
          <w:highlight w:val="none"/>
          <w:lang w:val="en-US" w:eastAsia="zh-CN"/>
        </w:rPr>
        <w:t>520万元</w:t>
      </w:r>
      <w:r>
        <w:rPr>
          <w:rFonts w:hint="default" w:ascii="Times New Roman" w:hAnsi="Times New Roman" w:eastAsia="仿宋_GB2312" w:cs="Times New Roman"/>
          <w:sz w:val="32"/>
          <w:szCs w:val="32"/>
          <w:highlight w:val="none"/>
          <w:lang w:val="en-US" w:eastAsia="zh-CN"/>
        </w:rPr>
        <w:t>，指标完成率100%</w:t>
      </w:r>
      <w:r>
        <w:rPr>
          <w:rFonts w:hint="eastAsia" w:eastAsia="仿宋_GB2312" w:cs="Times New Roman"/>
          <w:sz w:val="32"/>
          <w:szCs w:val="32"/>
          <w:highlight w:val="none"/>
          <w:lang w:val="en-US" w:eastAsia="zh-CN"/>
        </w:rPr>
        <w:t>；指标2：供水管网改造成本，指标值：≤300万元，实际完成值：300万元，指标完成率100%；指标3：排水管网改造成本，指标值：≤300万元，实际完成值：300万元，指标完成率100%；指标4：燃气软管改造成本，指标值：≤80万元，实际完成值：80万元，指标完成率100%。</w:t>
      </w:r>
    </w:p>
    <w:p>
      <w:pPr>
        <w:pStyle w:val="12"/>
        <w:numPr>
          <w:ilvl w:val="0"/>
          <w:numId w:val="4"/>
        </w:numPr>
        <w:spacing w:line="560" w:lineRule="exact"/>
        <w:ind w:firstLine="643"/>
        <w:rPr>
          <w:rFonts w:hint="default" w:ascii="Times New Roman" w:hAnsi="Times New Roman" w:eastAsia="楷体_GB2312" w:cs="Times New Roman"/>
          <w:b/>
          <w:bCs/>
          <w:sz w:val="32"/>
          <w:szCs w:val="32"/>
          <w:highlight w:val="none"/>
          <w:lang w:val="en-US" w:eastAsia="zh-CN"/>
        </w:rPr>
      </w:pPr>
      <w:r>
        <w:rPr>
          <w:rFonts w:hint="default" w:ascii="Times New Roman" w:hAnsi="Times New Roman" w:eastAsia="楷体_GB2312" w:cs="Times New Roman"/>
          <w:b/>
          <w:bCs/>
          <w:sz w:val="32"/>
          <w:szCs w:val="32"/>
          <w:highlight w:val="none"/>
          <w:lang w:val="en-US" w:eastAsia="zh-CN"/>
        </w:rPr>
        <w:t>项目效益情况</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项目效益类指标包括项目实施效益和满意度两方面的内容，由</w:t>
      </w:r>
      <w:r>
        <w:rPr>
          <w:rFonts w:hint="eastAsia" w:eastAsia="仿宋_GB2312" w:cs="Times New Roman"/>
          <w:sz w:val="32"/>
          <w:szCs w:val="32"/>
          <w:highlight w:val="none"/>
          <w:lang w:val="en-US" w:eastAsia="zh-CN"/>
        </w:rPr>
        <w:t>3</w:t>
      </w:r>
      <w:r>
        <w:rPr>
          <w:rFonts w:hint="default" w:ascii="Times New Roman" w:hAnsi="Times New Roman" w:eastAsia="仿宋_GB2312" w:cs="Times New Roman"/>
          <w:sz w:val="32"/>
          <w:szCs w:val="32"/>
          <w:highlight w:val="none"/>
          <w:lang w:val="en-US" w:eastAsia="zh-CN"/>
        </w:rPr>
        <w:t>个三级指标构成，权重分为</w:t>
      </w:r>
      <w:r>
        <w:rPr>
          <w:rFonts w:hint="eastAsia"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lang w:val="en-US" w:eastAsia="zh-CN"/>
        </w:rPr>
        <w:t>0分，实际得分</w:t>
      </w:r>
      <w:r>
        <w:rPr>
          <w:rFonts w:hint="eastAsia" w:eastAsia="仿宋_GB2312" w:cs="Times New Roman"/>
          <w:sz w:val="32"/>
          <w:szCs w:val="32"/>
          <w:highlight w:val="none"/>
          <w:lang w:val="en-US" w:eastAsia="zh-CN"/>
        </w:rPr>
        <w:t>20</w:t>
      </w:r>
      <w:r>
        <w:rPr>
          <w:rFonts w:hint="default" w:ascii="Times New Roman" w:hAnsi="Times New Roman" w:eastAsia="仿宋_GB2312" w:cs="Times New Roman"/>
          <w:sz w:val="32"/>
          <w:szCs w:val="32"/>
          <w:highlight w:val="none"/>
          <w:lang w:val="en-US" w:eastAsia="zh-CN"/>
        </w:rPr>
        <w:t>分，得分率为</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%。具体效益指标及满意度指标完成情况如下：</w:t>
      </w:r>
    </w:p>
    <w:p>
      <w:pPr>
        <w:shd w:val="clear"/>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1.实施效益</w:t>
      </w:r>
      <w:r>
        <w:rPr>
          <w:rFonts w:hint="default" w:ascii="Times New Roman" w:hAnsi="Times New Roman" w:eastAsia="仿宋_GB2312" w:cs="Times New Roman"/>
          <w:sz w:val="32"/>
          <w:szCs w:val="32"/>
          <w:highlight w:val="none"/>
        </w:rPr>
        <w:t>社会效益指标：</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指标1：</w:t>
      </w:r>
      <w:r>
        <w:rPr>
          <w:rFonts w:hint="eastAsia" w:eastAsia="仿宋_GB2312" w:cs="Times New Roman"/>
          <w:sz w:val="32"/>
          <w:szCs w:val="32"/>
          <w:highlight w:val="none"/>
          <w:lang w:val="en-US" w:eastAsia="zh-CN"/>
        </w:rPr>
        <w:t>保障全县燃气供应正常运行</w:t>
      </w:r>
      <w:r>
        <w:rPr>
          <w:rFonts w:hint="default" w:ascii="Times New Roman" w:hAnsi="Times New Roman" w:eastAsia="仿宋_GB2312" w:cs="Times New Roman"/>
          <w:sz w:val="32"/>
          <w:szCs w:val="32"/>
          <w:highlight w:val="none"/>
          <w:lang w:val="en-US" w:eastAsia="zh-CN"/>
        </w:rPr>
        <w:t>，指标值：</w:t>
      </w:r>
      <w:r>
        <w:rPr>
          <w:rFonts w:hint="eastAsia" w:eastAsia="仿宋_GB2312" w:cs="Times New Roman"/>
          <w:sz w:val="32"/>
          <w:szCs w:val="32"/>
          <w:highlight w:val="none"/>
          <w:lang w:val="en-US" w:eastAsia="zh-CN"/>
        </w:rPr>
        <w:t>有效保障</w:t>
      </w:r>
      <w:r>
        <w:rPr>
          <w:rFonts w:hint="default" w:ascii="Times New Roman" w:hAnsi="Times New Roman" w:eastAsia="仿宋_GB2312" w:cs="Times New Roman"/>
          <w:sz w:val="32"/>
          <w:szCs w:val="32"/>
          <w:highlight w:val="none"/>
          <w:lang w:val="en-US" w:eastAsia="zh-CN"/>
        </w:rPr>
        <w:t>，实际完成值：</w:t>
      </w:r>
      <w:r>
        <w:rPr>
          <w:rFonts w:hint="eastAsia" w:eastAsia="仿宋_GB2312" w:cs="Times New Roman"/>
          <w:sz w:val="32"/>
          <w:szCs w:val="32"/>
          <w:highlight w:val="none"/>
          <w:lang w:val="en-US" w:eastAsia="zh-CN"/>
        </w:rPr>
        <w:t>有效保障</w:t>
      </w:r>
      <w:r>
        <w:rPr>
          <w:rFonts w:hint="default" w:ascii="Times New Roman" w:hAnsi="Times New Roman" w:eastAsia="仿宋_GB2312" w:cs="Times New Roman"/>
          <w:sz w:val="32"/>
          <w:szCs w:val="32"/>
          <w:highlight w:val="none"/>
          <w:lang w:val="en-US" w:eastAsia="zh-CN"/>
        </w:rPr>
        <w:t>，指标完成率100%</w:t>
      </w:r>
      <w:r>
        <w:rPr>
          <w:rFonts w:hint="eastAsia" w:eastAsia="仿宋_GB2312" w:cs="Times New Roman"/>
          <w:sz w:val="32"/>
          <w:szCs w:val="32"/>
          <w:highlight w:val="none"/>
          <w:lang w:val="en-US" w:eastAsia="zh-CN"/>
        </w:rPr>
        <w:t>；指标2：受益人数，指标值：≥4万人，实际完成值：4万人，指标完成率100%。</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2.满意度</w:t>
      </w:r>
    </w:p>
    <w:p>
      <w:pPr>
        <w:spacing w:line="560" w:lineRule="exact"/>
        <w:ind w:firstLine="640" w:firstLineChars="20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指标1：</w:t>
      </w:r>
      <w:r>
        <w:rPr>
          <w:rFonts w:hint="eastAsia" w:eastAsia="仿宋_GB2312" w:cs="Times New Roman"/>
          <w:sz w:val="32"/>
          <w:szCs w:val="32"/>
          <w:highlight w:val="none"/>
          <w:lang w:val="en-US" w:eastAsia="zh-CN"/>
        </w:rPr>
        <w:t>全县人民满意度</w:t>
      </w:r>
      <w:r>
        <w:rPr>
          <w:rFonts w:hint="default" w:ascii="Times New Roman" w:hAnsi="Times New Roman" w:eastAsia="仿宋_GB2312" w:cs="Times New Roman"/>
          <w:sz w:val="32"/>
          <w:szCs w:val="32"/>
          <w:highlight w:val="none"/>
          <w:lang w:val="en-US" w:eastAsia="zh-CN"/>
        </w:rPr>
        <w:t>，指标值：</w:t>
      </w:r>
      <w:r>
        <w:rPr>
          <w:rFonts w:hint="eastAsia" w:eastAsia="仿宋_GB2312" w:cs="Times New Roman"/>
          <w:sz w:val="32"/>
          <w:szCs w:val="32"/>
          <w:highlight w:val="none"/>
          <w:lang w:val="en-US" w:eastAsia="zh-CN"/>
        </w:rPr>
        <w:t>≥95%</w:t>
      </w:r>
      <w:r>
        <w:rPr>
          <w:rFonts w:hint="default" w:ascii="Times New Roman" w:hAnsi="Times New Roman" w:eastAsia="仿宋_GB2312" w:cs="Times New Roman"/>
          <w:sz w:val="32"/>
          <w:szCs w:val="32"/>
          <w:highlight w:val="none"/>
          <w:lang w:val="en-US" w:eastAsia="zh-CN"/>
        </w:rPr>
        <w:t>，实际完成值：</w:t>
      </w:r>
      <w:r>
        <w:rPr>
          <w:rFonts w:hint="eastAsia" w:eastAsia="仿宋_GB2312" w:cs="Times New Roman"/>
          <w:sz w:val="32"/>
          <w:szCs w:val="32"/>
          <w:highlight w:val="none"/>
          <w:lang w:val="en-US" w:eastAsia="zh-CN"/>
        </w:rPr>
        <w:t>95%</w:t>
      </w:r>
      <w:r>
        <w:rPr>
          <w:rFonts w:hint="default" w:ascii="Times New Roman" w:hAnsi="Times New Roman" w:eastAsia="仿宋_GB2312" w:cs="Times New Roman"/>
          <w:sz w:val="32"/>
          <w:szCs w:val="32"/>
          <w:highlight w:val="none"/>
          <w:lang w:val="en-US" w:eastAsia="zh-CN"/>
        </w:rPr>
        <w:t>，指标完成率100%</w:t>
      </w:r>
      <w:r>
        <w:rPr>
          <w:rFonts w:hint="eastAsia" w:eastAsia="仿宋_GB2312" w:cs="Times New Roman"/>
          <w:sz w:val="32"/>
          <w:szCs w:val="32"/>
          <w:highlight w:val="none"/>
          <w:lang w:val="en-US" w:eastAsia="zh-CN"/>
        </w:rPr>
        <w:t>。</w:t>
      </w:r>
    </w:p>
    <w:p>
      <w:pPr>
        <w:spacing w:line="560" w:lineRule="exact"/>
        <w:ind w:firstLine="643" w:firstLineChars="200"/>
        <w:rPr>
          <w:rFonts w:hint="default" w:ascii="Times New Roman" w:hAnsi="Times New Roman" w:eastAsia="楷体_GB2312" w:cs="Times New Roman"/>
          <w:b/>
          <w:bCs/>
          <w:sz w:val="32"/>
          <w:szCs w:val="32"/>
          <w:highlight w:val="none"/>
          <w:lang w:val="en-US" w:eastAsia="zh-Hans"/>
        </w:rPr>
      </w:pPr>
      <w:r>
        <w:rPr>
          <w:rFonts w:hint="default" w:ascii="Times New Roman" w:hAnsi="Times New Roman" w:eastAsia="楷体_GB2312" w:cs="Times New Roman"/>
          <w:b/>
          <w:bCs/>
          <w:sz w:val="32"/>
          <w:szCs w:val="32"/>
          <w:highlight w:val="none"/>
          <w:lang w:val="en-US" w:eastAsia="zh-CN"/>
        </w:rPr>
        <w:t>（五）</w:t>
      </w:r>
      <w:r>
        <w:rPr>
          <w:rFonts w:hint="default" w:ascii="Times New Roman" w:hAnsi="Times New Roman" w:eastAsia="楷体_GB2312" w:cs="Times New Roman"/>
          <w:b/>
          <w:bCs/>
          <w:sz w:val="32"/>
          <w:szCs w:val="32"/>
          <w:highlight w:val="none"/>
          <w:lang w:val="en-US" w:eastAsia="zh-Hans"/>
        </w:rPr>
        <w:t>预算执行进度与绩效指标总体完成率偏差</w:t>
      </w:r>
    </w:p>
    <w:p>
      <w:pPr>
        <w:pStyle w:val="19"/>
        <w:spacing w:line="560" w:lineRule="exact"/>
        <w:ind w:firstLine="640"/>
        <w:rPr>
          <w:rFonts w:hint="default" w:ascii="Times New Roman" w:hAnsi="Times New Roman" w:eastAsia="方正仿宋_GBK" w:cs="Times New Roman"/>
          <w:sz w:val="32"/>
          <w:szCs w:val="32"/>
          <w:highlight w:val="none"/>
        </w:rPr>
      </w:pPr>
      <w:r>
        <w:rPr>
          <w:rFonts w:hint="default" w:ascii="Times New Roman" w:hAnsi="Times New Roman" w:eastAsia="方正仿宋_GBK" w:cs="Times New Roman"/>
          <w:sz w:val="32"/>
          <w:szCs w:val="32"/>
          <w:highlight w:val="none"/>
          <w:lang w:val="en-US" w:eastAsia="zh-CN"/>
        </w:rPr>
        <w:t>伊犁州特克斯县2023年燃气老化更新改造建设项目</w:t>
      </w:r>
      <w:r>
        <w:rPr>
          <w:rFonts w:hint="default" w:ascii="Times New Roman" w:hAnsi="Times New Roman" w:eastAsia="方正仿宋_GBK" w:cs="Times New Roman"/>
          <w:sz w:val="32"/>
          <w:szCs w:val="32"/>
          <w:highlight w:val="none"/>
        </w:rPr>
        <w:t>年初预算</w:t>
      </w:r>
      <w:r>
        <w:rPr>
          <w:rFonts w:hint="eastAsia" w:eastAsia="方正仿宋_GBK" w:cs="Times New Roman"/>
          <w:sz w:val="32"/>
          <w:szCs w:val="32"/>
          <w:highlight w:val="none"/>
          <w:lang w:val="en-US" w:eastAsia="zh-CN"/>
        </w:rPr>
        <w:t>1200</w:t>
      </w:r>
      <w:r>
        <w:rPr>
          <w:rFonts w:hint="default" w:ascii="Times New Roman" w:hAnsi="Times New Roman" w:eastAsia="方正仿宋_GBK" w:cs="Times New Roman"/>
          <w:sz w:val="32"/>
          <w:szCs w:val="32"/>
          <w:highlight w:val="none"/>
        </w:rPr>
        <w:t>万元，全年预算</w:t>
      </w:r>
      <w:r>
        <w:rPr>
          <w:rFonts w:hint="eastAsia" w:eastAsia="方正仿宋_GBK" w:cs="Times New Roman"/>
          <w:sz w:val="32"/>
          <w:szCs w:val="32"/>
          <w:highlight w:val="none"/>
          <w:lang w:val="en-US" w:eastAsia="zh-CN"/>
        </w:rPr>
        <w:t>1200</w:t>
      </w:r>
      <w:r>
        <w:rPr>
          <w:rFonts w:hint="default" w:ascii="Times New Roman" w:hAnsi="Times New Roman" w:eastAsia="方正仿宋_GBK" w:cs="Times New Roman"/>
          <w:sz w:val="32"/>
          <w:szCs w:val="32"/>
          <w:highlight w:val="none"/>
        </w:rPr>
        <w:t>万元，实际支出</w:t>
      </w:r>
      <w:r>
        <w:rPr>
          <w:rFonts w:hint="eastAsia" w:eastAsia="方正仿宋_GBK" w:cs="Times New Roman"/>
          <w:sz w:val="32"/>
          <w:szCs w:val="32"/>
          <w:highlight w:val="none"/>
          <w:lang w:val="en-US" w:eastAsia="zh-CN"/>
        </w:rPr>
        <w:t>1200</w:t>
      </w:r>
      <w:r>
        <w:rPr>
          <w:rFonts w:hint="default" w:ascii="Times New Roman" w:hAnsi="Times New Roman" w:eastAsia="方正仿宋_GBK" w:cs="Times New Roman"/>
          <w:sz w:val="32"/>
          <w:szCs w:val="32"/>
          <w:highlight w:val="none"/>
        </w:rPr>
        <w:t>万元，预算执行率为</w:t>
      </w:r>
      <w:r>
        <w:rPr>
          <w:rFonts w:hint="eastAsia" w:eastAsia="方正仿宋_GBK" w:cs="Times New Roman"/>
          <w:sz w:val="32"/>
          <w:szCs w:val="32"/>
          <w:highlight w:val="none"/>
          <w:lang w:val="en-US" w:eastAsia="zh-CN"/>
        </w:rPr>
        <w:t>100</w:t>
      </w:r>
      <w:r>
        <w:rPr>
          <w:rFonts w:hint="default" w:ascii="Times New Roman" w:hAnsi="Times New Roman" w:eastAsia="方正仿宋_GBK" w:cs="Times New Roman"/>
          <w:sz w:val="32"/>
          <w:szCs w:val="32"/>
          <w:highlight w:val="none"/>
        </w:rPr>
        <w:t>%，项目绩效指标总体完成率为</w:t>
      </w:r>
      <w:r>
        <w:rPr>
          <w:rFonts w:hint="eastAsia" w:eastAsia="方正仿宋_GBK" w:cs="Times New Roman"/>
          <w:sz w:val="32"/>
          <w:szCs w:val="32"/>
          <w:highlight w:val="none"/>
          <w:lang w:val="en-US" w:eastAsia="zh-CN"/>
        </w:rPr>
        <w:t>100</w:t>
      </w:r>
      <w:r>
        <w:rPr>
          <w:rFonts w:hint="default" w:ascii="Times New Roman" w:hAnsi="Times New Roman" w:eastAsia="方正仿宋_GBK" w:cs="Times New Roman"/>
          <w:sz w:val="32"/>
          <w:szCs w:val="32"/>
          <w:highlight w:val="none"/>
        </w:rPr>
        <w:t>%，</w:t>
      </w:r>
      <w:r>
        <w:rPr>
          <w:rFonts w:hint="default" w:ascii="Times New Roman" w:hAnsi="Times New Roman" w:eastAsia="方正仿宋_GBK" w:cs="Times New Roman"/>
          <w:sz w:val="32"/>
          <w:szCs w:val="32"/>
          <w:highlight w:val="none"/>
          <w:lang w:eastAsia="zh-Hans"/>
        </w:rPr>
        <w:t>总体</w:t>
      </w:r>
      <w:r>
        <w:rPr>
          <w:rFonts w:hint="default" w:ascii="Times New Roman" w:hAnsi="Times New Roman" w:eastAsia="方正仿宋_GBK" w:cs="Times New Roman"/>
          <w:sz w:val="32"/>
          <w:szCs w:val="32"/>
          <w:highlight w:val="none"/>
        </w:rPr>
        <w:t>偏差率为</w:t>
      </w:r>
      <w:r>
        <w:rPr>
          <w:rFonts w:hint="eastAsia" w:eastAsia="方正仿宋_GBK" w:cs="Times New Roman"/>
          <w:sz w:val="32"/>
          <w:szCs w:val="32"/>
          <w:highlight w:val="none"/>
          <w:lang w:val="en-US" w:eastAsia="zh-CN"/>
        </w:rPr>
        <w:t>0</w:t>
      </w:r>
      <w:r>
        <w:rPr>
          <w:rFonts w:hint="default" w:ascii="Times New Roman" w:hAnsi="Times New Roman" w:eastAsia="方正仿宋_GBK" w:cs="Times New Roman"/>
          <w:sz w:val="32"/>
          <w:szCs w:val="32"/>
          <w:highlight w:val="none"/>
        </w:rPr>
        <w:t>%</w:t>
      </w:r>
      <w:r>
        <w:rPr>
          <w:rFonts w:hint="eastAsia" w:ascii="Times New Roman" w:hAnsi="Times New Roman" w:cs="Times New Roman"/>
          <w:highlight w:val="none"/>
          <w:lang w:eastAsia="zh-CN"/>
        </w:rPr>
        <w:t>，</w:t>
      </w:r>
      <w:r>
        <w:rPr>
          <w:rFonts w:hint="default" w:ascii="Times New Roman" w:hAnsi="Times New Roman" w:eastAsia="方正仿宋_GBK" w:cs="Times New Roman"/>
          <w:sz w:val="32"/>
          <w:szCs w:val="32"/>
          <w:highlight w:val="none"/>
          <w:lang w:eastAsia="zh-Hans"/>
        </w:rPr>
        <w:t>改进</w:t>
      </w:r>
      <w:r>
        <w:rPr>
          <w:rFonts w:hint="default" w:ascii="Times New Roman" w:hAnsi="Times New Roman" w:eastAsia="方正仿宋_GBK" w:cs="Times New Roman"/>
          <w:sz w:val="32"/>
          <w:szCs w:val="32"/>
          <w:highlight w:val="none"/>
        </w:rPr>
        <w:t>措施</w:t>
      </w:r>
      <w:r>
        <w:rPr>
          <w:rFonts w:hint="eastAsia" w:eastAsia="方正仿宋_GBK" w:cs="Times New Roman"/>
          <w:sz w:val="32"/>
          <w:szCs w:val="32"/>
          <w:highlight w:val="none"/>
          <w:lang w:val="en-US" w:eastAsia="zh-CN"/>
        </w:rPr>
        <w:t>:加强项目预算与绩效管理，保证按照预算预计推进，保证项目取得预期效益</w:t>
      </w:r>
      <w:r>
        <w:rPr>
          <w:rFonts w:hint="default" w:ascii="Times New Roman" w:hAnsi="Times New Roman" w:eastAsia="方正仿宋_GBK" w:cs="Times New Roman"/>
          <w:sz w:val="32"/>
          <w:szCs w:val="32"/>
          <w:highlight w:val="none"/>
        </w:rPr>
        <w:t>。</w:t>
      </w:r>
    </w:p>
    <w:p>
      <w:pPr>
        <w:spacing w:line="560" w:lineRule="exact"/>
        <w:ind w:firstLine="640" w:firstLineChars="200"/>
        <w:rPr>
          <w:rStyle w:val="18"/>
          <w:rFonts w:hint="default" w:ascii="Times New Roman" w:hAnsi="Times New Roman" w:cs="Times New Roman"/>
          <w:color w:val="auto"/>
          <w:highlight w:val="none"/>
        </w:rPr>
      </w:pPr>
      <w:r>
        <w:rPr>
          <w:rFonts w:hint="eastAsia" w:eastAsia="黑体" w:cs="Times New Roman"/>
          <w:sz w:val="32"/>
          <w:szCs w:val="32"/>
          <w:highlight w:val="none"/>
          <w:lang w:val="en-US" w:eastAsia="zh-CN"/>
        </w:rPr>
        <w:t>五</w:t>
      </w:r>
      <w:r>
        <w:rPr>
          <w:rFonts w:hint="default" w:ascii="Times New Roman" w:hAnsi="Times New Roman" w:eastAsia="仿宋_GB2312" w:cs="Times New Roman"/>
          <w:b/>
          <w:bCs/>
          <w:sz w:val="32"/>
          <w:szCs w:val="32"/>
          <w:highlight w:val="none"/>
          <w:lang w:val="en-US" w:eastAsia="zh-CN"/>
        </w:rPr>
        <w:t>.</w:t>
      </w:r>
      <w:r>
        <w:rPr>
          <w:rFonts w:hint="default" w:ascii="Times New Roman" w:hAnsi="Times New Roman" w:eastAsia="黑体" w:cs="Times New Roman"/>
          <w:sz w:val="32"/>
          <w:szCs w:val="32"/>
          <w:highlight w:val="none"/>
        </w:rPr>
        <w:t>主要经验及做法、存在的问题及原因分析</w:t>
      </w:r>
    </w:p>
    <w:p>
      <w:pPr>
        <w:keepNext w:val="0"/>
        <w:keepLines w:val="0"/>
        <w:pageBreakBefore w:val="0"/>
        <w:widowControl w:val="0"/>
        <w:numPr>
          <w:numId w:val="0"/>
        </w:numPr>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楷体_GB2312" w:cs="Times New Roman"/>
          <w:b/>
          <w:bCs/>
          <w:sz w:val="32"/>
          <w:szCs w:val="32"/>
          <w:highlight w:val="none"/>
        </w:rPr>
      </w:pPr>
      <w:r>
        <w:rPr>
          <w:rFonts w:hint="default" w:ascii="Times New Roman" w:hAnsi="Times New Roman" w:eastAsia="楷体_GB2312" w:cs="Times New Roman"/>
          <w:b/>
          <w:bCs/>
          <w:sz w:val="32"/>
          <w:szCs w:val="32"/>
          <w:highlight w:val="none"/>
        </w:rPr>
        <w:t>（一）主要经验及做法</w:t>
      </w:r>
    </w:p>
    <w:p>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为确保项目顺利进行，提前做好项目规划，将所列计划再三审核。在项目实施过程中做好定期监督检查，严格按照项目管理规范进行，在项目资金使用过程中，严格落实把关，按照项目资金使用范围做好审核工作，让项目资金落于实处。在项目完成后，做好受益群众民意调查及项目防范工作。</w:t>
      </w:r>
    </w:p>
    <w:p>
      <w:pPr>
        <w:pStyle w:val="10"/>
        <w:spacing w:before="0" w:after="0" w:line="560" w:lineRule="exact"/>
        <w:ind w:firstLine="640" w:firstLineChars="200"/>
        <w:jc w:val="left"/>
        <w:rPr>
          <w:rFonts w:hint="default" w:ascii="Times New Roman" w:hAnsi="Times New Roman" w:eastAsia="仿宋_GB2312" w:cs="Times New Roman"/>
          <w:b w:val="0"/>
          <w:bCs w:val="0"/>
          <w:kern w:val="2"/>
          <w:highlight w:val="none"/>
        </w:rPr>
      </w:pPr>
      <w:r>
        <w:rPr>
          <w:rFonts w:hint="default" w:ascii="Times New Roman" w:hAnsi="Times New Roman" w:eastAsia="仿宋_GB2312" w:cs="Times New Roman"/>
          <w:b w:val="0"/>
          <w:bCs w:val="0"/>
          <w:kern w:val="2"/>
          <w:highlight w:val="none"/>
        </w:rPr>
        <w:t>严格坚持先做事、后验收、再拨付的原则，</w:t>
      </w:r>
      <w:r>
        <w:rPr>
          <w:rFonts w:hint="eastAsia" w:ascii="Times New Roman" w:hAnsi="Times New Roman" w:eastAsia="仿宋_GB2312" w:cs="Times New Roman"/>
          <w:b w:val="0"/>
          <w:bCs w:val="0"/>
          <w:kern w:val="2"/>
          <w:highlight w:val="none"/>
          <w:lang w:eastAsia="zh-CN"/>
        </w:rPr>
        <w:t>杜绝</w:t>
      </w:r>
      <w:r>
        <w:rPr>
          <w:rFonts w:hint="default" w:ascii="Times New Roman" w:hAnsi="Times New Roman" w:eastAsia="仿宋_GB2312" w:cs="Times New Roman"/>
          <w:b w:val="0"/>
          <w:bCs w:val="0"/>
          <w:kern w:val="2"/>
          <w:highlight w:val="none"/>
        </w:rPr>
        <w:t>了资金被挤占和挪用现象的发生，跟踪检查到位。财政、纪检、监察等职能部门全面参与专项资金事前、事中和事后全过程的监管。在监督环节上，实行关口前移，从事后监督管理转向事前审核，事中监督和事后检查稽核相结合的监督制度上来，形成多环节全过程的监督管理格局，尽量早发现问题，早解决问题。</w:t>
      </w:r>
    </w:p>
    <w:p>
      <w:pPr>
        <w:keepNext w:val="0"/>
        <w:keepLines w:val="0"/>
        <w:pageBreakBefore w:val="0"/>
        <w:widowControl w:val="0"/>
        <w:numPr>
          <w:ilvl w:val="0"/>
          <w:numId w:val="5"/>
        </w:numPr>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楷体_GB2312" w:cs="Times New Roman"/>
          <w:b/>
          <w:bCs/>
          <w:sz w:val="32"/>
          <w:szCs w:val="32"/>
          <w:highlight w:val="none"/>
        </w:rPr>
      </w:pPr>
      <w:r>
        <w:rPr>
          <w:rFonts w:hint="default" w:ascii="Times New Roman" w:hAnsi="Times New Roman" w:eastAsia="楷体_GB2312" w:cs="Times New Roman"/>
          <w:b/>
          <w:bCs/>
          <w:sz w:val="32"/>
          <w:szCs w:val="32"/>
          <w:highlight w:val="none"/>
        </w:rPr>
        <w:t>存在的问题及原因分析</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相关绩效管理方面专业知识的系统性学习有待加强。各项指标的设置要进一步优化、完善，主要在细化、量化上改进。在绩效自评过程中，由于部分人员缺乏相关绩效管理专业知识，自评价工作还存在自我审定的局限性，影响评价质量。</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2.因轮岗、调动</w:t>
      </w:r>
      <w:r>
        <w:rPr>
          <w:rFonts w:hint="eastAsia" w:ascii="Times New Roman" w:hAnsi="Times New Roman" w:eastAsia="仿宋_GB2312" w:cs="Times New Roman"/>
          <w:sz w:val="32"/>
          <w:szCs w:val="32"/>
          <w:highlight w:val="none"/>
          <w:lang w:val="en-US" w:eastAsia="zh-CN"/>
        </w:rPr>
        <w:t>等</w:t>
      </w:r>
      <w:r>
        <w:rPr>
          <w:rFonts w:hint="default" w:ascii="Times New Roman" w:hAnsi="Times New Roman" w:eastAsia="仿宋_GB2312" w:cs="Times New Roman"/>
          <w:sz w:val="32"/>
          <w:szCs w:val="32"/>
          <w:highlight w:val="none"/>
          <w:lang w:val="en-US" w:eastAsia="zh-CN"/>
        </w:rPr>
        <w:t>因素使我单位绩效工作人员流动频繁，</w:t>
      </w:r>
      <w:r>
        <w:rPr>
          <w:rFonts w:hint="eastAsia" w:ascii="Times New Roman" w:hAnsi="Times New Roman" w:eastAsia="仿宋_GB2312" w:cs="Times New Roman"/>
          <w:sz w:val="32"/>
          <w:szCs w:val="32"/>
          <w:highlight w:val="none"/>
          <w:lang w:val="en-US" w:eastAsia="zh-CN"/>
        </w:rPr>
        <w:t>造成</w:t>
      </w:r>
      <w:r>
        <w:rPr>
          <w:rFonts w:hint="default" w:ascii="Times New Roman" w:hAnsi="Times New Roman" w:eastAsia="仿宋_GB2312" w:cs="Times New Roman"/>
          <w:sz w:val="32"/>
          <w:szCs w:val="32"/>
          <w:highlight w:val="none"/>
          <w:lang w:val="en-US" w:eastAsia="zh-CN"/>
        </w:rPr>
        <w:t>工作衔接不到位的情况。</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3.本年度年度城市发展加快，燃气普及面积增大，虽能保持正常运转，但各项基本服务暂未高标准达到。</w:t>
      </w:r>
    </w:p>
    <w:p>
      <w:pPr>
        <w:spacing w:line="560" w:lineRule="exact"/>
        <w:ind w:firstLine="640" w:firstLineChars="200"/>
        <w:rPr>
          <w:rFonts w:hint="default" w:ascii="Times New Roman" w:hAnsi="Times New Roman" w:eastAsia="黑体" w:cs="Times New Roman"/>
          <w:sz w:val="32"/>
          <w:szCs w:val="32"/>
          <w:highlight w:val="none"/>
        </w:rPr>
      </w:pPr>
      <w:r>
        <w:rPr>
          <w:rFonts w:hint="eastAsia" w:ascii="Times New Roman" w:hAnsi="Times New Roman" w:eastAsia="黑体" w:cs="Times New Roman"/>
          <w:sz w:val="32"/>
          <w:szCs w:val="32"/>
          <w:highlight w:val="none"/>
          <w:lang w:val="en-US" w:eastAsia="zh-CN"/>
        </w:rPr>
        <w:t>六</w:t>
      </w:r>
      <w:r>
        <w:rPr>
          <w:rFonts w:hint="default" w:ascii="Times New Roman" w:hAnsi="Times New Roman" w:eastAsia="黑体" w:cs="Times New Roman"/>
          <w:sz w:val="32"/>
          <w:szCs w:val="32"/>
          <w:highlight w:val="none"/>
          <w:lang w:val="en-US" w:eastAsia="zh-CN"/>
        </w:rPr>
        <w:t>.</w:t>
      </w:r>
      <w:r>
        <w:rPr>
          <w:rFonts w:hint="default" w:ascii="Times New Roman" w:hAnsi="Times New Roman" w:eastAsia="黑体" w:cs="Times New Roman"/>
          <w:sz w:val="32"/>
          <w:szCs w:val="32"/>
          <w:highlight w:val="none"/>
        </w:rPr>
        <w:t>有关建议</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1.多进行有关绩效管理工作方面的培训。积极组织第三方开展绩效管理工作培训，进一步夯实业务基础，提高我单位绩效人员水平。</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2.专门设定对绩效工作人员定职、定岗、定责等相关制度措施，进一步提升我单位绩效管理工作业务水平，扎实做好绩效管理工作。</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3.进一步规范项目建设的程序。项目前期做好可行性研究报告，更加细化实施方案，严格执行资金管理办法和财政资金管理制度，严格按照项目实施方案、招投标管理办法等稳步推进工作，各部门单位根据自己项目的特点进行总结。</w:t>
      </w:r>
    </w:p>
    <w:p>
      <w:pPr>
        <w:shd w:val="clear"/>
        <w:spacing w:line="600" w:lineRule="exact"/>
        <w:ind w:firstLine="640" w:firstLineChars="200"/>
        <w:outlineLvl w:val="0"/>
        <w:rPr>
          <w:rFonts w:hint="default" w:ascii="Times New Roman" w:hAnsi="Times New Roman" w:cs="Times New Roman"/>
          <w:sz w:val="22"/>
          <w:szCs w:val="28"/>
          <w:highlight w:val="none"/>
        </w:rPr>
      </w:pPr>
      <w:r>
        <w:rPr>
          <w:rFonts w:hint="default" w:ascii="Times New Roman" w:hAnsi="Times New Roman" w:eastAsia="仿宋_GB2312" w:cs="Times New Roman"/>
          <w:sz w:val="32"/>
          <w:szCs w:val="32"/>
          <w:highlight w:val="none"/>
          <w:lang w:val="en-US" w:eastAsia="zh-CN"/>
        </w:rPr>
        <w:t>4.进一步完善项目评价过程中有关数据和资料的收集、整理、审核及分析。项目启动时同步做好档案的归纳与整理，及时整理、收集、汇总，健全档案资料。项目后续管理有待进一步加强和跟踪</w:t>
      </w:r>
      <w:r>
        <w:rPr>
          <w:rFonts w:hint="default" w:ascii="Times New Roman" w:hAnsi="Times New Roman" w:eastAsia="仿宋_GB2312" w:cs="Times New Roman"/>
          <w:sz w:val="36"/>
          <w:szCs w:val="32"/>
          <w:highlight w:val="none"/>
        </w:rPr>
        <w:t>。</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5.进一步加强对绩效管理工作的组织领导，提高对预算绩效管理工作重要性的认识，总结经验查找问题，抓紧研究制定更全面更完善的绩效评价管理办法。结合食品安全考核建立绩效工作考核制度，加大全局对全面实施预算绩效管理和绩效管理工作的学习力度，让“花钱必问效，无效必问责”的理念深入工作每个环节。</w:t>
      </w:r>
    </w:p>
    <w:p>
      <w:pPr>
        <w:spacing w:line="560" w:lineRule="exact"/>
        <w:ind w:firstLine="640" w:firstLineChars="200"/>
        <w:rPr>
          <w:rFonts w:hint="default" w:ascii="Times New Roman" w:hAnsi="Times New Roman" w:eastAsia="黑体" w:cs="Times New Roman"/>
          <w:sz w:val="32"/>
          <w:szCs w:val="32"/>
          <w:highlight w:val="none"/>
        </w:rPr>
      </w:pPr>
      <w:r>
        <w:rPr>
          <w:rFonts w:hint="eastAsia" w:eastAsia="黑体" w:cs="Times New Roman"/>
          <w:sz w:val="32"/>
          <w:szCs w:val="32"/>
          <w:highlight w:val="none"/>
          <w:lang w:val="en-US" w:eastAsia="zh-CN"/>
        </w:rPr>
        <w:t>七</w:t>
      </w:r>
      <w:r>
        <w:rPr>
          <w:rFonts w:hint="default" w:ascii="Times New Roman" w:hAnsi="Times New Roman" w:eastAsia="仿宋_GB2312" w:cs="Times New Roman"/>
          <w:b/>
          <w:bCs/>
          <w:sz w:val="32"/>
          <w:szCs w:val="32"/>
          <w:highlight w:val="none"/>
          <w:lang w:val="en-US" w:eastAsia="zh-CN"/>
        </w:rPr>
        <w:t>.</w:t>
      </w:r>
      <w:r>
        <w:rPr>
          <w:rFonts w:hint="default" w:ascii="Times New Roman" w:hAnsi="Times New Roman" w:eastAsia="黑体" w:cs="Times New Roman"/>
          <w:sz w:val="32"/>
          <w:szCs w:val="32"/>
          <w:highlight w:val="none"/>
        </w:rPr>
        <w:t>其他需要说</w:t>
      </w:r>
      <w:bookmarkStart w:id="0" w:name="page8"/>
      <w:bookmarkEnd w:id="0"/>
      <w:r>
        <w:rPr>
          <w:rFonts w:hint="default" w:ascii="Times New Roman" w:hAnsi="Times New Roman" w:eastAsia="黑体" w:cs="Times New Roman"/>
          <w:sz w:val="32"/>
          <w:szCs w:val="32"/>
          <w:highlight w:val="none"/>
        </w:rPr>
        <w:t>明的问题</w:t>
      </w:r>
    </w:p>
    <w:p>
      <w:pPr>
        <w:pStyle w:val="13"/>
        <w:spacing w:after="0" w:line="560" w:lineRule="exact"/>
        <w:ind w:left="0" w:leftChars="0" w:firstLine="640"/>
        <w:rPr>
          <w:rFonts w:hint="default" w:ascii="Times New Roman" w:hAnsi="Times New Roman" w:eastAsia="仿宋_GB2312" w:cs="Times New Roman"/>
          <w:sz w:val="32"/>
          <w:szCs w:val="32"/>
          <w:highlight w:val="none"/>
          <w:lang w:eastAsia="zh-Hans"/>
        </w:rPr>
      </w:pPr>
      <w:r>
        <w:rPr>
          <w:rFonts w:hint="default" w:ascii="Times New Roman" w:hAnsi="Times New Roman" w:eastAsia="仿宋_GB2312" w:cs="Times New Roman"/>
          <w:sz w:val="32"/>
          <w:szCs w:val="32"/>
          <w:highlight w:val="none"/>
          <w:lang w:eastAsia="zh-Hans"/>
        </w:rPr>
        <w:t>本项目无其他需说明的问题。</w:t>
      </w:r>
    </w:p>
    <w:p>
      <w:pPr>
        <w:pStyle w:val="13"/>
        <w:spacing w:after="0" w:line="560" w:lineRule="exact"/>
        <w:ind w:left="0" w:leftChars="0" w:firstLine="640"/>
        <w:rPr>
          <w:rFonts w:hint="eastAsia" w:ascii="Times New Roman" w:hAnsi="Times New Roman" w:eastAsia="仿宋_GB2312" w:cs="Times New Roman"/>
          <w:sz w:val="32"/>
          <w:szCs w:val="32"/>
          <w:highlight w:val="none"/>
          <w:lang w:eastAsia="zh-CN"/>
        </w:rPr>
      </w:pPr>
    </w:p>
    <w:p>
      <w:pPr>
        <w:pStyle w:val="13"/>
        <w:spacing w:after="0" w:line="560" w:lineRule="exact"/>
        <w:ind w:left="0" w:leftChars="0" w:firstLine="640"/>
        <w:rPr>
          <w:rFonts w:hint="eastAsia" w:ascii="Times New Roman" w:hAnsi="Times New Roman" w:eastAsia="仿宋_GB2312" w:cs="Times New Roman"/>
          <w:sz w:val="32"/>
          <w:szCs w:val="32"/>
          <w:highlight w:val="none"/>
          <w:lang w:eastAsia="zh-CN"/>
        </w:rPr>
      </w:pPr>
    </w:p>
    <w:p>
      <w:pPr>
        <w:pStyle w:val="13"/>
        <w:spacing w:after="0" w:line="560" w:lineRule="exact"/>
        <w:ind w:left="0" w:leftChars="0" w:firstLine="640"/>
        <w:rPr>
          <w:rFonts w:hint="eastAsia" w:ascii="Times New Roman" w:hAnsi="Times New Roman" w:eastAsia="仿宋_GB2312" w:cs="Times New Roman"/>
          <w:sz w:val="32"/>
          <w:szCs w:val="32"/>
          <w:highlight w:val="none"/>
          <w:lang w:eastAsia="zh-CN"/>
        </w:rPr>
      </w:pPr>
    </w:p>
    <w:p>
      <w:pPr>
        <w:pStyle w:val="13"/>
        <w:spacing w:after="0" w:line="560" w:lineRule="exact"/>
        <w:ind w:left="0" w:leftChars="0" w:firstLine="643" w:firstLineChars="200"/>
        <w:rPr>
          <w:rFonts w:hint="eastAsia" w:ascii="Times New Roman" w:hAnsi="Times New Roman" w:eastAsia="仿宋_GB2312" w:cs="Times New Roman"/>
          <w:b/>
          <w:bCs/>
          <w:color w:val="FF0000"/>
          <w:sz w:val="32"/>
          <w:szCs w:val="32"/>
          <w:highlight w:val="none"/>
          <w:lang w:eastAsia="zh-CN"/>
        </w:rPr>
      </w:pPr>
    </w:p>
    <w:p>
      <w:pPr>
        <w:pStyle w:val="13"/>
        <w:spacing w:after="0" w:line="560" w:lineRule="exact"/>
        <w:ind w:left="0" w:leftChars="0" w:firstLine="640"/>
        <w:rPr>
          <w:rFonts w:hint="default" w:ascii="Times New Roman" w:hAnsi="Times New Roman" w:eastAsia="仿宋_GB2312" w:cs="Times New Roman"/>
          <w:sz w:val="32"/>
          <w:szCs w:val="32"/>
          <w:highlight w:val="none"/>
        </w:rPr>
      </w:pPr>
    </w:p>
    <w:p>
      <w:pPr>
        <w:pStyle w:val="13"/>
        <w:spacing w:after="0" w:line="560" w:lineRule="exact"/>
        <w:ind w:left="0" w:leftChars="0" w:firstLine="640"/>
        <w:rPr>
          <w:rFonts w:hint="default" w:ascii="Times New Roman" w:hAnsi="Times New Roman" w:eastAsia="仿宋_GB2312" w:cs="Times New Roman"/>
          <w:sz w:val="32"/>
          <w:szCs w:val="32"/>
          <w:highlight w:val="none"/>
        </w:rPr>
      </w:pPr>
    </w:p>
    <w:p>
      <w:pPr>
        <w:pStyle w:val="13"/>
        <w:spacing w:after="0" w:line="560" w:lineRule="exact"/>
        <w:ind w:left="0" w:leftChars="0" w:firstLine="0" w:firstLineChars="0"/>
        <w:rPr>
          <w:rFonts w:hint="default" w:ascii="Times New Roman" w:hAnsi="Times New Roman" w:eastAsia="仿宋_GB2312" w:cs="Times New Roman"/>
          <w:sz w:val="32"/>
          <w:szCs w:val="32"/>
          <w:highlight w:val="none"/>
        </w:rPr>
      </w:pPr>
    </w:p>
    <w:p>
      <w:pPr>
        <w:spacing w:line="600" w:lineRule="exact"/>
        <w:rPr>
          <w:rFonts w:hint="eastAsia" w:ascii="Times New Roman" w:hAnsi="Times New Roman" w:eastAsia="黑体" w:cs="Times New Roman"/>
          <w:sz w:val="32"/>
          <w:szCs w:val="32"/>
          <w:highlight w:val="none"/>
          <w:lang w:val="en-US" w:eastAsia="zh-CN"/>
        </w:rPr>
        <w:sectPr>
          <w:footerReference r:id="rId3" w:type="default"/>
          <w:pgSz w:w="11906" w:h="16838"/>
          <w:pgMar w:top="1984" w:right="1531" w:bottom="1984" w:left="1531" w:header="851" w:footer="992" w:gutter="0"/>
          <w:pgNumType w:start="1"/>
          <w:cols w:space="425" w:num="1"/>
          <w:docGrid w:type="lines" w:linePitch="312" w:charSpace="0"/>
        </w:sectPr>
      </w:pPr>
    </w:p>
    <w:p>
      <w:pPr>
        <w:spacing w:line="600" w:lineRule="exact"/>
        <w:rPr>
          <w:rFonts w:hint="eastAsia" w:eastAsia="黑体" w:cs="Times New Roman"/>
          <w:sz w:val="32"/>
          <w:szCs w:val="32"/>
          <w:highlight w:val="none"/>
          <w:lang w:val="en-US" w:eastAsia="zh-CN"/>
        </w:rPr>
      </w:pPr>
      <w:r>
        <w:rPr>
          <w:rFonts w:hint="eastAsia" w:ascii="Times New Roman" w:hAnsi="Times New Roman" w:eastAsia="黑体" w:cs="Times New Roman"/>
          <w:sz w:val="32"/>
          <w:szCs w:val="32"/>
          <w:highlight w:val="none"/>
          <w:lang w:val="en-US" w:eastAsia="zh-CN"/>
        </w:rPr>
        <w:t>附件</w:t>
      </w:r>
      <w:r>
        <w:rPr>
          <w:rFonts w:hint="eastAsia" w:eastAsia="黑体" w:cs="Times New Roman"/>
          <w:sz w:val="32"/>
          <w:szCs w:val="32"/>
          <w:highlight w:val="none"/>
          <w:lang w:val="en-US" w:eastAsia="zh-CN"/>
        </w:rPr>
        <w:t>1</w:t>
      </w:r>
    </w:p>
    <w:p>
      <w:pPr>
        <w:pStyle w:val="19"/>
        <w:ind w:firstLine="562"/>
        <w:jc w:val="center"/>
        <w:rPr>
          <w:rFonts w:hint="eastAsia" w:ascii="仿宋_GB2312" w:hAnsi="仿宋_GB2312" w:eastAsia="仿宋_GB2312" w:cs="仿宋_GB2312"/>
          <w:sz w:val="28"/>
          <w:szCs w:val="40"/>
          <w:highlight w:val="none"/>
        </w:rPr>
      </w:pPr>
      <w:bookmarkStart w:id="1" w:name="_Toc30064_WPSOffice_Level1"/>
      <w:bookmarkStart w:id="2" w:name="_Toc26499_WPSOffice_Level2"/>
      <w:r>
        <w:rPr>
          <w:rFonts w:hint="eastAsia" w:ascii="仿宋_GB2312" w:hAnsi="仿宋_GB2312" w:eastAsia="仿宋_GB2312" w:cs="仿宋_GB2312"/>
          <w:b/>
          <w:bCs/>
          <w:sz w:val="28"/>
          <w:szCs w:val="40"/>
          <w:highlight w:val="none"/>
          <w:lang w:val="en-US" w:eastAsia="zh-CN"/>
        </w:rPr>
        <w:t>伊犁州特克斯县2023年燃气老化更新改造建设项目</w:t>
      </w:r>
      <w:r>
        <w:rPr>
          <w:rFonts w:hint="eastAsia" w:ascii="仿宋_GB2312" w:hAnsi="仿宋_GB2312" w:eastAsia="仿宋_GB2312" w:cs="仿宋_GB2312"/>
          <w:b/>
          <w:bCs/>
          <w:sz w:val="28"/>
          <w:szCs w:val="40"/>
          <w:highlight w:val="none"/>
        </w:rPr>
        <w:t>绩效评价指标体系及综合评分表</w:t>
      </w:r>
      <w:bookmarkEnd w:id="1"/>
      <w:bookmarkEnd w:id="2"/>
    </w:p>
    <w:tbl>
      <w:tblPr>
        <w:tblStyle w:val="14"/>
        <w:tblW w:w="4474" w:type="pct"/>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autofit"/>
        <w:tblCellMar>
          <w:top w:w="0" w:type="dxa"/>
          <w:left w:w="108" w:type="dxa"/>
          <w:bottom w:w="0" w:type="dxa"/>
          <w:right w:w="108" w:type="dxa"/>
        </w:tblCellMar>
      </w:tblPr>
      <w:tblGrid>
        <w:gridCol w:w="992"/>
        <w:gridCol w:w="987"/>
        <w:gridCol w:w="1057"/>
        <w:gridCol w:w="1704"/>
        <w:gridCol w:w="5149"/>
        <w:gridCol w:w="1283"/>
        <w:gridCol w:w="134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52" w:hRule="atLeast"/>
          <w:tblHeader/>
          <w:jc w:val="center"/>
        </w:trPr>
        <w:tc>
          <w:tcPr>
            <w:tcW w:w="396" w:type="pct"/>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highlight w:val="none"/>
              </w:rPr>
            </w:pPr>
            <w:r>
              <w:rPr>
                <w:rFonts w:hint="default" w:ascii="Times New Roman" w:hAnsi="Times New Roman" w:eastAsia="仿宋_GB2312" w:cs="Times New Roman"/>
                <w:b/>
                <w:bCs/>
                <w:color w:val="000000"/>
                <w:kern w:val="0"/>
                <w:sz w:val="18"/>
                <w:szCs w:val="18"/>
                <w:highlight w:val="none"/>
              </w:rPr>
              <w:t>一级指标</w:t>
            </w:r>
          </w:p>
        </w:tc>
        <w:tc>
          <w:tcPr>
            <w:tcW w:w="394" w:type="pct"/>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highlight w:val="none"/>
              </w:rPr>
            </w:pPr>
            <w:r>
              <w:rPr>
                <w:rFonts w:hint="default" w:ascii="Times New Roman" w:hAnsi="Times New Roman" w:eastAsia="仿宋_GB2312" w:cs="Times New Roman"/>
                <w:b/>
                <w:bCs/>
                <w:color w:val="000000"/>
                <w:kern w:val="0"/>
                <w:sz w:val="18"/>
                <w:szCs w:val="18"/>
                <w:highlight w:val="none"/>
              </w:rPr>
              <w:t>二级指标</w:t>
            </w:r>
          </w:p>
        </w:tc>
        <w:tc>
          <w:tcPr>
            <w:tcW w:w="422" w:type="pct"/>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highlight w:val="none"/>
              </w:rPr>
            </w:pPr>
            <w:r>
              <w:rPr>
                <w:rFonts w:hint="default" w:ascii="Times New Roman" w:hAnsi="Times New Roman" w:eastAsia="仿宋_GB2312" w:cs="Times New Roman"/>
                <w:b/>
                <w:bCs/>
                <w:color w:val="000000"/>
                <w:kern w:val="0"/>
                <w:sz w:val="18"/>
                <w:szCs w:val="18"/>
                <w:highlight w:val="none"/>
              </w:rPr>
              <w:t>三级指标</w:t>
            </w:r>
          </w:p>
        </w:tc>
        <w:tc>
          <w:tcPr>
            <w:tcW w:w="680" w:type="pct"/>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highlight w:val="none"/>
              </w:rPr>
            </w:pPr>
            <w:r>
              <w:rPr>
                <w:rFonts w:hint="default" w:ascii="Times New Roman" w:hAnsi="Times New Roman" w:eastAsia="仿宋_GB2312" w:cs="Times New Roman"/>
                <w:b/>
                <w:bCs/>
                <w:color w:val="000000"/>
                <w:kern w:val="0"/>
                <w:sz w:val="18"/>
                <w:szCs w:val="18"/>
                <w:highlight w:val="none"/>
              </w:rPr>
              <w:t>指标解释</w:t>
            </w:r>
          </w:p>
        </w:tc>
        <w:tc>
          <w:tcPr>
            <w:tcW w:w="2055" w:type="pct"/>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highlight w:val="none"/>
              </w:rPr>
            </w:pPr>
            <w:r>
              <w:rPr>
                <w:rFonts w:hint="default" w:ascii="Times New Roman" w:hAnsi="Times New Roman" w:eastAsia="仿宋_GB2312" w:cs="Times New Roman"/>
                <w:b/>
                <w:bCs/>
                <w:color w:val="000000"/>
                <w:kern w:val="0"/>
                <w:sz w:val="18"/>
                <w:szCs w:val="18"/>
                <w:highlight w:val="none"/>
              </w:rPr>
              <w:t>指标说明</w:t>
            </w:r>
          </w:p>
        </w:tc>
        <w:tc>
          <w:tcPr>
            <w:tcW w:w="512" w:type="pct"/>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highlight w:val="none"/>
              </w:rPr>
            </w:pPr>
            <w:r>
              <w:rPr>
                <w:rFonts w:hint="default" w:ascii="Times New Roman" w:hAnsi="Times New Roman" w:eastAsia="仿宋_GB2312" w:cs="Times New Roman"/>
                <w:b/>
                <w:bCs/>
                <w:color w:val="000000"/>
                <w:kern w:val="0"/>
                <w:sz w:val="18"/>
                <w:szCs w:val="18"/>
                <w:highlight w:val="none"/>
              </w:rPr>
              <w:t>权重</w:t>
            </w:r>
          </w:p>
        </w:tc>
        <w:tc>
          <w:tcPr>
            <w:tcW w:w="538" w:type="pct"/>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highlight w:val="none"/>
              </w:rPr>
            </w:pPr>
            <w:r>
              <w:rPr>
                <w:rFonts w:hint="default" w:ascii="Times New Roman" w:hAnsi="Times New Roman" w:eastAsia="仿宋_GB2312" w:cs="Times New Roman"/>
                <w:b/>
                <w:bCs/>
                <w:color w:val="000000"/>
                <w:kern w:val="0"/>
                <w:sz w:val="18"/>
                <w:szCs w:val="18"/>
                <w:highlight w:val="none"/>
              </w:rPr>
              <w:t>得分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919" w:hRule="atLeast"/>
          <w:jc w:val="center"/>
        </w:trPr>
        <w:tc>
          <w:tcPr>
            <w:tcW w:w="396" w:type="pct"/>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highlight w:val="none"/>
              </w:rPr>
            </w:pPr>
          </w:p>
          <w:p>
            <w:pPr>
              <w:widowControl/>
              <w:spacing w:line="0" w:lineRule="atLeast"/>
              <w:jc w:val="center"/>
              <w:rPr>
                <w:rFonts w:hint="default" w:ascii="Times New Roman" w:hAnsi="Times New Roman" w:eastAsia="仿宋_GB2312" w:cs="Times New Roman"/>
                <w:color w:val="000000"/>
                <w:kern w:val="0"/>
                <w:sz w:val="18"/>
                <w:szCs w:val="18"/>
                <w:highlight w:val="none"/>
              </w:rPr>
            </w:pPr>
          </w:p>
          <w:p>
            <w:pPr>
              <w:widowControl/>
              <w:spacing w:line="0" w:lineRule="atLeast"/>
              <w:jc w:val="center"/>
              <w:rPr>
                <w:rFonts w:hint="default" w:ascii="Times New Roman" w:hAnsi="Times New Roman" w:eastAsia="仿宋_GB2312" w:cs="Times New Roman"/>
                <w:color w:val="000000"/>
                <w:kern w:val="0"/>
                <w:sz w:val="18"/>
                <w:szCs w:val="18"/>
                <w:highlight w:val="none"/>
              </w:rPr>
            </w:pPr>
          </w:p>
          <w:p>
            <w:pPr>
              <w:widowControl/>
              <w:spacing w:line="0" w:lineRule="atLeast"/>
              <w:jc w:val="center"/>
              <w:rPr>
                <w:rFonts w:hint="default" w:ascii="Times New Roman" w:hAnsi="Times New Roman" w:eastAsia="仿宋_GB2312" w:cs="Times New Roman"/>
                <w:color w:val="000000"/>
                <w:kern w:val="0"/>
                <w:sz w:val="18"/>
                <w:szCs w:val="18"/>
                <w:highlight w:val="none"/>
              </w:rPr>
            </w:pPr>
          </w:p>
          <w:p>
            <w:pPr>
              <w:widowControl/>
              <w:spacing w:line="0" w:lineRule="atLeast"/>
              <w:jc w:val="center"/>
              <w:rPr>
                <w:rFonts w:hint="default" w:ascii="Times New Roman" w:hAnsi="Times New Roman" w:eastAsia="仿宋_GB2312" w:cs="Times New Roman"/>
                <w:color w:val="000000"/>
                <w:kern w:val="0"/>
                <w:sz w:val="18"/>
                <w:szCs w:val="18"/>
                <w:highlight w:val="none"/>
              </w:rPr>
            </w:pPr>
          </w:p>
          <w:p>
            <w:pPr>
              <w:widowControl/>
              <w:spacing w:line="0" w:lineRule="atLeast"/>
              <w:jc w:val="center"/>
              <w:rPr>
                <w:rFonts w:hint="default" w:ascii="Times New Roman" w:hAnsi="Times New Roman" w:eastAsia="仿宋_GB2312" w:cs="Times New Roman"/>
                <w:color w:val="000000"/>
                <w:kern w:val="0"/>
                <w:sz w:val="18"/>
                <w:szCs w:val="18"/>
                <w:highlight w:val="none"/>
              </w:rPr>
            </w:pPr>
          </w:p>
          <w:p>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决策　</w:t>
            </w:r>
          </w:p>
        </w:tc>
        <w:tc>
          <w:tcPr>
            <w:tcW w:w="394" w:type="pct"/>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项目立项　</w:t>
            </w:r>
          </w:p>
        </w:tc>
        <w:tc>
          <w:tcPr>
            <w:tcW w:w="422"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立项依据</w:t>
            </w:r>
          </w:p>
          <w:p>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充分性</w:t>
            </w:r>
          </w:p>
        </w:tc>
        <w:tc>
          <w:tcPr>
            <w:tcW w:w="680" w:type="pct"/>
            <w:shd w:val="clear" w:color="auto" w:fill="FFFFFF"/>
            <w:vAlign w:val="center"/>
          </w:tcPr>
          <w:p>
            <w:pPr>
              <w:widowControl/>
              <w:spacing w:line="0" w:lineRule="atLeas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项目立项是否符合法律法规、相关政策、发展规划以及部门职责，用以反映和考核项目立项依据情况。</w:t>
            </w:r>
          </w:p>
        </w:tc>
        <w:tc>
          <w:tcPr>
            <w:tcW w:w="2055" w:type="pct"/>
            <w:shd w:val="clear" w:color="auto" w:fill="FFFFFF"/>
            <w:vAlign w:val="center"/>
          </w:tcPr>
          <w:p>
            <w:pPr>
              <w:widowControl/>
              <w:spacing w:line="0" w:lineRule="atLeast"/>
              <w:jc w:val="lef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评价要点：</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①项目立项是否符合国家法律法规、国民经济发展规划和相关政策；</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②项目立项是否符合行业发展规划和政策要求；</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③项目立项是否与部门职责范围相符，属于部门履职所需；</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④项目是否属于公共财政支持范围，是否符合中央、地方事权支出责任划分原则；</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⑤项目是否与相关部门同类项目或部门内部相关项目重复。</w:t>
            </w:r>
          </w:p>
        </w:tc>
        <w:tc>
          <w:tcPr>
            <w:tcW w:w="512" w:type="pct"/>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highlight w:val="none"/>
              </w:rPr>
            </w:pPr>
            <w:r>
              <w:rPr>
                <w:rFonts w:hint="default" w:ascii="Times New Roman" w:hAnsi="Times New Roman" w:eastAsia="仿宋_GB2312" w:cs="Times New Roman"/>
                <w:b/>
                <w:bCs/>
                <w:color w:val="000000"/>
                <w:kern w:val="0"/>
                <w:sz w:val="18"/>
                <w:szCs w:val="18"/>
                <w:highlight w:val="none"/>
              </w:rPr>
              <w:t>3</w:t>
            </w:r>
          </w:p>
        </w:tc>
        <w:tc>
          <w:tcPr>
            <w:tcW w:w="538" w:type="pct"/>
            <w:shd w:val="clear" w:color="auto"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eastAsia="仿宋_GB2312" w:cs="Times New Roman"/>
                <w:b/>
                <w:bCs/>
                <w:color w:val="000000"/>
                <w:kern w:val="0"/>
                <w:sz w:val="18"/>
                <w:szCs w:val="18"/>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0" w:hRule="atLeast"/>
          <w:jc w:val="center"/>
        </w:trPr>
        <w:tc>
          <w:tcPr>
            <w:tcW w:w="396" w:type="pct"/>
            <w:vMerge w:val="continue"/>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highlight w:val="none"/>
              </w:rPr>
            </w:pPr>
          </w:p>
        </w:tc>
        <w:tc>
          <w:tcPr>
            <w:tcW w:w="394" w:type="pct"/>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highlight w:val="none"/>
              </w:rPr>
            </w:pPr>
          </w:p>
        </w:tc>
        <w:tc>
          <w:tcPr>
            <w:tcW w:w="422"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立项程序</w:t>
            </w:r>
          </w:p>
          <w:p>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规范性</w:t>
            </w:r>
          </w:p>
        </w:tc>
        <w:tc>
          <w:tcPr>
            <w:tcW w:w="680" w:type="pct"/>
            <w:shd w:val="clear" w:color="auto" w:fill="FFFFFF"/>
            <w:vAlign w:val="center"/>
          </w:tcPr>
          <w:p>
            <w:pPr>
              <w:widowControl/>
              <w:spacing w:line="0" w:lineRule="atLeas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项目申请、设立过程是否符合相关要求，用以反映和考核项目立项的规范情况。</w:t>
            </w:r>
          </w:p>
        </w:tc>
        <w:tc>
          <w:tcPr>
            <w:tcW w:w="2055" w:type="pct"/>
            <w:shd w:val="clear" w:color="auto" w:fill="FFFFFF"/>
            <w:vAlign w:val="center"/>
          </w:tcPr>
          <w:p>
            <w:pPr>
              <w:widowControl/>
              <w:spacing w:line="0" w:lineRule="atLeast"/>
              <w:jc w:val="lef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评价要点：</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①项目是否按照规定的程序申请设立；</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②审批文件、材料是否符合相关要求；</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③事前是否已经过必要的可行性研究、专家论证、风险评估、绩效评估、集体决策。</w:t>
            </w:r>
          </w:p>
        </w:tc>
        <w:tc>
          <w:tcPr>
            <w:tcW w:w="512" w:type="pct"/>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highlight w:val="none"/>
              </w:rPr>
            </w:pPr>
            <w:r>
              <w:rPr>
                <w:rFonts w:hint="default" w:ascii="Times New Roman" w:hAnsi="Times New Roman" w:eastAsia="仿宋_GB2312" w:cs="Times New Roman"/>
                <w:b/>
                <w:bCs/>
                <w:color w:val="000000"/>
                <w:kern w:val="0"/>
                <w:sz w:val="18"/>
                <w:szCs w:val="18"/>
                <w:highlight w:val="none"/>
              </w:rPr>
              <w:t>3</w:t>
            </w:r>
          </w:p>
        </w:tc>
        <w:tc>
          <w:tcPr>
            <w:tcW w:w="538" w:type="pct"/>
            <w:shd w:val="clear" w:color="auto"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eastAsia="仿宋_GB2312" w:cs="Times New Roman"/>
                <w:b/>
                <w:bCs/>
                <w:color w:val="000000"/>
                <w:kern w:val="0"/>
                <w:sz w:val="18"/>
                <w:szCs w:val="18"/>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0" w:hRule="atLeast"/>
          <w:jc w:val="center"/>
        </w:trPr>
        <w:tc>
          <w:tcPr>
            <w:tcW w:w="396" w:type="pct"/>
            <w:vMerge w:val="continue"/>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highlight w:val="none"/>
              </w:rPr>
            </w:pPr>
          </w:p>
        </w:tc>
        <w:tc>
          <w:tcPr>
            <w:tcW w:w="394" w:type="pct"/>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绩效目标　</w:t>
            </w:r>
          </w:p>
        </w:tc>
        <w:tc>
          <w:tcPr>
            <w:tcW w:w="422"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绩效目标</w:t>
            </w:r>
          </w:p>
          <w:p>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合理性</w:t>
            </w:r>
          </w:p>
        </w:tc>
        <w:tc>
          <w:tcPr>
            <w:tcW w:w="680"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项目所设定的绩效目标是否依据充分，是否符合客观实际，用以反映和考核项目绩效目标与项目实施的相符情况。</w:t>
            </w:r>
          </w:p>
        </w:tc>
        <w:tc>
          <w:tcPr>
            <w:tcW w:w="2055" w:type="pct"/>
            <w:shd w:val="clear" w:color="000000" w:fill="FFFFFF"/>
            <w:vAlign w:val="center"/>
          </w:tcPr>
          <w:p>
            <w:pPr>
              <w:widowControl/>
              <w:spacing w:line="0" w:lineRule="atLeast"/>
              <w:jc w:val="lef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评价要点：</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（如未设定预算绩效目标，也可考核其他工作任务目标）</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①项目是否有绩效目标；</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②项目绩效目标与实际工作内容是否具有相关性；</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③项目预期产出效益和效果是否符合正常的业绩水平；</w:t>
            </w:r>
          </w:p>
          <w:p>
            <w:pPr>
              <w:widowControl/>
              <w:spacing w:line="0" w:lineRule="atLeast"/>
              <w:jc w:val="lef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④是否与预算确定的项目投资额或资金量相匹配。</w:t>
            </w:r>
          </w:p>
        </w:tc>
        <w:tc>
          <w:tcPr>
            <w:tcW w:w="512" w:type="pct"/>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highlight w:val="none"/>
              </w:rPr>
            </w:pPr>
            <w:r>
              <w:rPr>
                <w:rFonts w:hint="default" w:ascii="Times New Roman" w:hAnsi="Times New Roman" w:eastAsia="仿宋_GB2312" w:cs="Times New Roman"/>
                <w:b/>
                <w:bCs/>
                <w:color w:val="000000"/>
                <w:kern w:val="0"/>
                <w:sz w:val="18"/>
                <w:szCs w:val="18"/>
                <w:highlight w:val="none"/>
              </w:rPr>
              <w:t>3</w:t>
            </w:r>
          </w:p>
        </w:tc>
        <w:tc>
          <w:tcPr>
            <w:tcW w:w="538" w:type="pct"/>
            <w:shd w:val="clear" w:color="000000"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eastAsia="仿宋_GB2312" w:cs="Times New Roman"/>
                <w:b/>
                <w:bCs/>
                <w:color w:val="000000"/>
                <w:kern w:val="0"/>
                <w:sz w:val="18"/>
                <w:szCs w:val="18"/>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4" w:hRule="atLeast"/>
          <w:jc w:val="center"/>
        </w:trPr>
        <w:tc>
          <w:tcPr>
            <w:tcW w:w="396" w:type="pct"/>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highlight w:val="none"/>
              </w:rPr>
            </w:pPr>
          </w:p>
        </w:tc>
        <w:tc>
          <w:tcPr>
            <w:tcW w:w="394" w:type="pct"/>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highlight w:val="none"/>
              </w:rPr>
            </w:pPr>
          </w:p>
        </w:tc>
        <w:tc>
          <w:tcPr>
            <w:tcW w:w="422"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绩效指标</w:t>
            </w:r>
          </w:p>
          <w:p>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明确性</w:t>
            </w:r>
          </w:p>
        </w:tc>
        <w:tc>
          <w:tcPr>
            <w:tcW w:w="680"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依据绩效目标设定的绩效指标是否清晰、细化、可衡量等，用以反映和考核项目绩效目标的明细化情况。</w:t>
            </w:r>
          </w:p>
        </w:tc>
        <w:tc>
          <w:tcPr>
            <w:tcW w:w="2055"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评价要点：</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①是否将项目绩效目标细化分解为具体的绩效指标；</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②是否通过清晰、可衡量的指标值予以体现；</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③是否与项目目标任务数或计划数相对应。</w:t>
            </w:r>
            <w:r>
              <w:rPr>
                <w:rFonts w:hint="default" w:ascii="Times New Roman" w:hAnsi="Times New Roman" w:eastAsia="仿宋_GB2312" w:cs="Times New Roman"/>
                <w:color w:val="000000"/>
                <w:kern w:val="0"/>
                <w:sz w:val="18"/>
                <w:szCs w:val="18"/>
                <w:highlight w:val="none"/>
              </w:rPr>
              <w:br w:type="textWrapping"/>
            </w:r>
          </w:p>
        </w:tc>
        <w:tc>
          <w:tcPr>
            <w:tcW w:w="512" w:type="pct"/>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highlight w:val="none"/>
              </w:rPr>
            </w:pPr>
            <w:r>
              <w:rPr>
                <w:rFonts w:hint="default" w:ascii="Times New Roman" w:hAnsi="Times New Roman" w:eastAsia="仿宋_GB2312" w:cs="Times New Roman"/>
                <w:b/>
                <w:bCs/>
                <w:color w:val="000000"/>
                <w:kern w:val="0"/>
                <w:sz w:val="18"/>
                <w:szCs w:val="18"/>
                <w:highlight w:val="none"/>
              </w:rPr>
              <w:t>3</w:t>
            </w:r>
          </w:p>
        </w:tc>
        <w:tc>
          <w:tcPr>
            <w:tcW w:w="538" w:type="pct"/>
            <w:shd w:val="clear" w:color="000000"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eastAsia="仿宋_GB2312" w:cs="Times New Roman"/>
                <w:b/>
                <w:bCs/>
                <w:color w:val="000000"/>
                <w:kern w:val="0"/>
                <w:sz w:val="18"/>
                <w:szCs w:val="18"/>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42" w:hRule="atLeast"/>
          <w:jc w:val="center"/>
        </w:trPr>
        <w:tc>
          <w:tcPr>
            <w:tcW w:w="396" w:type="pct"/>
            <w:vMerge w:val="continue"/>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highlight w:val="none"/>
              </w:rPr>
            </w:pPr>
          </w:p>
        </w:tc>
        <w:tc>
          <w:tcPr>
            <w:tcW w:w="394" w:type="pct"/>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资金投入</w:t>
            </w:r>
          </w:p>
          <w:p>
            <w:pPr>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　</w:t>
            </w:r>
          </w:p>
        </w:tc>
        <w:tc>
          <w:tcPr>
            <w:tcW w:w="422"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预算编制</w:t>
            </w:r>
          </w:p>
          <w:p>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科学性</w:t>
            </w:r>
          </w:p>
        </w:tc>
        <w:tc>
          <w:tcPr>
            <w:tcW w:w="680" w:type="pct"/>
            <w:shd w:val="clear" w:color="auto" w:fill="FFFFFF"/>
            <w:vAlign w:val="center"/>
          </w:tcPr>
          <w:p>
            <w:pPr>
              <w:widowControl/>
              <w:spacing w:line="0" w:lineRule="atLeas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项目预算编制是否经过科学论证、有明确标准，资金额度与年度目标是否相适应，用以反映和考核项目预算编制的科学性、合理性情况。</w:t>
            </w:r>
          </w:p>
        </w:tc>
        <w:tc>
          <w:tcPr>
            <w:tcW w:w="2055" w:type="pct"/>
            <w:shd w:val="clear" w:color="auto" w:fill="FFFFFF"/>
            <w:vAlign w:val="center"/>
          </w:tcPr>
          <w:p>
            <w:pPr>
              <w:widowControl/>
              <w:spacing w:line="0" w:lineRule="atLeas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评价要点：</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①预算编制是否经过科学论证；</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②预算内容与项目内容是否匹配；</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③预算额度测算依据是否充分，是否按照标准编制；</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④预算确定的项目投资额或资金量是否与工作任务相匹配。</w:t>
            </w:r>
          </w:p>
        </w:tc>
        <w:tc>
          <w:tcPr>
            <w:tcW w:w="512" w:type="pct"/>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highlight w:val="none"/>
              </w:rPr>
            </w:pPr>
            <w:r>
              <w:rPr>
                <w:rFonts w:hint="default" w:ascii="Times New Roman" w:hAnsi="Times New Roman" w:eastAsia="仿宋_GB2312" w:cs="Times New Roman"/>
                <w:b/>
                <w:bCs/>
                <w:color w:val="000000"/>
                <w:kern w:val="0"/>
                <w:sz w:val="18"/>
                <w:szCs w:val="18"/>
                <w:highlight w:val="none"/>
              </w:rPr>
              <w:t>4</w:t>
            </w:r>
          </w:p>
        </w:tc>
        <w:tc>
          <w:tcPr>
            <w:tcW w:w="538" w:type="pct"/>
            <w:shd w:val="clear" w:color="auto"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eastAsia="仿宋_GB2312" w:cs="Times New Roman"/>
                <w:b/>
                <w:bCs/>
                <w:color w:val="000000"/>
                <w:kern w:val="0"/>
                <w:sz w:val="18"/>
                <w:szCs w:val="18"/>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06" w:hRule="atLeast"/>
          <w:jc w:val="center"/>
        </w:trPr>
        <w:tc>
          <w:tcPr>
            <w:tcW w:w="396" w:type="pct"/>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highlight w:val="none"/>
              </w:rPr>
            </w:pPr>
          </w:p>
        </w:tc>
        <w:tc>
          <w:tcPr>
            <w:tcW w:w="394" w:type="pct"/>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highlight w:val="none"/>
              </w:rPr>
            </w:pPr>
          </w:p>
        </w:tc>
        <w:tc>
          <w:tcPr>
            <w:tcW w:w="422"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资金分配</w:t>
            </w:r>
          </w:p>
          <w:p>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合理性</w:t>
            </w:r>
          </w:p>
        </w:tc>
        <w:tc>
          <w:tcPr>
            <w:tcW w:w="680" w:type="pct"/>
            <w:shd w:val="clear" w:color="auto" w:fill="FFFFFF"/>
            <w:vAlign w:val="center"/>
          </w:tcPr>
          <w:p>
            <w:pPr>
              <w:widowControl/>
              <w:spacing w:line="0" w:lineRule="atLeas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项目预算资金分配是否有测算依据，与补助单位或地方实际是否相适应，用以反映和考核项目预算资金分配的科学性、合理性情况。</w:t>
            </w:r>
          </w:p>
        </w:tc>
        <w:tc>
          <w:tcPr>
            <w:tcW w:w="2055" w:type="pct"/>
            <w:shd w:val="clear" w:color="auto" w:fill="FFFFFF"/>
            <w:vAlign w:val="center"/>
          </w:tcPr>
          <w:p>
            <w:pPr>
              <w:widowControl/>
              <w:spacing w:line="0" w:lineRule="atLeas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评价要点：</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①预算资金分配依据是否充分；</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②资金分配额度是否合理，与项目单位或地方实际是否相适应。</w:t>
            </w:r>
          </w:p>
        </w:tc>
        <w:tc>
          <w:tcPr>
            <w:tcW w:w="512" w:type="pct"/>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highlight w:val="none"/>
              </w:rPr>
            </w:pPr>
            <w:r>
              <w:rPr>
                <w:rFonts w:hint="default" w:ascii="Times New Roman" w:hAnsi="Times New Roman" w:eastAsia="仿宋_GB2312" w:cs="Times New Roman"/>
                <w:b/>
                <w:bCs/>
                <w:color w:val="000000"/>
                <w:kern w:val="0"/>
                <w:sz w:val="18"/>
                <w:szCs w:val="18"/>
                <w:highlight w:val="none"/>
              </w:rPr>
              <w:t>4</w:t>
            </w:r>
          </w:p>
        </w:tc>
        <w:tc>
          <w:tcPr>
            <w:tcW w:w="538" w:type="pct"/>
            <w:shd w:val="clear" w:color="auto"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eastAsia="仿宋_GB2312" w:cs="Times New Roman"/>
                <w:b/>
                <w:bCs/>
                <w:color w:val="000000"/>
                <w:kern w:val="0"/>
                <w:sz w:val="18"/>
                <w:szCs w:val="18"/>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15" w:hRule="atLeast"/>
          <w:jc w:val="center"/>
        </w:trPr>
        <w:tc>
          <w:tcPr>
            <w:tcW w:w="396" w:type="pct"/>
            <w:vMerge w:val="restart"/>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highlight w:val="none"/>
              </w:rPr>
            </w:pPr>
          </w:p>
          <w:p>
            <w:pPr>
              <w:spacing w:line="0" w:lineRule="atLeast"/>
              <w:jc w:val="center"/>
              <w:rPr>
                <w:rFonts w:hint="default" w:ascii="Times New Roman" w:hAnsi="Times New Roman" w:eastAsia="仿宋_GB2312" w:cs="Times New Roman"/>
                <w:color w:val="000000"/>
                <w:kern w:val="0"/>
                <w:sz w:val="18"/>
                <w:szCs w:val="18"/>
                <w:highlight w:val="none"/>
              </w:rPr>
            </w:pPr>
          </w:p>
          <w:p>
            <w:pPr>
              <w:spacing w:line="0" w:lineRule="atLeast"/>
              <w:jc w:val="center"/>
              <w:rPr>
                <w:rFonts w:hint="default" w:ascii="Times New Roman" w:hAnsi="Times New Roman" w:eastAsia="仿宋_GB2312" w:cs="Times New Roman"/>
                <w:color w:val="000000"/>
                <w:kern w:val="0"/>
                <w:sz w:val="18"/>
                <w:szCs w:val="18"/>
                <w:highlight w:val="none"/>
              </w:rPr>
            </w:pPr>
          </w:p>
          <w:p>
            <w:pPr>
              <w:spacing w:line="0" w:lineRule="atLeast"/>
              <w:jc w:val="center"/>
              <w:rPr>
                <w:rFonts w:hint="default" w:ascii="Times New Roman" w:hAnsi="Times New Roman" w:eastAsia="仿宋_GB2312" w:cs="Times New Roman"/>
                <w:color w:val="000000"/>
                <w:kern w:val="0"/>
                <w:sz w:val="18"/>
                <w:szCs w:val="18"/>
                <w:highlight w:val="none"/>
              </w:rPr>
            </w:pPr>
          </w:p>
          <w:p>
            <w:pPr>
              <w:spacing w:line="0" w:lineRule="atLeast"/>
              <w:jc w:val="center"/>
              <w:rPr>
                <w:rFonts w:hint="default" w:ascii="Times New Roman" w:hAnsi="Times New Roman" w:eastAsia="仿宋_GB2312" w:cs="Times New Roman"/>
                <w:color w:val="000000"/>
                <w:kern w:val="0"/>
                <w:sz w:val="18"/>
                <w:szCs w:val="18"/>
                <w:highlight w:val="none"/>
              </w:rPr>
            </w:pPr>
          </w:p>
          <w:p>
            <w:pPr>
              <w:spacing w:line="0" w:lineRule="atLeast"/>
              <w:jc w:val="center"/>
              <w:rPr>
                <w:rFonts w:hint="default" w:ascii="Times New Roman" w:hAnsi="Times New Roman" w:eastAsia="仿宋_GB2312" w:cs="Times New Roman"/>
                <w:color w:val="000000"/>
                <w:kern w:val="0"/>
                <w:sz w:val="18"/>
                <w:szCs w:val="18"/>
                <w:highlight w:val="none"/>
              </w:rPr>
            </w:pPr>
          </w:p>
          <w:p>
            <w:pPr>
              <w:spacing w:line="0" w:lineRule="atLeast"/>
              <w:jc w:val="center"/>
              <w:rPr>
                <w:rFonts w:hint="default" w:ascii="Times New Roman" w:hAnsi="Times New Roman" w:eastAsia="仿宋_GB2312" w:cs="Times New Roman"/>
                <w:color w:val="000000"/>
                <w:kern w:val="0"/>
                <w:sz w:val="18"/>
                <w:szCs w:val="18"/>
                <w:highlight w:val="none"/>
              </w:rPr>
            </w:pPr>
          </w:p>
          <w:p>
            <w:pPr>
              <w:spacing w:line="0" w:lineRule="atLeast"/>
              <w:jc w:val="center"/>
              <w:rPr>
                <w:rFonts w:hint="default" w:ascii="Times New Roman" w:hAnsi="Times New Roman" w:eastAsia="仿宋_GB2312" w:cs="Times New Roman"/>
                <w:color w:val="000000"/>
                <w:kern w:val="0"/>
                <w:sz w:val="18"/>
                <w:szCs w:val="18"/>
                <w:highlight w:val="none"/>
              </w:rPr>
            </w:pPr>
          </w:p>
          <w:p>
            <w:pPr>
              <w:spacing w:line="0" w:lineRule="atLeast"/>
              <w:jc w:val="center"/>
              <w:rPr>
                <w:rFonts w:hint="default" w:ascii="Times New Roman" w:hAnsi="Times New Roman" w:eastAsia="仿宋_GB2312" w:cs="Times New Roman"/>
                <w:color w:val="000000"/>
                <w:kern w:val="0"/>
                <w:sz w:val="18"/>
                <w:szCs w:val="18"/>
                <w:highlight w:val="none"/>
              </w:rPr>
            </w:pPr>
          </w:p>
          <w:p>
            <w:pPr>
              <w:spacing w:line="0" w:lineRule="atLeast"/>
              <w:jc w:val="center"/>
              <w:rPr>
                <w:rFonts w:hint="default" w:ascii="Times New Roman" w:hAnsi="Times New Roman" w:eastAsia="仿宋_GB2312" w:cs="Times New Roman"/>
                <w:color w:val="000000"/>
                <w:kern w:val="0"/>
                <w:sz w:val="18"/>
                <w:szCs w:val="18"/>
                <w:highlight w:val="none"/>
              </w:rPr>
            </w:pPr>
          </w:p>
          <w:p>
            <w:pPr>
              <w:spacing w:line="0" w:lineRule="atLeast"/>
              <w:jc w:val="center"/>
              <w:rPr>
                <w:rFonts w:hint="default" w:ascii="Times New Roman" w:hAnsi="Times New Roman" w:eastAsia="仿宋_GB2312" w:cs="Times New Roman"/>
                <w:color w:val="000000"/>
                <w:kern w:val="0"/>
                <w:sz w:val="18"/>
                <w:szCs w:val="18"/>
                <w:highlight w:val="none"/>
              </w:rPr>
            </w:pPr>
          </w:p>
          <w:p>
            <w:pPr>
              <w:spacing w:line="0" w:lineRule="atLeast"/>
              <w:jc w:val="center"/>
              <w:rPr>
                <w:rFonts w:hint="default" w:ascii="Times New Roman" w:hAnsi="Times New Roman" w:eastAsia="仿宋_GB2312" w:cs="Times New Roman"/>
                <w:color w:val="000000"/>
                <w:kern w:val="0"/>
                <w:sz w:val="18"/>
                <w:szCs w:val="18"/>
                <w:highlight w:val="none"/>
              </w:rPr>
            </w:pPr>
          </w:p>
          <w:p>
            <w:pPr>
              <w:spacing w:line="0" w:lineRule="atLeast"/>
              <w:jc w:val="center"/>
              <w:rPr>
                <w:rFonts w:hint="default" w:ascii="Times New Roman" w:hAnsi="Times New Roman" w:eastAsia="仿宋_GB2312" w:cs="Times New Roman"/>
                <w:color w:val="000000"/>
                <w:kern w:val="0"/>
                <w:sz w:val="18"/>
                <w:szCs w:val="18"/>
                <w:highlight w:val="none"/>
              </w:rPr>
            </w:pPr>
          </w:p>
          <w:p>
            <w:pPr>
              <w:spacing w:line="0" w:lineRule="atLeast"/>
              <w:jc w:val="center"/>
              <w:rPr>
                <w:rFonts w:hint="default" w:ascii="Times New Roman" w:hAnsi="Times New Roman" w:eastAsia="仿宋_GB2312" w:cs="Times New Roman"/>
                <w:color w:val="000000"/>
                <w:kern w:val="0"/>
                <w:sz w:val="18"/>
                <w:szCs w:val="18"/>
                <w:highlight w:val="none"/>
              </w:rPr>
            </w:pPr>
          </w:p>
          <w:p>
            <w:pPr>
              <w:spacing w:line="0" w:lineRule="atLeast"/>
              <w:jc w:val="center"/>
              <w:rPr>
                <w:rFonts w:hint="default" w:ascii="Times New Roman" w:hAnsi="Times New Roman" w:eastAsia="仿宋_GB2312" w:cs="Times New Roman"/>
                <w:color w:val="000000"/>
                <w:kern w:val="0"/>
                <w:sz w:val="18"/>
                <w:szCs w:val="18"/>
                <w:highlight w:val="none"/>
              </w:rPr>
            </w:pPr>
          </w:p>
          <w:p>
            <w:pPr>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过程</w:t>
            </w:r>
          </w:p>
          <w:p>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　　</w:t>
            </w:r>
          </w:p>
        </w:tc>
        <w:tc>
          <w:tcPr>
            <w:tcW w:w="394" w:type="pct"/>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资金管理</w:t>
            </w:r>
          </w:p>
        </w:tc>
        <w:tc>
          <w:tcPr>
            <w:tcW w:w="422"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资金到位率</w:t>
            </w:r>
          </w:p>
        </w:tc>
        <w:tc>
          <w:tcPr>
            <w:tcW w:w="680"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实际到位资金与预算资金的比率，用以反映和考核资金落实情况对项目实施的总体保障程度。</w:t>
            </w:r>
          </w:p>
        </w:tc>
        <w:tc>
          <w:tcPr>
            <w:tcW w:w="2055"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资金到位率=（实际到位资金/预算资金）×100%。</w:t>
            </w:r>
          </w:p>
          <w:p>
            <w:pPr>
              <w:widowControl/>
              <w:spacing w:line="0" w:lineRule="atLeas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实际到位资金：一定时期（本年度或项目期）内落实到具体项目的资金。</w:t>
            </w:r>
          </w:p>
          <w:p>
            <w:pPr>
              <w:widowControl/>
              <w:spacing w:line="0" w:lineRule="atLeas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预算资金：一定时期（本年度或项目期）内预算安排到具体项目的资金。</w:t>
            </w:r>
          </w:p>
        </w:tc>
        <w:tc>
          <w:tcPr>
            <w:tcW w:w="512" w:type="pct"/>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highlight w:val="none"/>
              </w:rPr>
            </w:pPr>
            <w:r>
              <w:rPr>
                <w:rFonts w:hint="default" w:ascii="Times New Roman" w:hAnsi="Times New Roman" w:eastAsia="仿宋_GB2312" w:cs="Times New Roman"/>
                <w:b/>
                <w:bCs/>
                <w:color w:val="000000"/>
                <w:kern w:val="0"/>
                <w:sz w:val="18"/>
                <w:szCs w:val="18"/>
                <w:highlight w:val="none"/>
              </w:rPr>
              <w:t>4</w:t>
            </w:r>
          </w:p>
        </w:tc>
        <w:tc>
          <w:tcPr>
            <w:tcW w:w="538" w:type="pct"/>
            <w:shd w:val="clear" w:color="000000"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eastAsia="仿宋_GB2312" w:cs="Times New Roman"/>
                <w:b/>
                <w:bCs/>
                <w:color w:val="000000"/>
                <w:kern w:val="0"/>
                <w:sz w:val="18"/>
                <w:szCs w:val="18"/>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20" w:hRule="atLeast"/>
          <w:jc w:val="center"/>
        </w:trPr>
        <w:tc>
          <w:tcPr>
            <w:tcW w:w="396" w:type="pct"/>
            <w:vMerge w:val="continue"/>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highlight w:val="none"/>
              </w:rPr>
            </w:pPr>
          </w:p>
        </w:tc>
        <w:tc>
          <w:tcPr>
            <w:tcW w:w="394" w:type="pct"/>
            <w:vMerge w:val="continue"/>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highlight w:val="none"/>
              </w:rPr>
            </w:pPr>
          </w:p>
        </w:tc>
        <w:tc>
          <w:tcPr>
            <w:tcW w:w="422"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预算执行率</w:t>
            </w:r>
          </w:p>
        </w:tc>
        <w:tc>
          <w:tcPr>
            <w:tcW w:w="680" w:type="pct"/>
            <w:shd w:val="clear" w:color="auto" w:fill="FFFFFF"/>
            <w:vAlign w:val="center"/>
          </w:tcPr>
          <w:p>
            <w:pPr>
              <w:widowControl/>
              <w:spacing w:line="0" w:lineRule="atLeas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项目预算资金是否按照计划执行，用以反映或考核项目预算执行情况。</w:t>
            </w:r>
          </w:p>
        </w:tc>
        <w:tc>
          <w:tcPr>
            <w:tcW w:w="2055" w:type="pct"/>
            <w:shd w:val="clear" w:color="auto" w:fill="FFFFFF"/>
            <w:vAlign w:val="center"/>
          </w:tcPr>
          <w:p>
            <w:pPr>
              <w:widowControl/>
              <w:spacing w:line="0" w:lineRule="atLeas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预算执行率=（实际支出资金/实际到位资金）×100%。</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实际支出资金：一定时期（本年度或项目期）内项目实际拨付的资金。</w:t>
            </w:r>
          </w:p>
        </w:tc>
        <w:tc>
          <w:tcPr>
            <w:tcW w:w="512" w:type="pct"/>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highlight w:val="none"/>
              </w:rPr>
            </w:pPr>
            <w:r>
              <w:rPr>
                <w:rFonts w:hint="default" w:ascii="Times New Roman" w:hAnsi="Times New Roman" w:eastAsia="仿宋_GB2312" w:cs="Times New Roman"/>
                <w:b/>
                <w:bCs/>
                <w:color w:val="000000"/>
                <w:kern w:val="0"/>
                <w:sz w:val="18"/>
                <w:szCs w:val="18"/>
                <w:highlight w:val="none"/>
              </w:rPr>
              <w:t>4</w:t>
            </w:r>
          </w:p>
        </w:tc>
        <w:tc>
          <w:tcPr>
            <w:tcW w:w="538" w:type="pct"/>
            <w:shd w:val="clear" w:color="auto"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eastAsia="仿宋_GB2312" w:cs="Times New Roman"/>
                <w:b/>
                <w:bCs/>
                <w:color w:val="000000"/>
                <w:kern w:val="0"/>
                <w:sz w:val="18"/>
                <w:szCs w:val="18"/>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396" w:type="pct"/>
            <w:vMerge w:val="continue"/>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highlight w:val="none"/>
              </w:rPr>
            </w:pPr>
          </w:p>
        </w:tc>
        <w:tc>
          <w:tcPr>
            <w:tcW w:w="394"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资金管理</w:t>
            </w:r>
          </w:p>
        </w:tc>
        <w:tc>
          <w:tcPr>
            <w:tcW w:w="422"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资金使用</w:t>
            </w:r>
          </w:p>
          <w:p>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合规性</w:t>
            </w:r>
          </w:p>
        </w:tc>
        <w:tc>
          <w:tcPr>
            <w:tcW w:w="680"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项目资金使用是否符合相关的财务管理制度规定，用以反映和考核项目资金的规范运行情况。</w:t>
            </w:r>
          </w:p>
        </w:tc>
        <w:tc>
          <w:tcPr>
            <w:tcW w:w="2055"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评价要点：</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①是否符合国家财经法规和财务管理制度以及有关专项资金管理办法的规定；</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②资金的拨付是否有完整的审批程序和手续；</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③是否符合项目预算批复或合同规定的用途；</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④是否存在截留、挤占、挪用、虚列支出等情况。</w:t>
            </w:r>
          </w:p>
        </w:tc>
        <w:tc>
          <w:tcPr>
            <w:tcW w:w="512" w:type="pct"/>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highlight w:val="none"/>
              </w:rPr>
            </w:pPr>
            <w:r>
              <w:rPr>
                <w:rFonts w:hint="default" w:ascii="Times New Roman" w:hAnsi="Times New Roman" w:eastAsia="仿宋_GB2312" w:cs="Times New Roman"/>
                <w:b/>
                <w:bCs/>
                <w:color w:val="000000"/>
                <w:kern w:val="0"/>
                <w:sz w:val="18"/>
                <w:szCs w:val="18"/>
                <w:highlight w:val="none"/>
              </w:rPr>
              <w:t>4</w:t>
            </w:r>
          </w:p>
        </w:tc>
        <w:tc>
          <w:tcPr>
            <w:tcW w:w="538" w:type="pct"/>
            <w:shd w:val="clear" w:color="000000"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eastAsia="仿宋_GB2312" w:cs="Times New Roman"/>
                <w:b/>
                <w:bCs/>
                <w:color w:val="000000"/>
                <w:kern w:val="0"/>
                <w:sz w:val="18"/>
                <w:szCs w:val="18"/>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97" w:hRule="atLeast"/>
          <w:jc w:val="center"/>
        </w:trPr>
        <w:tc>
          <w:tcPr>
            <w:tcW w:w="396" w:type="pct"/>
            <w:vMerge w:val="continue"/>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highlight w:val="none"/>
              </w:rPr>
            </w:pPr>
          </w:p>
        </w:tc>
        <w:tc>
          <w:tcPr>
            <w:tcW w:w="394" w:type="pct"/>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组织实施</w:t>
            </w:r>
          </w:p>
          <w:p>
            <w:pPr>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　</w:t>
            </w:r>
          </w:p>
        </w:tc>
        <w:tc>
          <w:tcPr>
            <w:tcW w:w="422"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管理制度</w:t>
            </w:r>
          </w:p>
          <w:p>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健全性</w:t>
            </w:r>
          </w:p>
        </w:tc>
        <w:tc>
          <w:tcPr>
            <w:tcW w:w="680"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项目实施单位的财务和业务管理制度是否健全，用以反映和考核财务和业务管理制度对项目顺利实施的保障情况。</w:t>
            </w:r>
          </w:p>
        </w:tc>
        <w:tc>
          <w:tcPr>
            <w:tcW w:w="2055"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评价要点：</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①是否已制定或具有相应的财务和业务管理制度；</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②财务和业务管理制度是否合法、合规、完整。</w:t>
            </w:r>
          </w:p>
        </w:tc>
        <w:tc>
          <w:tcPr>
            <w:tcW w:w="512" w:type="pct"/>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highlight w:val="none"/>
              </w:rPr>
            </w:pPr>
            <w:r>
              <w:rPr>
                <w:rFonts w:hint="default" w:ascii="Times New Roman" w:hAnsi="Times New Roman" w:eastAsia="仿宋_GB2312" w:cs="Times New Roman"/>
                <w:b/>
                <w:bCs/>
                <w:color w:val="000000"/>
                <w:kern w:val="0"/>
                <w:sz w:val="18"/>
                <w:szCs w:val="18"/>
                <w:highlight w:val="none"/>
              </w:rPr>
              <w:t>4</w:t>
            </w:r>
          </w:p>
        </w:tc>
        <w:tc>
          <w:tcPr>
            <w:tcW w:w="538" w:type="pct"/>
            <w:shd w:val="clear" w:color="000000"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eastAsia="仿宋_GB2312" w:cs="Times New Roman"/>
                <w:b/>
                <w:bCs/>
                <w:color w:val="000000"/>
                <w:kern w:val="0"/>
                <w:sz w:val="18"/>
                <w:szCs w:val="18"/>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69" w:hRule="atLeast"/>
          <w:jc w:val="center"/>
        </w:trPr>
        <w:tc>
          <w:tcPr>
            <w:tcW w:w="396" w:type="pct"/>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highlight w:val="none"/>
              </w:rPr>
            </w:pPr>
          </w:p>
        </w:tc>
        <w:tc>
          <w:tcPr>
            <w:tcW w:w="394" w:type="pct"/>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highlight w:val="none"/>
              </w:rPr>
            </w:pPr>
          </w:p>
        </w:tc>
        <w:tc>
          <w:tcPr>
            <w:tcW w:w="422"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制度执行</w:t>
            </w:r>
          </w:p>
          <w:p>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有效性</w:t>
            </w:r>
          </w:p>
        </w:tc>
        <w:tc>
          <w:tcPr>
            <w:tcW w:w="680"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项目实施是否符合相关管理规定，用以反映和考核相关管理制度的有效执行情况。</w:t>
            </w:r>
          </w:p>
        </w:tc>
        <w:tc>
          <w:tcPr>
            <w:tcW w:w="2055"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评价要点：</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①是否遵守相关法律法规和相关管理规定；</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②项目调整及支出调整手续是否完备；</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③项目合同书、验收报告、技术鉴定等资料是否齐全并及时归档；</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④项目实施的人员条件、场地设备、信息支撑等是否落实到位。</w:t>
            </w:r>
          </w:p>
        </w:tc>
        <w:tc>
          <w:tcPr>
            <w:tcW w:w="512" w:type="pct"/>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highlight w:val="none"/>
              </w:rPr>
            </w:pPr>
            <w:r>
              <w:rPr>
                <w:rFonts w:hint="default" w:ascii="Times New Roman" w:hAnsi="Times New Roman" w:eastAsia="仿宋_GB2312" w:cs="Times New Roman"/>
                <w:b/>
                <w:bCs/>
                <w:color w:val="000000"/>
                <w:kern w:val="0"/>
                <w:sz w:val="18"/>
                <w:szCs w:val="18"/>
                <w:highlight w:val="none"/>
              </w:rPr>
              <w:t>4</w:t>
            </w:r>
          </w:p>
        </w:tc>
        <w:tc>
          <w:tcPr>
            <w:tcW w:w="538" w:type="pct"/>
            <w:shd w:val="clear" w:color="000000"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eastAsia="仿宋_GB2312" w:cs="Times New Roman"/>
                <w:b/>
                <w:bCs/>
                <w:color w:val="000000"/>
                <w:kern w:val="0"/>
                <w:sz w:val="18"/>
                <w:szCs w:val="18"/>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7" w:hRule="atLeast"/>
          <w:jc w:val="center"/>
        </w:trPr>
        <w:tc>
          <w:tcPr>
            <w:tcW w:w="396" w:type="pct"/>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产出</w:t>
            </w:r>
          </w:p>
        </w:tc>
        <w:tc>
          <w:tcPr>
            <w:tcW w:w="394"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产出数量</w:t>
            </w:r>
          </w:p>
        </w:tc>
        <w:tc>
          <w:tcPr>
            <w:tcW w:w="422"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实际完成率</w:t>
            </w:r>
          </w:p>
        </w:tc>
        <w:tc>
          <w:tcPr>
            <w:tcW w:w="680"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项目实施的实际产出数与计划产出数的比率，用以反映和考核项目产出数量目标的实现程度。</w:t>
            </w:r>
          </w:p>
        </w:tc>
        <w:tc>
          <w:tcPr>
            <w:tcW w:w="2055"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实际完成率=（实际产出数/计划产出数）×100%。</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实际产出数：一定时期（本年度或项目期）内项目实际产出的产品或提供的服务数量。</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计划产出数：项目绩效目标确定的在一定时期（本年度或项目期）内计划产出的产品或提供的服务数量。</w:t>
            </w:r>
          </w:p>
        </w:tc>
        <w:tc>
          <w:tcPr>
            <w:tcW w:w="512" w:type="pct"/>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highlight w:val="none"/>
              </w:rPr>
            </w:pPr>
            <w:r>
              <w:rPr>
                <w:rFonts w:hint="default" w:ascii="Times New Roman" w:hAnsi="Times New Roman" w:eastAsia="仿宋_GB2312" w:cs="Times New Roman"/>
                <w:b/>
                <w:bCs/>
                <w:color w:val="000000"/>
                <w:kern w:val="0"/>
                <w:sz w:val="18"/>
                <w:szCs w:val="18"/>
                <w:highlight w:val="none"/>
              </w:rPr>
              <w:t>10</w:t>
            </w:r>
          </w:p>
        </w:tc>
        <w:tc>
          <w:tcPr>
            <w:tcW w:w="538" w:type="pct"/>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highlight w:val="none"/>
                <w:lang w:val="en-US" w:eastAsia="zh-CN"/>
              </w:rPr>
            </w:pPr>
            <w:r>
              <w:rPr>
                <w:rFonts w:hint="eastAsia" w:eastAsia="仿宋_GB2312" w:cs="Times New Roman"/>
                <w:b/>
                <w:bCs/>
                <w:color w:val="000000"/>
                <w:kern w:val="0"/>
                <w:sz w:val="18"/>
                <w:szCs w:val="18"/>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18" w:hRule="atLeast"/>
          <w:jc w:val="center"/>
        </w:trPr>
        <w:tc>
          <w:tcPr>
            <w:tcW w:w="396" w:type="pct"/>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highlight w:val="none"/>
              </w:rPr>
            </w:pPr>
          </w:p>
        </w:tc>
        <w:tc>
          <w:tcPr>
            <w:tcW w:w="394"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产出质量</w:t>
            </w:r>
          </w:p>
        </w:tc>
        <w:tc>
          <w:tcPr>
            <w:tcW w:w="422"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质量达标率</w:t>
            </w:r>
          </w:p>
        </w:tc>
        <w:tc>
          <w:tcPr>
            <w:tcW w:w="680"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项目完成的质量达标产出数与实际产出数的比率，用以反映和考核项目产出质量目标的实现程度。</w:t>
            </w:r>
          </w:p>
        </w:tc>
        <w:tc>
          <w:tcPr>
            <w:tcW w:w="2055"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质量达标率=（质量达标产出数/实际产出数）×100%。</w:t>
            </w:r>
          </w:p>
          <w:p>
            <w:pPr>
              <w:widowControl/>
              <w:spacing w:line="0" w:lineRule="atLeas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512" w:type="pct"/>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highlight w:val="none"/>
              </w:rPr>
            </w:pPr>
            <w:r>
              <w:rPr>
                <w:rFonts w:hint="default" w:ascii="Times New Roman" w:hAnsi="Times New Roman" w:eastAsia="仿宋_GB2312" w:cs="Times New Roman"/>
                <w:b/>
                <w:bCs/>
                <w:color w:val="000000"/>
                <w:kern w:val="0"/>
                <w:sz w:val="18"/>
                <w:szCs w:val="18"/>
                <w:highlight w:val="none"/>
              </w:rPr>
              <w:t>10</w:t>
            </w:r>
          </w:p>
        </w:tc>
        <w:tc>
          <w:tcPr>
            <w:tcW w:w="538" w:type="pct"/>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highlight w:val="none"/>
                <w:lang w:val="en-US" w:eastAsia="zh-CN"/>
              </w:rPr>
            </w:pPr>
            <w:r>
              <w:rPr>
                <w:rFonts w:hint="eastAsia" w:eastAsia="仿宋_GB2312" w:cs="Times New Roman"/>
                <w:b/>
                <w:bCs/>
                <w:color w:val="000000"/>
                <w:kern w:val="0"/>
                <w:sz w:val="18"/>
                <w:szCs w:val="18"/>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506" w:hRule="atLeast"/>
          <w:jc w:val="center"/>
        </w:trPr>
        <w:tc>
          <w:tcPr>
            <w:tcW w:w="396" w:type="pct"/>
            <w:vMerge w:val="continue"/>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highlight w:val="none"/>
              </w:rPr>
            </w:pPr>
          </w:p>
        </w:tc>
        <w:tc>
          <w:tcPr>
            <w:tcW w:w="394" w:type="pct"/>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产出时效</w:t>
            </w:r>
          </w:p>
        </w:tc>
        <w:tc>
          <w:tcPr>
            <w:tcW w:w="422"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完成及时性</w:t>
            </w:r>
          </w:p>
        </w:tc>
        <w:tc>
          <w:tcPr>
            <w:tcW w:w="680"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项目实际完成时间与计划完成时间的比较，用以反映和考核项目产出时效目标的实现程度。</w:t>
            </w:r>
          </w:p>
        </w:tc>
        <w:tc>
          <w:tcPr>
            <w:tcW w:w="2055"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实际完成时间：项目实施单位完成该项目实际所耗用的时间。</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计划完成时间：按照项目实施计划或相关规定完成该项目所需的时间。</w:t>
            </w:r>
          </w:p>
        </w:tc>
        <w:tc>
          <w:tcPr>
            <w:tcW w:w="512" w:type="pct"/>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highlight w:val="none"/>
              </w:rPr>
            </w:pPr>
            <w:r>
              <w:rPr>
                <w:rFonts w:hint="default" w:ascii="Times New Roman" w:hAnsi="Times New Roman" w:eastAsia="仿宋_GB2312" w:cs="Times New Roman"/>
                <w:b/>
                <w:bCs/>
                <w:color w:val="000000"/>
                <w:kern w:val="0"/>
                <w:sz w:val="18"/>
                <w:szCs w:val="18"/>
                <w:highlight w:val="none"/>
              </w:rPr>
              <w:t>10</w:t>
            </w:r>
          </w:p>
        </w:tc>
        <w:tc>
          <w:tcPr>
            <w:tcW w:w="538" w:type="pct"/>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highlight w:val="none"/>
                <w:lang w:val="en-US" w:eastAsia="zh-CN"/>
              </w:rPr>
            </w:pPr>
            <w:r>
              <w:rPr>
                <w:rFonts w:hint="eastAsia" w:eastAsia="仿宋_GB2312" w:cs="Times New Roman"/>
                <w:b/>
                <w:bCs/>
                <w:color w:val="000000"/>
                <w:kern w:val="0"/>
                <w:sz w:val="18"/>
                <w:szCs w:val="18"/>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396" w:type="pct"/>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highlight w:val="none"/>
              </w:rPr>
            </w:pPr>
          </w:p>
        </w:tc>
        <w:tc>
          <w:tcPr>
            <w:tcW w:w="394"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产出成本</w:t>
            </w:r>
          </w:p>
        </w:tc>
        <w:tc>
          <w:tcPr>
            <w:tcW w:w="422"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成本节约率</w:t>
            </w:r>
          </w:p>
        </w:tc>
        <w:tc>
          <w:tcPr>
            <w:tcW w:w="680"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完成项目计划工作目标的实际节约成本与计划成本的比率，用以反映和考核项目的成本节约程度。</w:t>
            </w:r>
          </w:p>
        </w:tc>
        <w:tc>
          <w:tcPr>
            <w:tcW w:w="2055"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成本节约率=[（计划成本-实际成本）/计划成本]×100%。</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实际成本：项目实施单位如期、保质、保量完成既定工作目标实际所耗费的支出。</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计划成本：项目实施单位为完成工作目标计划安排的支出，一般以项目预算为参考。</w:t>
            </w:r>
          </w:p>
        </w:tc>
        <w:tc>
          <w:tcPr>
            <w:tcW w:w="512" w:type="pct"/>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highlight w:val="none"/>
              </w:rPr>
            </w:pPr>
            <w:r>
              <w:rPr>
                <w:rFonts w:hint="default" w:ascii="Times New Roman" w:hAnsi="Times New Roman" w:eastAsia="仿宋_GB2312" w:cs="Times New Roman"/>
                <w:b/>
                <w:bCs/>
                <w:color w:val="000000"/>
                <w:kern w:val="0"/>
                <w:sz w:val="18"/>
                <w:szCs w:val="18"/>
                <w:highlight w:val="none"/>
              </w:rPr>
              <w:t>10</w:t>
            </w:r>
          </w:p>
        </w:tc>
        <w:tc>
          <w:tcPr>
            <w:tcW w:w="538" w:type="pct"/>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highlight w:val="none"/>
                <w:lang w:val="en-US" w:eastAsia="zh-CN"/>
              </w:rPr>
            </w:pPr>
            <w:r>
              <w:rPr>
                <w:rFonts w:hint="eastAsia" w:eastAsia="仿宋_GB2312" w:cs="Times New Roman"/>
                <w:b/>
                <w:bCs/>
                <w:color w:val="000000"/>
                <w:kern w:val="0"/>
                <w:sz w:val="18"/>
                <w:szCs w:val="18"/>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89" w:hRule="atLeast"/>
          <w:jc w:val="center"/>
        </w:trPr>
        <w:tc>
          <w:tcPr>
            <w:tcW w:w="396" w:type="pct"/>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效益　</w:t>
            </w:r>
          </w:p>
        </w:tc>
        <w:tc>
          <w:tcPr>
            <w:tcW w:w="394" w:type="pct"/>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项目效益　</w:t>
            </w:r>
          </w:p>
        </w:tc>
        <w:tc>
          <w:tcPr>
            <w:tcW w:w="422"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实施效益</w:t>
            </w:r>
          </w:p>
        </w:tc>
        <w:tc>
          <w:tcPr>
            <w:tcW w:w="680" w:type="pct"/>
            <w:shd w:val="clear" w:color="auto" w:fill="FFFFFF"/>
            <w:vAlign w:val="center"/>
          </w:tcPr>
          <w:p>
            <w:pPr>
              <w:widowControl/>
              <w:spacing w:line="0" w:lineRule="atLeast"/>
              <w:jc w:val="lef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项目实施所产生的效益。</w:t>
            </w:r>
          </w:p>
        </w:tc>
        <w:tc>
          <w:tcPr>
            <w:tcW w:w="2055" w:type="pct"/>
            <w:shd w:val="clear" w:color="auto" w:fill="FFFFFF"/>
            <w:vAlign w:val="center"/>
          </w:tcPr>
          <w:p>
            <w:pPr>
              <w:widowControl/>
              <w:spacing w:line="0" w:lineRule="atLeas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项目实施所产生的社会效益、经济效益、生态效益、可持续影响等。可根据项目实际情况有选择地设置和细化。</w:t>
            </w:r>
          </w:p>
        </w:tc>
        <w:tc>
          <w:tcPr>
            <w:tcW w:w="512" w:type="pct"/>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highlight w:val="none"/>
              </w:rPr>
            </w:pPr>
            <w:r>
              <w:rPr>
                <w:rFonts w:hint="default" w:ascii="Times New Roman" w:hAnsi="Times New Roman" w:eastAsia="仿宋_GB2312" w:cs="Times New Roman"/>
                <w:b/>
                <w:bCs/>
                <w:color w:val="000000"/>
                <w:kern w:val="0"/>
                <w:sz w:val="18"/>
                <w:szCs w:val="18"/>
                <w:highlight w:val="none"/>
              </w:rPr>
              <w:t>10</w:t>
            </w:r>
          </w:p>
        </w:tc>
        <w:tc>
          <w:tcPr>
            <w:tcW w:w="538" w:type="pct"/>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highlight w:val="none"/>
                <w:lang w:val="en-US" w:eastAsia="zh-CN"/>
              </w:rPr>
            </w:pPr>
            <w:r>
              <w:rPr>
                <w:rFonts w:hint="eastAsia" w:eastAsia="仿宋_GB2312" w:cs="Times New Roman"/>
                <w:b/>
                <w:bCs/>
                <w:color w:val="000000"/>
                <w:kern w:val="0"/>
                <w:sz w:val="18"/>
                <w:szCs w:val="18"/>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37" w:hRule="atLeast"/>
          <w:jc w:val="center"/>
        </w:trPr>
        <w:tc>
          <w:tcPr>
            <w:tcW w:w="396" w:type="pct"/>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highlight w:val="none"/>
              </w:rPr>
            </w:pPr>
          </w:p>
        </w:tc>
        <w:tc>
          <w:tcPr>
            <w:tcW w:w="394" w:type="pct"/>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highlight w:val="none"/>
              </w:rPr>
            </w:pPr>
          </w:p>
        </w:tc>
        <w:tc>
          <w:tcPr>
            <w:tcW w:w="422"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满意度</w:t>
            </w:r>
          </w:p>
        </w:tc>
        <w:tc>
          <w:tcPr>
            <w:tcW w:w="680"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社会公众或服务对象对项目实施效果的满意程度。</w:t>
            </w:r>
          </w:p>
        </w:tc>
        <w:tc>
          <w:tcPr>
            <w:tcW w:w="2055"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社会公众或服务对象是指因该项目实施而受到影响的部门（单位）、群体或个人。一般采取社会调查的方式。</w:t>
            </w:r>
          </w:p>
        </w:tc>
        <w:tc>
          <w:tcPr>
            <w:tcW w:w="512" w:type="pct"/>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highlight w:val="none"/>
              </w:rPr>
            </w:pPr>
            <w:r>
              <w:rPr>
                <w:rFonts w:hint="default" w:ascii="Times New Roman" w:hAnsi="Times New Roman" w:eastAsia="仿宋_GB2312" w:cs="Times New Roman"/>
                <w:b/>
                <w:bCs/>
                <w:color w:val="000000"/>
                <w:kern w:val="0"/>
                <w:sz w:val="18"/>
                <w:szCs w:val="18"/>
                <w:highlight w:val="none"/>
              </w:rPr>
              <w:t>10</w:t>
            </w:r>
          </w:p>
        </w:tc>
        <w:tc>
          <w:tcPr>
            <w:tcW w:w="538" w:type="pct"/>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highlight w:val="none"/>
                <w:lang w:val="en-US" w:eastAsia="zh-CN"/>
              </w:rPr>
            </w:pPr>
            <w:r>
              <w:rPr>
                <w:rFonts w:hint="eastAsia" w:eastAsia="仿宋_GB2312" w:cs="Times New Roman"/>
                <w:b/>
                <w:bCs/>
                <w:color w:val="000000"/>
                <w:kern w:val="0"/>
                <w:sz w:val="18"/>
                <w:szCs w:val="18"/>
                <w:highlight w:val="none"/>
                <w:lang w:val="en-US" w:eastAsia="zh-CN"/>
              </w:rPr>
              <w:t>10</w:t>
            </w:r>
          </w:p>
        </w:tc>
      </w:tr>
    </w:tbl>
    <w:p>
      <w:pPr>
        <w:rPr>
          <w:rFonts w:hint="default" w:ascii="Times New Roman" w:hAnsi="Times New Roman" w:cs="Times New Roman"/>
          <w:highlight w:val="none"/>
        </w:rPr>
        <w:sectPr>
          <w:pgSz w:w="16838" w:h="11906" w:orient="landscape"/>
          <w:pgMar w:top="2098" w:right="1531" w:bottom="1984" w:left="1531" w:header="851" w:footer="992" w:gutter="0"/>
          <w:cols w:space="425" w:num="1"/>
          <w:docGrid w:type="lines" w:linePitch="312" w:charSpace="0"/>
        </w:sectPr>
      </w:pPr>
    </w:p>
    <w:p>
      <w:pPr>
        <w:spacing w:line="600" w:lineRule="exact"/>
        <w:rPr>
          <w:rFonts w:hint="eastAsia" w:eastAsia="黑体" w:cs="Times New Roman"/>
          <w:sz w:val="32"/>
          <w:szCs w:val="32"/>
          <w:highlight w:val="none"/>
          <w:lang w:val="en-US" w:eastAsia="zh-CN"/>
        </w:rPr>
      </w:pPr>
      <w:r>
        <w:rPr>
          <w:rFonts w:hint="eastAsia" w:ascii="Times New Roman" w:hAnsi="Times New Roman" w:eastAsia="黑体" w:cs="Times New Roman"/>
          <w:sz w:val="32"/>
          <w:szCs w:val="32"/>
          <w:highlight w:val="none"/>
          <w:lang w:val="en-US" w:eastAsia="zh-CN"/>
        </w:rPr>
        <w:t>附件</w:t>
      </w:r>
      <w:r>
        <w:rPr>
          <w:rFonts w:hint="eastAsia" w:eastAsia="黑体" w:cs="Times New Roman"/>
          <w:sz w:val="32"/>
          <w:szCs w:val="32"/>
          <w:highlight w:val="none"/>
          <w:lang w:val="en-US" w:eastAsia="zh-CN"/>
        </w:rPr>
        <w:t>2</w:t>
      </w:r>
    </w:p>
    <w:p>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eastAsia" w:ascii="仿宋_GB2312" w:hAnsi="仿宋_GB2312" w:eastAsia="仿宋_GB2312" w:cs="仿宋_GB2312"/>
          <w:b/>
          <w:bCs/>
          <w:i w:val="0"/>
          <w:iCs w:val="0"/>
          <w:color w:val="000000"/>
          <w:kern w:val="0"/>
          <w:sz w:val="28"/>
          <w:szCs w:val="28"/>
          <w:highlight w:val="none"/>
          <w:u w:val="none"/>
          <w:lang w:val="en-US" w:eastAsia="zh-CN" w:bidi="ar"/>
        </w:rPr>
      </w:pPr>
      <w:r>
        <w:rPr>
          <w:rFonts w:hint="eastAsia" w:ascii="仿宋_GB2312" w:hAnsi="仿宋_GB2312" w:eastAsia="仿宋_GB2312" w:cs="仿宋_GB2312"/>
          <w:b/>
          <w:bCs/>
          <w:i w:val="0"/>
          <w:iCs w:val="0"/>
          <w:color w:val="000000"/>
          <w:kern w:val="0"/>
          <w:sz w:val="28"/>
          <w:szCs w:val="28"/>
          <w:highlight w:val="none"/>
          <w:u w:val="none"/>
          <w:lang w:val="en-US" w:eastAsia="zh-CN" w:bidi="ar"/>
        </w:rPr>
        <w:t>项目支出绩效自评表</w:t>
      </w:r>
    </w:p>
    <w:p>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b/>
          <w:bCs/>
          <w:i w:val="0"/>
          <w:iCs w:val="0"/>
          <w:color w:val="000000"/>
          <w:kern w:val="0"/>
          <w:sz w:val="22"/>
          <w:szCs w:val="22"/>
          <w:highlight w:val="none"/>
          <w:u w:val="none"/>
          <w:lang w:val="en-US" w:eastAsia="zh-CN" w:bidi="ar"/>
        </w:rPr>
      </w:pPr>
      <w:r>
        <w:rPr>
          <w:rFonts w:hint="default" w:ascii="Times New Roman" w:hAnsi="Times New Roman" w:eastAsia="仿宋_GB2312" w:cs="Times New Roman"/>
          <w:b/>
          <w:bCs/>
          <w:i w:val="0"/>
          <w:iCs w:val="0"/>
          <w:color w:val="000000"/>
          <w:kern w:val="0"/>
          <w:sz w:val="22"/>
          <w:szCs w:val="22"/>
          <w:highlight w:val="none"/>
          <w:u w:val="none"/>
          <w:lang w:val="en-US" w:eastAsia="zh-CN" w:bidi="ar"/>
        </w:rPr>
        <w:t>（ 2024年度）</w:t>
      </w:r>
    </w:p>
    <w:tbl>
      <w:tblPr>
        <w:tblStyle w:val="14"/>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671"/>
        <w:gridCol w:w="689"/>
        <w:gridCol w:w="999"/>
        <w:gridCol w:w="2428"/>
        <w:gridCol w:w="1051"/>
        <w:gridCol w:w="1111"/>
        <w:gridCol w:w="731"/>
        <w:gridCol w:w="757"/>
        <w:gridCol w:w="940"/>
        <w:gridCol w:w="911"/>
        <w:gridCol w:w="875"/>
        <w:gridCol w:w="819"/>
        <w:gridCol w:w="738"/>
        <w:gridCol w:w="127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48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kern w:val="0"/>
                <w:sz w:val="18"/>
                <w:szCs w:val="18"/>
                <w:highlight w:val="none"/>
                <w:u w:val="none"/>
                <w:lang w:val="en-US" w:eastAsia="zh-CN" w:bidi="ar"/>
              </w:rPr>
              <w:t>项目名称</w:t>
            </w:r>
          </w:p>
        </w:tc>
        <w:tc>
          <w:tcPr>
            <w:tcW w:w="4513" w:type="pct"/>
            <w:gridSpan w:val="1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highlight w:val="none"/>
                <w:u w:val="none"/>
                <w:lang w:val="en-US" w:eastAsia="zh-CN"/>
              </w:rPr>
            </w:pPr>
            <w:r>
              <w:rPr>
                <w:rFonts w:hint="eastAsia" w:ascii="仿宋_GB2312" w:hAnsi="仿宋_GB2312" w:eastAsia="仿宋_GB2312" w:cs="仿宋_GB2312"/>
                <w:i w:val="0"/>
                <w:iCs w:val="0"/>
                <w:color w:val="000000"/>
                <w:sz w:val="18"/>
                <w:szCs w:val="18"/>
                <w:highlight w:val="none"/>
                <w:u w:val="none"/>
                <w:lang w:val="en-US" w:eastAsia="zh-CN"/>
              </w:rPr>
              <w:t>伊犁州特克斯县2023年燃气老化更新改造建设项目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48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kern w:val="0"/>
                <w:sz w:val="18"/>
                <w:szCs w:val="18"/>
                <w:highlight w:val="none"/>
                <w:u w:val="none"/>
                <w:lang w:val="en-US" w:eastAsia="zh-CN" w:bidi="ar"/>
              </w:rPr>
              <w:t>主管部门</w:t>
            </w:r>
          </w:p>
        </w:tc>
        <w:tc>
          <w:tcPr>
            <w:tcW w:w="2258"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highlight w:val="none"/>
                <w:u w:val="none"/>
                <w:lang w:val="en-US" w:eastAsia="zh-CN"/>
              </w:rPr>
            </w:pPr>
            <w:r>
              <w:rPr>
                <w:rFonts w:hint="eastAsia" w:ascii="仿宋_GB2312" w:hAnsi="仿宋_GB2312" w:eastAsia="仿宋_GB2312" w:cs="仿宋_GB2312"/>
                <w:i w:val="0"/>
                <w:iCs w:val="0"/>
                <w:color w:val="000000"/>
                <w:sz w:val="18"/>
                <w:szCs w:val="18"/>
                <w:highlight w:val="none"/>
                <w:u w:val="none"/>
                <w:lang w:val="en-US" w:eastAsia="zh-CN"/>
              </w:rPr>
              <w:t>特克斯县住房和城乡建设局</w:t>
            </w:r>
          </w:p>
        </w:tc>
        <w:tc>
          <w:tcPr>
            <w:tcW w:w="60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kern w:val="0"/>
                <w:sz w:val="18"/>
                <w:szCs w:val="18"/>
                <w:highlight w:val="none"/>
                <w:u w:val="none"/>
                <w:lang w:val="en-US" w:eastAsia="zh-CN" w:bidi="ar"/>
              </w:rPr>
              <w:t>实施单位</w:t>
            </w:r>
          </w:p>
        </w:tc>
        <w:tc>
          <w:tcPr>
            <w:tcW w:w="1648"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sz w:val="18"/>
                <w:szCs w:val="18"/>
                <w:highlight w:val="none"/>
                <w:u w:val="none"/>
                <w:lang w:val="en-US" w:eastAsia="zh-CN"/>
              </w:rPr>
              <w:t>特克斯县住房和城乡建设局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486" w:type="pct"/>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kern w:val="0"/>
                <w:sz w:val="18"/>
                <w:szCs w:val="18"/>
                <w:highlight w:val="none"/>
                <w:u w:val="none"/>
                <w:lang w:val="en-US" w:eastAsia="zh-CN" w:bidi="ar"/>
              </w:rPr>
              <w:t>项目资金</w:t>
            </w:r>
            <w:r>
              <w:rPr>
                <w:rFonts w:hint="eastAsia" w:ascii="仿宋_GB2312" w:hAnsi="仿宋_GB2312" w:eastAsia="仿宋_GB2312" w:cs="仿宋_GB2312"/>
                <w:i w:val="0"/>
                <w:iCs w:val="0"/>
                <w:color w:val="000000"/>
                <w:kern w:val="0"/>
                <w:sz w:val="18"/>
                <w:szCs w:val="18"/>
                <w:highlight w:val="none"/>
                <w:u w:val="none"/>
                <w:lang w:val="en-US" w:eastAsia="zh-CN" w:bidi="ar"/>
              </w:rPr>
              <w:br w:type="textWrapping"/>
            </w:r>
            <w:r>
              <w:rPr>
                <w:rFonts w:hint="eastAsia" w:ascii="仿宋_GB2312" w:hAnsi="仿宋_GB2312" w:eastAsia="仿宋_GB2312" w:cs="仿宋_GB2312"/>
                <w:i w:val="0"/>
                <w:iCs w:val="0"/>
                <w:color w:val="000000"/>
                <w:kern w:val="0"/>
                <w:sz w:val="18"/>
                <w:szCs w:val="18"/>
                <w:highlight w:val="none"/>
                <w:u w:val="none"/>
                <w:lang w:val="en-US" w:eastAsia="zh-CN" w:bidi="ar"/>
              </w:rPr>
              <w:t>（万元）</w:t>
            </w:r>
          </w:p>
        </w:tc>
        <w:tc>
          <w:tcPr>
            <w:tcW w:w="122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kern w:val="0"/>
                <w:sz w:val="18"/>
                <w:szCs w:val="18"/>
                <w:highlight w:val="none"/>
                <w:u w:val="none"/>
                <w:lang w:val="en-US" w:eastAsia="zh-CN" w:bidi="ar"/>
              </w:rPr>
              <w:t>资金来源</w:t>
            </w:r>
          </w:p>
        </w:tc>
        <w:tc>
          <w:tcPr>
            <w:tcW w:w="37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kern w:val="0"/>
                <w:sz w:val="18"/>
                <w:szCs w:val="18"/>
                <w:highlight w:val="none"/>
                <w:u w:val="none"/>
                <w:lang w:val="en-US" w:eastAsia="zh-CN" w:bidi="ar"/>
              </w:rPr>
              <w:t>年初预算数</w:t>
            </w:r>
          </w:p>
        </w:tc>
        <w:tc>
          <w:tcPr>
            <w:tcW w:w="65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kern w:val="0"/>
                <w:sz w:val="18"/>
                <w:szCs w:val="18"/>
                <w:highlight w:val="none"/>
                <w:u w:val="none"/>
                <w:lang w:val="en-US" w:eastAsia="zh-CN" w:bidi="ar"/>
              </w:rPr>
              <w:t>全年预算数</w:t>
            </w:r>
          </w:p>
        </w:tc>
        <w:tc>
          <w:tcPr>
            <w:tcW w:w="60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kern w:val="0"/>
                <w:sz w:val="18"/>
                <w:szCs w:val="18"/>
                <w:highlight w:val="none"/>
                <w:u w:val="none"/>
                <w:lang w:val="en-US" w:eastAsia="zh-CN" w:bidi="ar"/>
              </w:rPr>
              <w:t>全年执行数</w:t>
            </w:r>
          </w:p>
        </w:tc>
        <w:tc>
          <w:tcPr>
            <w:tcW w:w="63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kern w:val="0"/>
                <w:sz w:val="18"/>
                <w:szCs w:val="18"/>
                <w:highlight w:val="none"/>
                <w:u w:val="none"/>
                <w:lang w:val="en-US" w:eastAsia="zh-CN" w:bidi="ar"/>
              </w:rPr>
              <w:t>分值权重</w:t>
            </w:r>
          </w:p>
        </w:tc>
        <w:tc>
          <w:tcPr>
            <w:tcW w:w="55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kern w:val="0"/>
                <w:sz w:val="18"/>
                <w:szCs w:val="18"/>
                <w:highlight w:val="none"/>
                <w:u w:val="none"/>
                <w:lang w:val="en-US" w:eastAsia="zh-CN" w:bidi="ar"/>
              </w:rPr>
              <w:t>执行率</w:t>
            </w:r>
          </w:p>
        </w:tc>
        <w:tc>
          <w:tcPr>
            <w:tcW w:w="45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kern w:val="0"/>
                <w:sz w:val="18"/>
                <w:szCs w:val="18"/>
                <w:highlight w:val="none"/>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486"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rPr>
            </w:pPr>
          </w:p>
        </w:tc>
        <w:tc>
          <w:tcPr>
            <w:tcW w:w="122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kern w:val="0"/>
                <w:sz w:val="18"/>
                <w:szCs w:val="18"/>
                <w:highlight w:val="none"/>
                <w:u w:val="none"/>
                <w:lang w:val="en-US" w:eastAsia="zh-CN" w:bidi="ar"/>
              </w:rPr>
              <w:t>年度资金总额</w:t>
            </w:r>
          </w:p>
        </w:tc>
        <w:tc>
          <w:tcPr>
            <w:tcW w:w="37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highlight w:val="none"/>
                <w:u w:val="none"/>
                <w:lang w:val="en-US" w:eastAsia="zh-CN"/>
              </w:rPr>
            </w:pPr>
            <w:r>
              <w:rPr>
                <w:rFonts w:hint="eastAsia" w:ascii="仿宋_GB2312" w:hAnsi="仿宋_GB2312" w:eastAsia="仿宋_GB2312" w:cs="仿宋_GB2312"/>
                <w:i w:val="0"/>
                <w:iCs w:val="0"/>
                <w:color w:val="000000"/>
                <w:sz w:val="18"/>
                <w:szCs w:val="18"/>
                <w:highlight w:val="none"/>
                <w:u w:val="none"/>
                <w:lang w:val="en-US" w:eastAsia="zh-CN"/>
              </w:rPr>
              <w:t>1200</w:t>
            </w:r>
          </w:p>
        </w:tc>
        <w:tc>
          <w:tcPr>
            <w:tcW w:w="65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highlight w:val="none"/>
                <w:u w:val="none"/>
                <w:lang w:val="en-US" w:eastAsia="zh-CN"/>
              </w:rPr>
            </w:pPr>
            <w:r>
              <w:rPr>
                <w:rFonts w:hint="eastAsia" w:ascii="仿宋_GB2312" w:hAnsi="仿宋_GB2312" w:eastAsia="仿宋_GB2312" w:cs="仿宋_GB2312"/>
                <w:i w:val="0"/>
                <w:iCs w:val="0"/>
                <w:color w:val="000000"/>
                <w:sz w:val="18"/>
                <w:szCs w:val="18"/>
                <w:highlight w:val="none"/>
                <w:u w:val="none"/>
                <w:lang w:val="en-US" w:eastAsia="zh-CN"/>
              </w:rPr>
              <w:t>1200</w:t>
            </w:r>
          </w:p>
        </w:tc>
        <w:tc>
          <w:tcPr>
            <w:tcW w:w="60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highlight w:val="none"/>
                <w:u w:val="none"/>
                <w:lang w:val="en-US" w:eastAsia="zh-CN"/>
              </w:rPr>
            </w:pPr>
            <w:r>
              <w:rPr>
                <w:rFonts w:hint="eastAsia" w:ascii="仿宋_GB2312" w:hAnsi="仿宋_GB2312" w:eastAsia="仿宋_GB2312" w:cs="仿宋_GB2312"/>
                <w:i w:val="0"/>
                <w:iCs w:val="0"/>
                <w:color w:val="000000"/>
                <w:sz w:val="18"/>
                <w:szCs w:val="18"/>
                <w:highlight w:val="none"/>
                <w:u w:val="none"/>
                <w:lang w:val="en-US" w:eastAsia="zh-CN"/>
              </w:rPr>
              <w:t>1200</w:t>
            </w:r>
          </w:p>
        </w:tc>
        <w:tc>
          <w:tcPr>
            <w:tcW w:w="63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highlight w:val="none"/>
                <w:u w:val="none"/>
                <w:lang w:val="en-US" w:eastAsia="zh-CN"/>
              </w:rPr>
            </w:pPr>
            <w:r>
              <w:rPr>
                <w:rFonts w:hint="eastAsia" w:ascii="仿宋_GB2312" w:hAnsi="仿宋_GB2312" w:eastAsia="仿宋_GB2312" w:cs="仿宋_GB2312"/>
                <w:i w:val="0"/>
                <w:iCs w:val="0"/>
                <w:color w:val="000000"/>
                <w:sz w:val="18"/>
                <w:szCs w:val="18"/>
                <w:highlight w:val="none"/>
                <w:u w:val="none"/>
                <w:lang w:val="en-US" w:eastAsia="zh-CN"/>
              </w:rPr>
              <w:t>10</w:t>
            </w:r>
          </w:p>
        </w:tc>
        <w:tc>
          <w:tcPr>
            <w:tcW w:w="55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highlight w:val="none"/>
                <w:u w:val="none"/>
                <w:lang w:val="en-US" w:eastAsia="zh-CN"/>
              </w:rPr>
            </w:pPr>
            <w:r>
              <w:rPr>
                <w:rFonts w:hint="eastAsia" w:ascii="仿宋_GB2312" w:hAnsi="仿宋_GB2312" w:eastAsia="仿宋_GB2312" w:cs="仿宋_GB2312"/>
                <w:i w:val="0"/>
                <w:iCs w:val="0"/>
                <w:color w:val="000000"/>
                <w:sz w:val="18"/>
                <w:szCs w:val="18"/>
                <w:highlight w:val="none"/>
                <w:u w:val="none"/>
                <w:lang w:val="en-US" w:eastAsia="zh-CN"/>
              </w:rPr>
              <w:t>100%</w:t>
            </w:r>
          </w:p>
        </w:tc>
        <w:tc>
          <w:tcPr>
            <w:tcW w:w="45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highlight w:val="none"/>
                <w:u w:val="none"/>
                <w:lang w:val="en-US" w:eastAsia="zh-CN"/>
              </w:rPr>
            </w:pPr>
            <w:r>
              <w:rPr>
                <w:rFonts w:hint="eastAsia" w:ascii="仿宋_GB2312" w:hAnsi="仿宋_GB2312" w:eastAsia="仿宋_GB2312" w:cs="仿宋_GB2312"/>
                <w:i w:val="0"/>
                <w:iCs w:val="0"/>
                <w:color w:val="000000"/>
                <w:sz w:val="18"/>
                <w:szCs w:val="18"/>
                <w:highlight w:val="none"/>
                <w:u w:val="none"/>
                <w:lang w:val="en-US" w:eastAsia="zh-CN"/>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486"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rPr>
            </w:pPr>
          </w:p>
        </w:tc>
        <w:tc>
          <w:tcPr>
            <w:tcW w:w="122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kern w:val="0"/>
                <w:sz w:val="18"/>
                <w:szCs w:val="18"/>
                <w:highlight w:val="none"/>
                <w:u w:val="none"/>
                <w:lang w:val="en-US" w:eastAsia="zh-CN" w:bidi="ar"/>
              </w:rPr>
              <w:t>其中：当年财政拨款</w:t>
            </w:r>
          </w:p>
        </w:tc>
        <w:tc>
          <w:tcPr>
            <w:tcW w:w="37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highlight w:val="none"/>
                <w:u w:val="none"/>
                <w:lang w:val="en-US" w:eastAsia="zh-CN"/>
              </w:rPr>
            </w:pPr>
            <w:r>
              <w:rPr>
                <w:rFonts w:hint="eastAsia" w:ascii="仿宋_GB2312" w:hAnsi="仿宋_GB2312" w:eastAsia="仿宋_GB2312" w:cs="仿宋_GB2312"/>
                <w:i w:val="0"/>
                <w:iCs w:val="0"/>
                <w:color w:val="000000"/>
                <w:sz w:val="18"/>
                <w:szCs w:val="18"/>
                <w:highlight w:val="none"/>
                <w:u w:val="none"/>
                <w:lang w:val="en-US" w:eastAsia="zh-CN"/>
              </w:rPr>
              <w:t>1200</w:t>
            </w:r>
          </w:p>
        </w:tc>
        <w:tc>
          <w:tcPr>
            <w:tcW w:w="65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highlight w:val="none"/>
                <w:u w:val="none"/>
                <w:lang w:val="en-US" w:eastAsia="zh-CN"/>
              </w:rPr>
            </w:pPr>
            <w:r>
              <w:rPr>
                <w:rFonts w:hint="eastAsia" w:ascii="仿宋_GB2312" w:hAnsi="仿宋_GB2312" w:eastAsia="仿宋_GB2312" w:cs="仿宋_GB2312"/>
                <w:i w:val="0"/>
                <w:iCs w:val="0"/>
                <w:color w:val="000000"/>
                <w:sz w:val="18"/>
                <w:szCs w:val="18"/>
                <w:highlight w:val="none"/>
                <w:u w:val="none"/>
                <w:lang w:val="en-US" w:eastAsia="zh-CN"/>
              </w:rPr>
              <w:t>1200</w:t>
            </w:r>
          </w:p>
        </w:tc>
        <w:tc>
          <w:tcPr>
            <w:tcW w:w="60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highlight w:val="none"/>
                <w:u w:val="none"/>
                <w:lang w:val="en-US" w:eastAsia="zh-CN"/>
              </w:rPr>
            </w:pPr>
            <w:r>
              <w:rPr>
                <w:rFonts w:hint="eastAsia" w:ascii="仿宋_GB2312" w:hAnsi="仿宋_GB2312" w:eastAsia="仿宋_GB2312" w:cs="仿宋_GB2312"/>
                <w:i w:val="0"/>
                <w:iCs w:val="0"/>
                <w:color w:val="000000"/>
                <w:sz w:val="18"/>
                <w:szCs w:val="18"/>
                <w:highlight w:val="none"/>
                <w:u w:val="none"/>
                <w:lang w:val="en-US" w:eastAsia="zh-CN"/>
              </w:rPr>
              <w:t>1200</w:t>
            </w:r>
          </w:p>
        </w:tc>
        <w:tc>
          <w:tcPr>
            <w:tcW w:w="63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highlight w:val="none"/>
                <w:u w:val="none"/>
                <w:lang w:val="en-US" w:eastAsia="zh-CN"/>
              </w:rPr>
            </w:pPr>
            <w:r>
              <w:rPr>
                <w:rFonts w:hint="eastAsia" w:ascii="仿宋_GB2312" w:hAnsi="仿宋_GB2312" w:eastAsia="仿宋_GB2312" w:cs="仿宋_GB2312"/>
                <w:i w:val="0"/>
                <w:iCs w:val="0"/>
                <w:color w:val="000000"/>
                <w:sz w:val="18"/>
                <w:szCs w:val="18"/>
                <w:highlight w:val="none"/>
                <w:u w:val="none"/>
                <w:lang w:val="en-US" w:eastAsia="zh-CN"/>
              </w:rPr>
              <w:t>10</w:t>
            </w:r>
          </w:p>
        </w:tc>
        <w:tc>
          <w:tcPr>
            <w:tcW w:w="55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highlight w:val="none"/>
                <w:u w:val="none"/>
                <w:lang w:val="en-US" w:eastAsia="zh-CN"/>
              </w:rPr>
            </w:pPr>
            <w:r>
              <w:rPr>
                <w:rFonts w:hint="eastAsia" w:ascii="仿宋_GB2312" w:hAnsi="仿宋_GB2312" w:eastAsia="仿宋_GB2312" w:cs="仿宋_GB2312"/>
                <w:i w:val="0"/>
                <w:iCs w:val="0"/>
                <w:color w:val="000000"/>
                <w:sz w:val="18"/>
                <w:szCs w:val="18"/>
                <w:highlight w:val="none"/>
                <w:u w:val="none"/>
                <w:lang w:val="en-US" w:eastAsia="zh-CN"/>
              </w:rPr>
              <w:t>100%</w:t>
            </w:r>
          </w:p>
        </w:tc>
        <w:tc>
          <w:tcPr>
            <w:tcW w:w="45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highlight w:val="none"/>
                <w:u w:val="none"/>
                <w:lang w:val="en-US" w:eastAsia="zh-CN"/>
              </w:rPr>
            </w:pPr>
            <w:r>
              <w:rPr>
                <w:rFonts w:hint="eastAsia" w:ascii="仿宋_GB2312" w:hAnsi="仿宋_GB2312" w:eastAsia="仿宋_GB2312" w:cs="仿宋_GB2312"/>
                <w:i w:val="0"/>
                <w:iCs w:val="0"/>
                <w:color w:val="000000"/>
                <w:sz w:val="18"/>
                <w:szCs w:val="18"/>
                <w:highlight w:val="none"/>
                <w:u w:val="none"/>
                <w:lang w:val="en-US" w:eastAsia="zh-CN"/>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486"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rPr>
            </w:pPr>
          </w:p>
        </w:tc>
        <w:tc>
          <w:tcPr>
            <w:tcW w:w="1224" w:type="pct"/>
            <w:gridSpan w:val="2"/>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kern w:val="0"/>
                <w:sz w:val="18"/>
                <w:szCs w:val="18"/>
                <w:highlight w:val="none"/>
                <w:u w:val="none"/>
                <w:lang w:val="en-US" w:eastAsia="zh-CN" w:bidi="ar"/>
              </w:rPr>
              <w:t>其他资金</w:t>
            </w:r>
          </w:p>
        </w:tc>
        <w:tc>
          <w:tcPr>
            <w:tcW w:w="375" w:type="pct"/>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lang w:val="en-US" w:eastAsia="zh-CN"/>
              </w:rPr>
            </w:pPr>
            <w:r>
              <w:rPr>
                <w:rFonts w:hint="eastAsia" w:ascii="仿宋_GB2312" w:hAnsi="仿宋_GB2312" w:eastAsia="仿宋_GB2312" w:cs="仿宋_GB2312"/>
                <w:i w:val="0"/>
                <w:iCs w:val="0"/>
                <w:color w:val="000000"/>
                <w:sz w:val="18"/>
                <w:szCs w:val="18"/>
                <w:highlight w:val="none"/>
                <w:u w:val="none"/>
                <w:lang w:val="en-US" w:eastAsia="zh-CN"/>
              </w:rPr>
              <w:t>0</w:t>
            </w:r>
          </w:p>
        </w:tc>
        <w:tc>
          <w:tcPr>
            <w:tcW w:w="658" w:type="pct"/>
            <w:gridSpan w:val="2"/>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lang w:val="en-US" w:eastAsia="zh-CN"/>
              </w:rPr>
            </w:pPr>
            <w:r>
              <w:rPr>
                <w:rFonts w:hint="eastAsia" w:ascii="仿宋_GB2312" w:hAnsi="仿宋_GB2312" w:eastAsia="仿宋_GB2312" w:cs="仿宋_GB2312"/>
                <w:i w:val="0"/>
                <w:iCs w:val="0"/>
                <w:color w:val="000000"/>
                <w:sz w:val="18"/>
                <w:szCs w:val="18"/>
                <w:highlight w:val="none"/>
                <w:u w:val="none"/>
                <w:lang w:val="en-US" w:eastAsia="zh-CN"/>
              </w:rPr>
              <w:t>0</w:t>
            </w:r>
          </w:p>
        </w:tc>
        <w:tc>
          <w:tcPr>
            <w:tcW w:w="606" w:type="pct"/>
            <w:gridSpan w:val="2"/>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lang w:val="en-US" w:eastAsia="zh-CN"/>
              </w:rPr>
            </w:pPr>
            <w:r>
              <w:rPr>
                <w:rFonts w:hint="eastAsia" w:ascii="仿宋_GB2312" w:hAnsi="仿宋_GB2312" w:eastAsia="仿宋_GB2312" w:cs="仿宋_GB2312"/>
                <w:i w:val="0"/>
                <w:iCs w:val="0"/>
                <w:color w:val="000000"/>
                <w:sz w:val="18"/>
                <w:szCs w:val="18"/>
                <w:highlight w:val="none"/>
                <w:u w:val="none"/>
                <w:lang w:val="en-US" w:eastAsia="zh-CN"/>
              </w:rPr>
              <w:t>0</w:t>
            </w:r>
          </w:p>
        </w:tc>
        <w:tc>
          <w:tcPr>
            <w:tcW w:w="63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lang w:val="en-US" w:eastAsia="zh-CN"/>
              </w:rPr>
            </w:pPr>
            <w:r>
              <w:rPr>
                <w:rFonts w:hint="eastAsia" w:ascii="仿宋_GB2312" w:hAnsi="仿宋_GB2312" w:eastAsia="仿宋_GB2312" w:cs="仿宋_GB2312"/>
                <w:i w:val="0"/>
                <w:iCs w:val="0"/>
                <w:color w:val="000000"/>
                <w:sz w:val="18"/>
                <w:szCs w:val="18"/>
                <w:highlight w:val="none"/>
                <w:u w:val="none"/>
                <w:lang w:val="en-US" w:eastAsia="zh-CN"/>
              </w:rPr>
              <w:t>0</w:t>
            </w:r>
          </w:p>
        </w:tc>
        <w:tc>
          <w:tcPr>
            <w:tcW w:w="55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lang w:val="en-US" w:eastAsia="zh-CN"/>
              </w:rPr>
            </w:pPr>
            <w:r>
              <w:rPr>
                <w:rFonts w:hint="eastAsia" w:ascii="仿宋_GB2312" w:hAnsi="仿宋_GB2312" w:eastAsia="仿宋_GB2312" w:cs="仿宋_GB2312"/>
                <w:i w:val="0"/>
                <w:iCs w:val="0"/>
                <w:color w:val="000000"/>
                <w:sz w:val="18"/>
                <w:szCs w:val="18"/>
                <w:highlight w:val="none"/>
                <w:u w:val="none"/>
                <w:lang w:val="en-US" w:eastAsia="zh-CN"/>
              </w:rPr>
              <w:t>0</w:t>
            </w:r>
          </w:p>
        </w:tc>
        <w:tc>
          <w:tcPr>
            <w:tcW w:w="45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lang w:val="en-US" w:eastAsia="zh-CN"/>
              </w:rPr>
            </w:pPr>
            <w:r>
              <w:rPr>
                <w:rFonts w:hint="eastAsia" w:ascii="仿宋_GB2312" w:hAnsi="仿宋_GB2312" w:eastAsia="仿宋_GB2312" w:cs="仿宋_GB2312"/>
                <w:i w:val="0"/>
                <w:iCs w:val="0"/>
                <w:color w:val="000000"/>
                <w:sz w:val="18"/>
                <w:szCs w:val="18"/>
                <w:highlight w:val="none"/>
                <w:u w:val="none"/>
                <w:lang w:val="en-US" w:eastAsia="zh-CN"/>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239"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kern w:val="0"/>
                <w:sz w:val="18"/>
                <w:szCs w:val="18"/>
                <w:highlight w:val="none"/>
                <w:u w:val="none"/>
                <w:lang w:val="en-US" w:eastAsia="zh-CN" w:bidi="ar"/>
              </w:rPr>
              <w:t>年度总体目标</w:t>
            </w:r>
          </w:p>
        </w:tc>
        <w:tc>
          <w:tcPr>
            <w:tcW w:w="3111" w:type="pct"/>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kern w:val="0"/>
                <w:sz w:val="18"/>
                <w:szCs w:val="18"/>
                <w:highlight w:val="none"/>
                <w:u w:val="none"/>
                <w:lang w:val="en-US" w:eastAsia="zh-CN" w:bidi="ar"/>
              </w:rPr>
              <w:t>总体目标</w:t>
            </w:r>
          </w:p>
        </w:tc>
        <w:tc>
          <w:tcPr>
            <w:tcW w:w="1648"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kern w:val="0"/>
                <w:sz w:val="18"/>
                <w:szCs w:val="18"/>
                <w:highlight w:val="none"/>
                <w:u w:val="none"/>
                <w:lang w:val="en-US" w:eastAsia="zh-CN" w:bidi="ar"/>
              </w:rPr>
              <w:t>总体目标完成情况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90" w:hRule="atLeast"/>
        </w:trPr>
        <w:tc>
          <w:tcPr>
            <w:tcW w:w="23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rPr>
            </w:pPr>
          </w:p>
        </w:tc>
        <w:tc>
          <w:tcPr>
            <w:tcW w:w="3111" w:type="pct"/>
            <w:gridSpan w:val="8"/>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left"/>
              <w:textAlignment w:val="center"/>
              <w:rPr>
                <w:rFonts w:hint="eastAsia" w:ascii="仿宋_GB2312" w:hAnsi="仿宋_GB2312" w:eastAsia="仿宋_GB2312" w:cs="仿宋_GB2312"/>
                <w:i w:val="0"/>
                <w:iCs w:val="0"/>
                <w:color w:val="000000"/>
                <w:sz w:val="18"/>
                <w:szCs w:val="18"/>
                <w:highlight w:val="none"/>
                <w:u w:val="none"/>
              </w:rPr>
            </w:pPr>
            <w:r>
              <w:rPr>
                <w:rFonts w:hint="default" w:ascii="仿宋_GB2312" w:hAnsi="仿宋_GB2312" w:eastAsia="仿宋_GB2312" w:cs="仿宋_GB2312"/>
                <w:i w:val="0"/>
                <w:iCs w:val="0"/>
                <w:color w:val="000000"/>
                <w:kern w:val="0"/>
                <w:sz w:val="18"/>
                <w:szCs w:val="18"/>
                <w:highlight w:val="none"/>
                <w:u w:val="none"/>
                <w:lang w:val="en-US" w:eastAsia="zh-CN" w:bidi="ar"/>
              </w:rPr>
              <w:t>改造燃气老管网约2605米、更换入户橡胶软管约1</w:t>
            </w:r>
            <w:r>
              <w:rPr>
                <w:rFonts w:hint="eastAsia" w:ascii="仿宋_GB2312" w:hAnsi="仿宋_GB2312" w:eastAsia="仿宋_GB2312" w:cs="仿宋_GB2312"/>
                <w:i w:val="0"/>
                <w:iCs w:val="0"/>
                <w:color w:val="000000"/>
                <w:kern w:val="0"/>
                <w:sz w:val="18"/>
                <w:szCs w:val="18"/>
                <w:highlight w:val="none"/>
                <w:u w:val="none"/>
                <w:lang w:val="en-US" w:eastAsia="zh-CN" w:bidi="ar"/>
              </w:rPr>
              <w:t>2</w:t>
            </w:r>
            <w:r>
              <w:rPr>
                <w:rFonts w:hint="default" w:ascii="仿宋_GB2312" w:hAnsi="仿宋_GB2312" w:eastAsia="仿宋_GB2312" w:cs="仿宋_GB2312"/>
                <w:i w:val="0"/>
                <w:iCs w:val="0"/>
                <w:color w:val="000000"/>
                <w:kern w:val="0"/>
                <w:sz w:val="18"/>
                <w:szCs w:val="18"/>
                <w:highlight w:val="none"/>
                <w:u w:val="none"/>
                <w:lang w:val="en-US" w:eastAsia="zh-CN" w:bidi="ar"/>
              </w:rPr>
              <w:t>000米，排水管网6000米、供水管网6000米，燃气泄漏安全报警装置及配套附属设施建设。</w:t>
            </w:r>
          </w:p>
        </w:tc>
        <w:tc>
          <w:tcPr>
            <w:tcW w:w="1648"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kern w:val="0"/>
                <w:sz w:val="18"/>
                <w:szCs w:val="18"/>
                <w:highlight w:val="none"/>
                <w:u w:val="none"/>
                <w:lang w:val="en-US" w:eastAsia="zh-CN" w:bidi="ar"/>
              </w:rPr>
              <w:t>投资1200万元，完成</w:t>
            </w:r>
            <w:r>
              <w:rPr>
                <w:rFonts w:hint="default" w:ascii="仿宋_GB2312" w:hAnsi="仿宋_GB2312" w:eastAsia="仿宋_GB2312" w:cs="仿宋_GB2312"/>
                <w:i w:val="0"/>
                <w:iCs w:val="0"/>
                <w:color w:val="000000"/>
                <w:kern w:val="0"/>
                <w:sz w:val="18"/>
                <w:szCs w:val="18"/>
                <w:highlight w:val="none"/>
                <w:u w:val="none"/>
                <w:lang w:val="en-US" w:eastAsia="zh-CN" w:bidi="ar"/>
              </w:rPr>
              <w:t>改造燃气老管网约2605米、更换入户橡胶软管约1</w:t>
            </w:r>
            <w:r>
              <w:rPr>
                <w:rFonts w:hint="eastAsia" w:ascii="仿宋_GB2312" w:hAnsi="仿宋_GB2312" w:eastAsia="仿宋_GB2312" w:cs="仿宋_GB2312"/>
                <w:i w:val="0"/>
                <w:iCs w:val="0"/>
                <w:color w:val="000000"/>
                <w:kern w:val="0"/>
                <w:sz w:val="18"/>
                <w:szCs w:val="18"/>
                <w:highlight w:val="none"/>
                <w:u w:val="none"/>
                <w:lang w:val="en-US" w:eastAsia="zh-CN" w:bidi="ar"/>
              </w:rPr>
              <w:t>2</w:t>
            </w:r>
            <w:r>
              <w:rPr>
                <w:rFonts w:hint="default" w:ascii="仿宋_GB2312" w:hAnsi="仿宋_GB2312" w:eastAsia="仿宋_GB2312" w:cs="仿宋_GB2312"/>
                <w:i w:val="0"/>
                <w:iCs w:val="0"/>
                <w:color w:val="000000"/>
                <w:kern w:val="0"/>
                <w:sz w:val="18"/>
                <w:szCs w:val="18"/>
                <w:highlight w:val="none"/>
                <w:u w:val="none"/>
                <w:lang w:val="en-US" w:eastAsia="zh-CN" w:bidi="ar"/>
              </w:rPr>
              <w:t>000米，排水管网6000米、供水管网6000米，燃气泄漏安全报警装置及配套附属设施建设。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239"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lang w:val="en-US" w:eastAsia="zh-CN"/>
              </w:rPr>
            </w:pPr>
            <w:r>
              <w:rPr>
                <w:rFonts w:hint="eastAsia" w:ascii="仿宋_GB2312" w:hAnsi="仿宋_GB2312" w:eastAsia="仿宋_GB2312" w:cs="仿宋_GB2312"/>
                <w:i w:val="0"/>
                <w:iCs w:val="0"/>
                <w:color w:val="000000"/>
                <w:sz w:val="18"/>
                <w:szCs w:val="18"/>
                <w:highlight w:val="none"/>
                <w:u w:val="none"/>
                <w:lang w:val="en-US" w:eastAsia="zh-CN"/>
              </w:rPr>
              <w:t>绩效指标</w:t>
            </w:r>
          </w:p>
        </w:tc>
        <w:tc>
          <w:tcPr>
            <w:tcW w:w="24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kern w:val="0"/>
                <w:sz w:val="18"/>
                <w:szCs w:val="18"/>
                <w:highlight w:val="none"/>
                <w:u w:val="none"/>
                <w:lang w:val="en-US" w:eastAsia="zh-CN" w:bidi="ar"/>
              </w:rPr>
              <w:t>一级指标</w:t>
            </w:r>
          </w:p>
        </w:tc>
        <w:tc>
          <w:tcPr>
            <w:tcW w:w="35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kern w:val="0"/>
                <w:sz w:val="18"/>
                <w:szCs w:val="18"/>
                <w:highlight w:val="none"/>
                <w:u w:val="none"/>
                <w:lang w:val="en-US" w:eastAsia="zh-CN" w:bidi="ar"/>
              </w:rPr>
              <w:t>二级指标</w:t>
            </w:r>
          </w:p>
        </w:tc>
        <w:tc>
          <w:tcPr>
            <w:tcW w:w="86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kern w:val="0"/>
                <w:sz w:val="18"/>
                <w:szCs w:val="18"/>
                <w:highlight w:val="none"/>
                <w:u w:val="none"/>
                <w:lang w:val="en-US" w:eastAsia="zh-CN" w:bidi="ar"/>
              </w:rPr>
              <w:t>三级指标</w:t>
            </w:r>
          </w:p>
        </w:tc>
        <w:tc>
          <w:tcPr>
            <w:tcW w:w="37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kern w:val="0"/>
                <w:sz w:val="18"/>
                <w:szCs w:val="18"/>
                <w:highlight w:val="none"/>
                <w:u w:val="none"/>
                <w:lang w:val="en-US" w:eastAsia="zh-CN" w:bidi="ar"/>
              </w:rPr>
              <w:t>指标值</w:t>
            </w:r>
          </w:p>
        </w:tc>
        <w:tc>
          <w:tcPr>
            <w:tcW w:w="3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kern w:val="0"/>
                <w:sz w:val="18"/>
                <w:szCs w:val="18"/>
                <w:highlight w:val="none"/>
                <w:u w:val="none"/>
                <w:lang w:val="en-US" w:eastAsia="zh-CN" w:bidi="ar"/>
              </w:rPr>
              <w:t>指标值设置依据</w:t>
            </w:r>
          </w:p>
        </w:tc>
        <w:tc>
          <w:tcPr>
            <w:tcW w:w="26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kern w:val="0"/>
                <w:sz w:val="18"/>
                <w:szCs w:val="18"/>
                <w:highlight w:val="none"/>
                <w:u w:val="none"/>
                <w:lang w:val="en-US" w:eastAsia="zh-CN" w:bidi="ar"/>
              </w:rPr>
              <w:t>上年完成值</w:t>
            </w:r>
          </w:p>
        </w:tc>
        <w:tc>
          <w:tcPr>
            <w:tcW w:w="27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kern w:val="0"/>
                <w:sz w:val="18"/>
                <w:szCs w:val="18"/>
                <w:highlight w:val="none"/>
                <w:u w:val="none"/>
                <w:lang w:val="en-US" w:eastAsia="zh-CN" w:bidi="ar"/>
              </w:rPr>
              <w:t>指标分值权重</w:t>
            </w:r>
          </w:p>
        </w:tc>
        <w:tc>
          <w:tcPr>
            <w:tcW w:w="33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kern w:val="0"/>
                <w:sz w:val="18"/>
                <w:szCs w:val="18"/>
                <w:highlight w:val="none"/>
                <w:u w:val="none"/>
                <w:lang w:val="en-US" w:eastAsia="zh-CN" w:bidi="ar"/>
              </w:rPr>
              <w:t>指标赋分规则</w:t>
            </w:r>
            <w:bookmarkStart w:id="3" w:name="_GoBack"/>
            <w:bookmarkEnd w:id="3"/>
          </w:p>
        </w:tc>
        <w:tc>
          <w:tcPr>
            <w:tcW w:w="32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kern w:val="0"/>
                <w:sz w:val="18"/>
                <w:szCs w:val="18"/>
                <w:highlight w:val="none"/>
                <w:u w:val="none"/>
                <w:lang w:val="en-US" w:eastAsia="zh-CN" w:bidi="ar"/>
              </w:rPr>
              <w:t>佐证资料</w:t>
            </w:r>
          </w:p>
        </w:tc>
        <w:tc>
          <w:tcPr>
            <w:tcW w:w="31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kern w:val="0"/>
                <w:sz w:val="18"/>
                <w:szCs w:val="18"/>
                <w:highlight w:val="none"/>
                <w:u w:val="none"/>
                <w:lang w:val="en-US" w:eastAsia="zh-CN" w:bidi="ar"/>
              </w:rPr>
              <w:t>指标实际完成值</w:t>
            </w:r>
          </w:p>
        </w:tc>
        <w:tc>
          <w:tcPr>
            <w:tcW w:w="2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kern w:val="0"/>
                <w:sz w:val="18"/>
                <w:szCs w:val="18"/>
                <w:highlight w:val="none"/>
                <w:u w:val="none"/>
                <w:lang w:val="en-US" w:eastAsia="zh-CN" w:bidi="ar"/>
              </w:rPr>
              <w:t>完成率</w:t>
            </w:r>
          </w:p>
        </w:tc>
        <w:tc>
          <w:tcPr>
            <w:tcW w:w="26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kern w:val="0"/>
                <w:sz w:val="18"/>
                <w:szCs w:val="18"/>
                <w:highlight w:val="none"/>
                <w:u w:val="none"/>
                <w:lang w:val="en-US" w:eastAsia="zh-CN" w:bidi="ar"/>
              </w:rPr>
              <w:t>指标得分</w:t>
            </w:r>
          </w:p>
        </w:tc>
        <w:tc>
          <w:tcPr>
            <w:tcW w:w="45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kern w:val="0"/>
                <w:sz w:val="18"/>
                <w:szCs w:val="18"/>
                <w:highlight w:val="none"/>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23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rPr>
            </w:pPr>
          </w:p>
        </w:tc>
        <w:tc>
          <w:tcPr>
            <w:tcW w:w="246"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kern w:val="0"/>
                <w:sz w:val="18"/>
                <w:szCs w:val="18"/>
                <w:highlight w:val="none"/>
                <w:u w:val="none"/>
                <w:lang w:val="en-US" w:eastAsia="zh-CN" w:bidi="ar"/>
              </w:rPr>
              <w:t>产出指标</w:t>
            </w:r>
          </w:p>
        </w:tc>
        <w:tc>
          <w:tcPr>
            <w:tcW w:w="356" w:type="pct"/>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kern w:val="0"/>
                <w:sz w:val="18"/>
                <w:szCs w:val="18"/>
                <w:highlight w:val="none"/>
                <w:u w:val="none"/>
                <w:lang w:val="en-US" w:eastAsia="zh-CN" w:bidi="ar"/>
              </w:rPr>
              <w:t>数量指标</w:t>
            </w:r>
          </w:p>
        </w:tc>
        <w:tc>
          <w:tcPr>
            <w:tcW w:w="867" w:type="pct"/>
            <w:tcBorders>
              <w:top w:val="single" w:color="000000" w:sz="4" w:space="0"/>
              <w:left w:val="nil"/>
              <w:bottom w:val="single" w:color="000000" w:sz="4" w:space="0"/>
              <w:right w:val="single" w:color="000000" w:sz="4" w:space="0"/>
            </w:tcBorders>
            <w:shd w:val="clear" w:color="auto" w:fill="auto"/>
            <w:vAlign w:val="center"/>
          </w:tcPr>
          <w:p>
            <w:pPr>
              <w:jc w:val="left"/>
              <w:rPr>
                <w:rFonts w:hint="default" w:ascii="仿宋_GB2312" w:hAnsi="仿宋_GB2312" w:eastAsia="仿宋_GB2312" w:cs="仿宋_GB2312"/>
                <w:i w:val="0"/>
                <w:iCs w:val="0"/>
                <w:color w:val="000000"/>
                <w:sz w:val="18"/>
                <w:szCs w:val="18"/>
                <w:highlight w:val="none"/>
                <w:u w:val="none"/>
                <w:lang w:val="en-US" w:eastAsia="zh-CN"/>
              </w:rPr>
            </w:pPr>
            <w:r>
              <w:rPr>
                <w:rFonts w:hint="eastAsia" w:ascii="仿宋_GB2312" w:hAnsi="仿宋_GB2312" w:eastAsia="仿宋_GB2312" w:cs="仿宋_GB2312"/>
                <w:i w:val="0"/>
                <w:iCs w:val="0"/>
                <w:color w:val="000000"/>
                <w:sz w:val="18"/>
                <w:szCs w:val="18"/>
                <w:highlight w:val="none"/>
                <w:u w:val="none"/>
                <w:lang w:val="en-US" w:eastAsia="zh-CN"/>
              </w:rPr>
              <w:t>改造燃气老管网</w:t>
            </w:r>
          </w:p>
        </w:tc>
        <w:tc>
          <w:tcPr>
            <w:tcW w:w="37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highlight w:val="none"/>
                <w:u w:val="none"/>
                <w:lang w:val="en-US" w:eastAsia="zh-CN"/>
              </w:rPr>
            </w:pPr>
            <w:r>
              <w:rPr>
                <w:rFonts w:hint="eastAsia" w:ascii="仿宋_GB2312" w:hAnsi="仿宋_GB2312" w:eastAsia="仿宋_GB2312" w:cs="仿宋_GB2312"/>
                <w:i w:val="0"/>
                <w:iCs w:val="0"/>
                <w:color w:val="000000"/>
                <w:sz w:val="18"/>
                <w:szCs w:val="18"/>
                <w:highlight w:val="none"/>
                <w:u w:val="none"/>
                <w:lang w:val="en-US" w:eastAsia="zh-CN"/>
              </w:rPr>
              <w:t>≥2605米</w:t>
            </w:r>
          </w:p>
        </w:tc>
        <w:tc>
          <w:tcPr>
            <w:tcW w:w="396"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highlight w:val="none"/>
                <w:u w:val="none"/>
                <w:lang w:val="en-US" w:eastAsia="zh-CN"/>
              </w:rPr>
            </w:pPr>
            <w:r>
              <w:rPr>
                <w:rFonts w:hint="eastAsia" w:ascii="仿宋_GB2312" w:hAnsi="仿宋_GB2312" w:eastAsia="仿宋_GB2312" w:cs="仿宋_GB2312"/>
                <w:i w:val="0"/>
                <w:iCs w:val="0"/>
                <w:color w:val="000000"/>
                <w:sz w:val="18"/>
                <w:szCs w:val="18"/>
                <w:highlight w:val="none"/>
                <w:u w:val="none"/>
                <w:lang w:val="en-US" w:eastAsia="zh-CN"/>
              </w:rPr>
              <w:t>行业标准</w:t>
            </w:r>
          </w:p>
        </w:tc>
        <w:tc>
          <w:tcPr>
            <w:tcW w:w="261"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lang w:val="en-US" w:eastAsia="zh-CN"/>
              </w:rPr>
            </w:pPr>
            <w:r>
              <w:rPr>
                <w:rFonts w:hint="eastAsia" w:ascii="仿宋_GB2312" w:hAnsi="仿宋_GB2312" w:eastAsia="仿宋_GB2312" w:cs="仿宋_GB2312"/>
                <w:i w:val="0"/>
                <w:iCs w:val="0"/>
                <w:color w:val="000000"/>
                <w:sz w:val="18"/>
                <w:szCs w:val="18"/>
                <w:highlight w:val="none"/>
                <w:u w:val="none"/>
                <w:lang w:val="en-US" w:eastAsia="zh-CN"/>
              </w:rPr>
              <w:t>-</w:t>
            </w:r>
          </w:p>
        </w:tc>
        <w:tc>
          <w:tcPr>
            <w:tcW w:w="270"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lang w:val="en-US" w:eastAsia="zh-CN"/>
              </w:rPr>
            </w:pPr>
            <w:r>
              <w:rPr>
                <w:rFonts w:hint="eastAsia" w:ascii="仿宋_GB2312" w:hAnsi="仿宋_GB2312" w:eastAsia="仿宋_GB2312" w:cs="仿宋_GB2312"/>
                <w:i w:val="0"/>
                <w:iCs w:val="0"/>
                <w:color w:val="000000"/>
                <w:sz w:val="18"/>
                <w:szCs w:val="18"/>
                <w:highlight w:val="none"/>
                <w:u w:val="none"/>
                <w:lang w:val="en-US" w:eastAsia="zh-CN"/>
              </w:rPr>
              <w:t>7</w:t>
            </w:r>
          </w:p>
        </w:tc>
        <w:tc>
          <w:tcPr>
            <w:tcW w:w="33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highlight w:val="none"/>
                <w:u w:val="none"/>
                <w:lang w:val="en-US" w:eastAsia="zh-CN"/>
              </w:rPr>
            </w:pPr>
            <w:r>
              <w:rPr>
                <w:rFonts w:hint="eastAsia" w:ascii="仿宋_GB2312" w:hAnsi="仿宋_GB2312" w:eastAsia="仿宋_GB2312" w:cs="仿宋_GB2312"/>
                <w:i w:val="0"/>
                <w:iCs w:val="0"/>
                <w:color w:val="000000"/>
                <w:sz w:val="18"/>
                <w:szCs w:val="18"/>
                <w:highlight w:val="none"/>
                <w:u w:val="none"/>
                <w:lang w:val="en-US" w:eastAsia="zh-CN"/>
              </w:rPr>
              <w:t>按完成比例赋分</w:t>
            </w:r>
          </w:p>
        </w:tc>
        <w:tc>
          <w:tcPr>
            <w:tcW w:w="32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highlight w:val="none"/>
                <w:u w:val="none"/>
                <w:lang w:val="en-US" w:eastAsia="zh-CN"/>
              </w:rPr>
            </w:pPr>
            <w:r>
              <w:rPr>
                <w:rFonts w:hint="eastAsia" w:ascii="仿宋_GB2312" w:hAnsi="仿宋_GB2312" w:eastAsia="仿宋_GB2312" w:cs="仿宋_GB2312"/>
                <w:i w:val="0"/>
                <w:iCs w:val="0"/>
                <w:color w:val="000000"/>
                <w:sz w:val="18"/>
                <w:szCs w:val="18"/>
                <w:highlight w:val="none"/>
                <w:u w:val="none"/>
                <w:lang w:val="en-US" w:eastAsia="zh-CN"/>
              </w:rPr>
              <w:t>工作总结</w:t>
            </w:r>
          </w:p>
        </w:tc>
        <w:tc>
          <w:tcPr>
            <w:tcW w:w="31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highlight w:val="none"/>
                <w:u w:val="none"/>
                <w:lang w:val="en-US" w:eastAsia="zh-CN"/>
              </w:rPr>
            </w:pPr>
            <w:r>
              <w:rPr>
                <w:rFonts w:hint="eastAsia" w:ascii="仿宋_GB2312" w:hAnsi="仿宋_GB2312" w:eastAsia="仿宋_GB2312" w:cs="仿宋_GB2312"/>
                <w:i w:val="0"/>
                <w:iCs w:val="0"/>
                <w:color w:val="000000"/>
                <w:sz w:val="18"/>
                <w:szCs w:val="18"/>
                <w:highlight w:val="none"/>
                <w:u w:val="none"/>
                <w:lang w:val="en-US" w:eastAsia="zh-CN"/>
              </w:rPr>
              <w:t>2605米</w:t>
            </w:r>
          </w:p>
        </w:tc>
        <w:tc>
          <w:tcPr>
            <w:tcW w:w="29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highlight w:val="none"/>
                <w:u w:val="none"/>
                <w:lang w:val="en-US" w:eastAsia="zh-CN"/>
              </w:rPr>
            </w:pPr>
            <w:r>
              <w:rPr>
                <w:rFonts w:hint="eastAsia" w:ascii="仿宋_GB2312" w:hAnsi="仿宋_GB2312" w:eastAsia="仿宋_GB2312" w:cs="仿宋_GB2312"/>
                <w:i w:val="0"/>
                <w:iCs w:val="0"/>
                <w:color w:val="000000"/>
                <w:sz w:val="18"/>
                <w:szCs w:val="18"/>
                <w:highlight w:val="none"/>
                <w:u w:val="none"/>
                <w:lang w:val="en-US" w:eastAsia="zh-CN"/>
              </w:rPr>
              <w:t>100%</w:t>
            </w:r>
          </w:p>
        </w:tc>
        <w:tc>
          <w:tcPr>
            <w:tcW w:w="26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lang w:val="en-US" w:eastAsia="zh-CN"/>
              </w:rPr>
            </w:pPr>
            <w:r>
              <w:rPr>
                <w:rFonts w:hint="eastAsia" w:ascii="仿宋_GB2312" w:hAnsi="仿宋_GB2312" w:eastAsia="仿宋_GB2312" w:cs="仿宋_GB2312"/>
                <w:i w:val="0"/>
                <w:iCs w:val="0"/>
                <w:color w:val="000000"/>
                <w:sz w:val="18"/>
                <w:szCs w:val="18"/>
                <w:highlight w:val="none"/>
                <w:u w:val="none"/>
                <w:lang w:val="en-US" w:eastAsia="zh-CN"/>
              </w:rPr>
              <w:t>7</w:t>
            </w:r>
          </w:p>
        </w:tc>
        <w:tc>
          <w:tcPr>
            <w:tcW w:w="45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23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rPr>
            </w:pPr>
          </w:p>
        </w:tc>
        <w:tc>
          <w:tcPr>
            <w:tcW w:w="246"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i w:val="0"/>
                <w:iCs w:val="0"/>
                <w:color w:val="000000"/>
                <w:sz w:val="18"/>
                <w:szCs w:val="18"/>
                <w:highlight w:val="none"/>
                <w:u w:val="none"/>
              </w:rPr>
            </w:pPr>
          </w:p>
        </w:tc>
        <w:tc>
          <w:tcPr>
            <w:tcW w:w="35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highlight w:val="none"/>
                <w:u w:val="none"/>
                <w:lang w:val="en-US" w:eastAsia="zh-CN" w:bidi="ar"/>
              </w:rPr>
            </w:pPr>
            <w:r>
              <w:rPr>
                <w:rFonts w:hint="eastAsia" w:ascii="仿宋_GB2312" w:hAnsi="仿宋_GB2312" w:eastAsia="仿宋_GB2312" w:cs="仿宋_GB2312"/>
                <w:i w:val="0"/>
                <w:iCs w:val="0"/>
                <w:color w:val="000000"/>
                <w:kern w:val="0"/>
                <w:sz w:val="18"/>
                <w:szCs w:val="18"/>
                <w:highlight w:val="none"/>
                <w:u w:val="none"/>
                <w:lang w:val="en-US" w:eastAsia="zh-CN" w:bidi="ar"/>
              </w:rPr>
              <w:t>数量指标</w:t>
            </w:r>
          </w:p>
        </w:tc>
        <w:tc>
          <w:tcPr>
            <w:tcW w:w="867"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default" w:ascii="仿宋_GB2312" w:hAnsi="仿宋_GB2312" w:eastAsia="仿宋_GB2312" w:cs="仿宋_GB2312"/>
                <w:i w:val="0"/>
                <w:iCs w:val="0"/>
                <w:color w:val="000000"/>
                <w:sz w:val="18"/>
                <w:szCs w:val="18"/>
                <w:highlight w:val="none"/>
                <w:u w:val="none"/>
                <w:lang w:val="en-US" w:eastAsia="zh-CN"/>
              </w:rPr>
            </w:pPr>
            <w:r>
              <w:rPr>
                <w:rFonts w:hint="eastAsia" w:ascii="仿宋_GB2312" w:hAnsi="仿宋_GB2312" w:eastAsia="仿宋_GB2312" w:cs="仿宋_GB2312"/>
                <w:i w:val="0"/>
                <w:iCs w:val="0"/>
                <w:color w:val="000000"/>
                <w:sz w:val="18"/>
                <w:szCs w:val="18"/>
                <w:highlight w:val="none"/>
                <w:u w:val="none"/>
                <w:lang w:val="en-US" w:eastAsia="zh-CN"/>
              </w:rPr>
              <w:t>更换橡胶软管长度</w:t>
            </w:r>
          </w:p>
        </w:tc>
        <w:tc>
          <w:tcPr>
            <w:tcW w:w="37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sz w:val="18"/>
                <w:szCs w:val="18"/>
                <w:highlight w:val="none"/>
                <w:u w:val="none"/>
                <w:lang w:val="en-US" w:eastAsia="zh-CN"/>
              </w:rPr>
              <w:t>≥12000米</w:t>
            </w:r>
          </w:p>
        </w:tc>
        <w:tc>
          <w:tcPr>
            <w:tcW w:w="396"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sz w:val="18"/>
                <w:szCs w:val="18"/>
                <w:highlight w:val="none"/>
                <w:u w:val="none"/>
                <w:lang w:val="en-US" w:eastAsia="zh-CN"/>
              </w:rPr>
              <w:t>行业标准</w:t>
            </w:r>
          </w:p>
        </w:tc>
        <w:tc>
          <w:tcPr>
            <w:tcW w:w="261"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lang w:val="en-US" w:eastAsia="zh-CN"/>
              </w:rPr>
            </w:pPr>
            <w:r>
              <w:rPr>
                <w:rFonts w:hint="eastAsia" w:ascii="仿宋_GB2312" w:hAnsi="仿宋_GB2312" w:eastAsia="仿宋_GB2312" w:cs="仿宋_GB2312"/>
                <w:i w:val="0"/>
                <w:iCs w:val="0"/>
                <w:color w:val="000000"/>
                <w:sz w:val="18"/>
                <w:szCs w:val="18"/>
                <w:highlight w:val="none"/>
                <w:u w:val="none"/>
                <w:lang w:val="en-US" w:eastAsia="zh-CN"/>
              </w:rPr>
              <w:t>-</w:t>
            </w:r>
          </w:p>
        </w:tc>
        <w:tc>
          <w:tcPr>
            <w:tcW w:w="270"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lang w:val="en-US" w:eastAsia="zh-CN"/>
              </w:rPr>
            </w:pPr>
            <w:r>
              <w:rPr>
                <w:rFonts w:hint="eastAsia" w:ascii="仿宋_GB2312" w:hAnsi="仿宋_GB2312" w:eastAsia="仿宋_GB2312" w:cs="仿宋_GB2312"/>
                <w:i w:val="0"/>
                <w:iCs w:val="0"/>
                <w:color w:val="000000"/>
                <w:sz w:val="18"/>
                <w:szCs w:val="18"/>
                <w:highlight w:val="none"/>
                <w:u w:val="none"/>
                <w:lang w:val="en-US" w:eastAsia="zh-CN"/>
              </w:rPr>
              <w:t>7</w:t>
            </w:r>
          </w:p>
        </w:tc>
        <w:tc>
          <w:tcPr>
            <w:tcW w:w="33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sz w:val="18"/>
                <w:szCs w:val="18"/>
                <w:highlight w:val="none"/>
                <w:u w:val="none"/>
                <w:lang w:val="en-US" w:eastAsia="zh-CN"/>
              </w:rPr>
              <w:t>按完成比例赋分</w:t>
            </w:r>
          </w:p>
        </w:tc>
        <w:tc>
          <w:tcPr>
            <w:tcW w:w="32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sz w:val="18"/>
                <w:szCs w:val="18"/>
                <w:highlight w:val="none"/>
                <w:u w:val="none"/>
                <w:lang w:val="en-US" w:eastAsia="zh-CN"/>
              </w:rPr>
              <w:t>工作总结</w:t>
            </w:r>
          </w:p>
        </w:tc>
        <w:tc>
          <w:tcPr>
            <w:tcW w:w="31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highlight w:val="none"/>
                <w:u w:val="none"/>
                <w:lang w:val="en-US" w:eastAsia="zh-CN"/>
              </w:rPr>
            </w:pPr>
            <w:r>
              <w:rPr>
                <w:rFonts w:hint="eastAsia" w:ascii="仿宋_GB2312" w:hAnsi="仿宋_GB2312" w:eastAsia="仿宋_GB2312" w:cs="仿宋_GB2312"/>
                <w:i w:val="0"/>
                <w:iCs w:val="0"/>
                <w:color w:val="000000"/>
                <w:sz w:val="18"/>
                <w:szCs w:val="18"/>
                <w:highlight w:val="none"/>
                <w:u w:val="none"/>
                <w:lang w:val="en-US" w:eastAsia="zh-CN"/>
              </w:rPr>
              <w:t>12000米</w:t>
            </w:r>
          </w:p>
        </w:tc>
        <w:tc>
          <w:tcPr>
            <w:tcW w:w="29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highlight w:val="none"/>
                <w:u w:val="none"/>
                <w:lang w:val="en-US" w:eastAsia="zh-CN"/>
              </w:rPr>
            </w:pPr>
            <w:r>
              <w:rPr>
                <w:rFonts w:hint="eastAsia" w:ascii="仿宋_GB2312" w:hAnsi="仿宋_GB2312" w:eastAsia="仿宋_GB2312" w:cs="仿宋_GB2312"/>
                <w:i w:val="0"/>
                <w:iCs w:val="0"/>
                <w:color w:val="000000"/>
                <w:sz w:val="18"/>
                <w:szCs w:val="18"/>
                <w:highlight w:val="none"/>
                <w:u w:val="none"/>
                <w:lang w:val="en-US" w:eastAsia="zh-CN"/>
              </w:rPr>
              <w:t>100%</w:t>
            </w:r>
          </w:p>
        </w:tc>
        <w:tc>
          <w:tcPr>
            <w:tcW w:w="26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lang w:val="en-US" w:eastAsia="zh-CN"/>
              </w:rPr>
            </w:pPr>
            <w:r>
              <w:rPr>
                <w:rFonts w:hint="eastAsia" w:ascii="仿宋_GB2312" w:hAnsi="仿宋_GB2312" w:eastAsia="仿宋_GB2312" w:cs="仿宋_GB2312"/>
                <w:i w:val="0"/>
                <w:iCs w:val="0"/>
                <w:color w:val="000000"/>
                <w:sz w:val="18"/>
                <w:szCs w:val="18"/>
                <w:highlight w:val="none"/>
                <w:u w:val="none"/>
                <w:lang w:val="en-US" w:eastAsia="zh-CN"/>
              </w:rPr>
              <w:t>7</w:t>
            </w:r>
          </w:p>
        </w:tc>
        <w:tc>
          <w:tcPr>
            <w:tcW w:w="45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23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rPr>
            </w:pPr>
          </w:p>
        </w:tc>
        <w:tc>
          <w:tcPr>
            <w:tcW w:w="246"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i w:val="0"/>
                <w:iCs w:val="0"/>
                <w:color w:val="000000"/>
                <w:sz w:val="18"/>
                <w:szCs w:val="18"/>
                <w:highlight w:val="none"/>
                <w:u w:val="none"/>
              </w:rPr>
            </w:pPr>
          </w:p>
        </w:tc>
        <w:tc>
          <w:tcPr>
            <w:tcW w:w="35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highlight w:val="none"/>
                <w:u w:val="none"/>
                <w:lang w:val="en-US" w:eastAsia="zh-CN" w:bidi="ar"/>
              </w:rPr>
            </w:pPr>
            <w:r>
              <w:rPr>
                <w:rFonts w:hint="eastAsia" w:ascii="仿宋_GB2312" w:hAnsi="仿宋_GB2312" w:eastAsia="仿宋_GB2312" w:cs="仿宋_GB2312"/>
                <w:i w:val="0"/>
                <w:iCs w:val="0"/>
                <w:color w:val="000000"/>
                <w:kern w:val="0"/>
                <w:sz w:val="18"/>
                <w:szCs w:val="18"/>
                <w:highlight w:val="none"/>
                <w:u w:val="none"/>
                <w:lang w:val="en-US" w:eastAsia="zh-CN" w:bidi="ar"/>
              </w:rPr>
              <w:t>数量指标</w:t>
            </w:r>
          </w:p>
        </w:tc>
        <w:tc>
          <w:tcPr>
            <w:tcW w:w="867"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default" w:ascii="仿宋_GB2312" w:hAnsi="仿宋_GB2312" w:eastAsia="仿宋_GB2312" w:cs="仿宋_GB2312"/>
                <w:i w:val="0"/>
                <w:iCs w:val="0"/>
                <w:color w:val="000000"/>
                <w:sz w:val="18"/>
                <w:szCs w:val="18"/>
                <w:highlight w:val="none"/>
                <w:u w:val="none"/>
                <w:lang w:val="en-US" w:eastAsia="zh-CN"/>
              </w:rPr>
            </w:pPr>
            <w:r>
              <w:rPr>
                <w:rFonts w:hint="eastAsia" w:ascii="仿宋_GB2312" w:hAnsi="仿宋_GB2312" w:eastAsia="仿宋_GB2312" w:cs="仿宋_GB2312"/>
                <w:i w:val="0"/>
                <w:iCs w:val="0"/>
                <w:color w:val="000000"/>
                <w:sz w:val="18"/>
                <w:szCs w:val="18"/>
                <w:highlight w:val="none"/>
                <w:u w:val="none"/>
                <w:lang w:val="en-US" w:eastAsia="zh-CN"/>
              </w:rPr>
              <w:t>新建改建排水管网长度</w:t>
            </w:r>
          </w:p>
        </w:tc>
        <w:tc>
          <w:tcPr>
            <w:tcW w:w="37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sz w:val="18"/>
                <w:szCs w:val="18"/>
                <w:highlight w:val="none"/>
                <w:u w:val="none"/>
                <w:lang w:val="en-US" w:eastAsia="zh-CN"/>
              </w:rPr>
              <w:t>≥6000米</w:t>
            </w:r>
          </w:p>
        </w:tc>
        <w:tc>
          <w:tcPr>
            <w:tcW w:w="396"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sz w:val="18"/>
                <w:szCs w:val="18"/>
                <w:highlight w:val="none"/>
                <w:u w:val="none"/>
                <w:lang w:val="en-US" w:eastAsia="zh-CN"/>
              </w:rPr>
              <w:t>行业标准</w:t>
            </w:r>
          </w:p>
        </w:tc>
        <w:tc>
          <w:tcPr>
            <w:tcW w:w="261"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lang w:val="en-US" w:eastAsia="zh-CN"/>
              </w:rPr>
            </w:pPr>
            <w:r>
              <w:rPr>
                <w:rFonts w:hint="eastAsia" w:ascii="仿宋_GB2312" w:hAnsi="仿宋_GB2312" w:eastAsia="仿宋_GB2312" w:cs="仿宋_GB2312"/>
                <w:i w:val="0"/>
                <w:iCs w:val="0"/>
                <w:color w:val="000000"/>
                <w:sz w:val="18"/>
                <w:szCs w:val="18"/>
                <w:highlight w:val="none"/>
                <w:u w:val="none"/>
                <w:lang w:val="en-US" w:eastAsia="zh-CN"/>
              </w:rPr>
              <w:t>-</w:t>
            </w:r>
          </w:p>
        </w:tc>
        <w:tc>
          <w:tcPr>
            <w:tcW w:w="270"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lang w:val="en-US" w:eastAsia="zh-CN"/>
              </w:rPr>
            </w:pPr>
            <w:r>
              <w:rPr>
                <w:rFonts w:hint="eastAsia" w:ascii="仿宋_GB2312" w:hAnsi="仿宋_GB2312" w:eastAsia="仿宋_GB2312" w:cs="仿宋_GB2312"/>
                <w:i w:val="0"/>
                <w:iCs w:val="0"/>
                <w:color w:val="000000"/>
                <w:sz w:val="18"/>
                <w:szCs w:val="18"/>
                <w:highlight w:val="none"/>
                <w:u w:val="none"/>
                <w:lang w:val="en-US" w:eastAsia="zh-CN"/>
              </w:rPr>
              <w:t>6</w:t>
            </w:r>
          </w:p>
        </w:tc>
        <w:tc>
          <w:tcPr>
            <w:tcW w:w="33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sz w:val="18"/>
                <w:szCs w:val="18"/>
                <w:highlight w:val="none"/>
                <w:u w:val="none"/>
                <w:lang w:val="en-US" w:eastAsia="zh-CN"/>
              </w:rPr>
              <w:t>按完成比例赋分</w:t>
            </w:r>
          </w:p>
        </w:tc>
        <w:tc>
          <w:tcPr>
            <w:tcW w:w="32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sz w:val="18"/>
                <w:szCs w:val="18"/>
                <w:highlight w:val="none"/>
                <w:u w:val="none"/>
                <w:lang w:val="en-US" w:eastAsia="zh-CN"/>
              </w:rPr>
              <w:t>工作总结</w:t>
            </w:r>
          </w:p>
        </w:tc>
        <w:tc>
          <w:tcPr>
            <w:tcW w:w="31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highlight w:val="none"/>
                <w:u w:val="none"/>
                <w:lang w:val="en-US" w:eastAsia="zh-CN"/>
              </w:rPr>
            </w:pPr>
            <w:r>
              <w:rPr>
                <w:rFonts w:hint="eastAsia" w:ascii="仿宋_GB2312" w:hAnsi="仿宋_GB2312" w:eastAsia="仿宋_GB2312" w:cs="仿宋_GB2312"/>
                <w:i w:val="0"/>
                <w:iCs w:val="0"/>
                <w:color w:val="000000"/>
                <w:sz w:val="18"/>
                <w:szCs w:val="18"/>
                <w:highlight w:val="none"/>
                <w:u w:val="none"/>
                <w:lang w:val="en-US" w:eastAsia="zh-CN"/>
              </w:rPr>
              <w:t>6000米</w:t>
            </w:r>
          </w:p>
        </w:tc>
        <w:tc>
          <w:tcPr>
            <w:tcW w:w="29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highlight w:val="none"/>
                <w:u w:val="none"/>
                <w:lang w:val="en-US" w:eastAsia="zh-CN"/>
              </w:rPr>
            </w:pPr>
            <w:r>
              <w:rPr>
                <w:rFonts w:hint="eastAsia" w:ascii="仿宋_GB2312" w:hAnsi="仿宋_GB2312" w:eastAsia="仿宋_GB2312" w:cs="仿宋_GB2312"/>
                <w:i w:val="0"/>
                <w:iCs w:val="0"/>
                <w:color w:val="000000"/>
                <w:sz w:val="18"/>
                <w:szCs w:val="18"/>
                <w:highlight w:val="none"/>
                <w:u w:val="none"/>
                <w:lang w:val="en-US" w:eastAsia="zh-CN"/>
              </w:rPr>
              <w:t>100%</w:t>
            </w:r>
          </w:p>
        </w:tc>
        <w:tc>
          <w:tcPr>
            <w:tcW w:w="26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lang w:val="en-US" w:eastAsia="zh-CN"/>
              </w:rPr>
            </w:pPr>
            <w:r>
              <w:rPr>
                <w:rFonts w:hint="eastAsia" w:ascii="仿宋_GB2312" w:hAnsi="仿宋_GB2312" w:eastAsia="仿宋_GB2312" w:cs="仿宋_GB2312"/>
                <w:i w:val="0"/>
                <w:iCs w:val="0"/>
                <w:color w:val="000000"/>
                <w:sz w:val="18"/>
                <w:szCs w:val="18"/>
                <w:highlight w:val="none"/>
                <w:u w:val="none"/>
                <w:lang w:val="en-US" w:eastAsia="zh-CN"/>
              </w:rPr>
              <w:t>6</w:t>
            </w:r>
          </w:p>
        </w:tc>
        <w:tc>
          <w:tcPr>
            <w:tcW w:w="45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23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rPr>
            </w:pPr>
          </w:p>
        </w:tc>
        <w:tc>
          <w:tcPr>
            <w:tcW w:w="246"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i w:val="0"/>
                <w:iCs w:val="0"/>
                <w:color w:val="000000"/>
                <w:sz w:val="18"/>
                <w:szCs w:val="18"/>
                <w:highlight w:val="none"/>
                <w:u w:val="none"/>
              </w:rPr>
            </w:pPr>
          </w:p>
        </w:tc>
        <w:tc>
          <w:tcPr>
            <w:tcW w:w="35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highlight w:val="none"/>
                <w:u w:val="none"/>
                <w:lang w:val="en-US" w:eastAsia="zh-CN" w:bidi="ar"/>
              </w:rPr>
            </w:pPr>
            <w:r>
              <w:rPr>
                <w:rFonts w:hint="eastAsia" w:ascii="仿宋_GB2312" w:hAnsi="仿宋_GB2312" w:eastAsia="仿宋_GB2312" w:cs="仿宋_GB2312"/>
                <w:i w:val="0"/>
                <w:iCs w:val="0"/>
                <w:color w:val="000000"/>
                <w:kern w:val="0"/>
                <w:sz w:val="18"/>
                <w:szCs w:val="18"/>
                <w:highlight w:val="none"/>
                <w:u w:val="none"/>
                <w:lang w:val="en-US" w:eastAsia="zh-CN" w:bidi="ar"/>
              </w:rPr>
              <w:t>数量指标</w:t>
            </w:r>
          </w:p>
        </w:tc>
        <w:tc>
          <w:tcPr>
            <w:tcW w:w="867"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default" w:ascii="仿宋_GB2312" w:hAnsi="仿宋_GB2312" w:eastAsia="仿宋_GB2312" w:cs="仿宋_GB2312"/>
                <w:i w:val="0"/>
                <w:iCs w:val="0"/>
                <w:color w:val="000000"/>
                <w:sz w:val="18"/>
                <w:szCs w:val="18"/>
                <w:highlight w:val="none"/>
                <w:u w:val="none"/>
                <w:lang w:val="en-US" w:eastAsia="zh-CN"/>
              </w:rPr>
            </w:pPr>
            <w:r>
              <w:rPr>
                <w:rFonts w:hint="eastAsia" w:ascii="仿宋_GB2312" w:hAnsi="仿宋_GB2312" w:eastAsia="仿宋_GB2312" w:cs="仿宋_GB2312"/>
                <w:i w:val="0"/>
                <w:iCs w:val="0"/>
                <w:color w:val="000000"/>
                <w:sz w:val="18"/>
                <w:szCs w:val="18"/>
                <w:highlight w:val="none"/>
                <w:u w:val="none"/>
                <w:lang w:val="en-US" w:eastAsia="zh-CN"/>
              </w:rPr>
              <w:t>新建改建供水管网长度</w:t>
            </w:r>
          </w:p>
        </w:tc>
        <w:tc>
          <w:tcPr>
            <w:tcW w:w="37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sz w:val="18"/>
                <w:szCs w:val="18"/>
                <w:highlight w:val="none"/>
                <w:u w:val="none"/>
                <w:lang w:val="en-US" w:eastAsia="zh-CN"/>
              </w:rPr>
              <w:t>≥6000米</w:t>
            </w:r>
          </w:p>
        </w:tc>
        <w:tc>
          <w:tcPr>
            <w:tcW w:w="396"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sz w:val="18"/>
                <w:szCs w:val="18"/>
                <w:highlight w:val="none"/>
                <w:u w:val="none"/>
                <w:lang w:val="en-US" w:eastAsia="zh-CN"/>
              </w:rPr>
              <w:t>行业标准</w:t>
            </w:r>
          </w:p>
        </w:tc>
        <w:tc>
          <w:tcPr>
            <w:tcW w:w="261"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lang w:val="en-US" w:eastAsia="zh-CN"/>
              </w:rPr>
            </w:pPr>
            <w:r>
              <w:rPr>
                <w:rFonts w:hint="eastAsia" w:ascii="仿宋_GB2312" w:hAnsi="仿宋_GB2312" w:eastAsia="仿宋_GB2312" w:cs="仿宋_GB2312"/>
                <w:i w:val="0"/>
                <w:iCs w:val="0"/>
                <w:color w:val="000000"/>
                <w:sz w:val="18"/>
                <w:szCs w:val="18"/>
                <w:highlight w:val="none"/>
                <w:u w:val="none"/>
                <w:lang w:val="en-US" w:eastAsia="zh-CN"/>
              </w:rPr>
              <w:t>-</w:t>
            </w:r>
          </w:p>
        </w:tc>
        <w:tc>
          <w:tcPr>
            <w:tcW w:w="270"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lang w:val="en-US" w:eastAsia="zh-CN"/>
              </w:rPr>
            </w:pPr>
            <w:r>
              <w:rPr>
                <w:rFonts w:hint="eastAsia" w:ascii="仿宋_GB2312" w:hAnsi="仿宋_GB2312" w:eastAsia="仿宋_GB2312" w:cs="仿宋_GB2312"/>
                <w:i w:val="0"/>
                <w:iCs w:val="0"/>
                <w:color w:val="000000"/>
                <w:sz w:val="18"/>
                <w:szCs w:val="18"/>
                <w:highlight w:val="none"/>
                <w:u w:val="none"/>
                <w:lang w:val="en-US" w:eastAsia="zh-CN"/>
              </w:rPr>
              <w:t>5</w:t>
            </w:r>
          </w:p>
        </w:tc>
        <w:tc>
          <w:tcPr>
            <w:tcW w:w="33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sz w:val="18"/>
                <w:szCs w:val="18"/>
                <w:highlight w:val="none"/>
                <w:u w:val="none"/>
                <w:lang w:val="en-US" w:eastAsia="zh-CN"/>
              </w:rPr>
              <w:t>按完成比例赋分</w:t>
            </w:r>
          </w:p>
        </w:tc>
        <w:tc>
          <w:tcPr>
            <w:tcW w:w="32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sz w:val="18"/>
                <w:szCs w:val="18"/>
                <w:highlight w:val="none"/>
                <w:u w:val="none"/>
                <w:lang w:val="en-US" w:eastAsia="zh-CN"/>
              </w:rPr>
              <w:t>工作总结</w:t>
            </w:r>
          </w:p>
        </w:tc>
        <w:tc>
          <w:tcPr>
            <w:tcW w:w="31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highlight w:val="none"/>
                <w:u w:val="none"/>
                <w:lang w:val="en-US" w:eastAsia="zh-CN"/>
              </w:rPr>
            </w:pPr>
            <w:r>
              <w:rPr>
                <w:rFonts w:hint="eastAsia" w:ascii="仿宋_GB2312" w:hAnsi="仿宋_GB2312" w:eastAsia="仿宋_GB2312" w:cs="仿宋_GB2312"/>
                <w:i w:val="0"/>
                <w:iCs w:val="0"/>
                <w:color w:val="000000"/>
                <w:sz w:val="18"/>
                <w:szCs w:val="18"/>
                <w:highlight w:val="none"/>
                <w:u w:val="none"/>
                <w:lang w:val="en-US" w:eastAsia="zh-CN"/>
              </w:rPr>
              <w:t>6000米</w:t>
            </w:r>
          </w:p>
        </w:tc>
        <w:tc>
          <w:tcPr>
            <w:tcW w:w="29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highlight w:val="none"/>
                <w:u w:val="none"/>
                <w:lang w:val="en-US" w:eastAsia="zh-CN"/>
              </w:rPr>
            </w:pPr>
            <w:r>
              <w:rPr>
                <w:rFonts w:hint="eastAsia" w:ascii="仿宋_GB2312" w:hAnsi="仿宋_GB2312" w:eastAsia="仿宋_GB2312" w:cs="仿宋_GB2312"/>
                <w:i w:val="0"/>
                <w:iCs w:val="0"/>
                <w:color w:val="000000"/>
                <w:sz w:val="18"/>
                <w:szCs w:val="18"/>
                <w:highlight w:val="none"/>
                <w:u w:val="none"/>
                <w:lang w:val="en-US" w:eastAsia="zh-CN"/>
              </w:rPr>
              <w:t>100%</w:t>
            </w:r>
          </w:p>
        </w:tc>
        <w:tc>
          <w:tcPr>
            <w:tcW w:w="26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lang w:val="en-US" w:eastAsia="zh-CN"/>
              </w:rPr>
            </w:pPr>
            <w:r>
              <w:rPr>
                <w:rFonts w:hint="eastAsia" w:ascii="仿宋_GB2312" w:hAnsi="仿宋_GB2312" w:eastAsia="仿宋_GB2312" w:cs="仿宋_GB2312"/>
                <w:i w:val="0"/>
                <w:iCs w:val="0"/>
                <w:color w:val="000000"/>
                <w:sz w:val="18"/>
                <w:szCs w:val="18"/>
                <w:highlight w:val="none"/>
                <w:u w:val="none"/>
                <w:lang w:val="en-US" w:eastAsia="zh-CN"/>
              </w:rPr>
              <w:t>5</w:t>
            </w:r>
          </w:p>
        </w:tc>
        <w:tc>
          <w:tcPr>
            <w:tcW w:w="45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23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rPr>
            </w:pPr>
          </w:p>
        </w:tc>
        <w:tc>
          <w:tcPr>
            <w:tcW w:w="246"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i w:val="0"/>
                <w:iCs w:val="0"/>
                <w:color w:val="000000"/>
                <w:sz w:val="18"/>
                <w:szCs w:val="18"/>
                <w:highlight w:val="none"/>
                <w:u w:val="none"/>
              </w:rPr>
            </w:pPr>
          </w:p>
        </w:tc>
        <w:tc>
          <w:tcPr>
            <w:tcW w:w="35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kern w:val="0"/>
                <w:sz w:val="18"/>
                <w:szCs w:val="18"/>
                <w:highlight w:val="none"/>
                <w:u w:val="none"/>
                <w:lang w:val="en-US" w:eastAsia="zh-CN" w:bidi="ar"/>
              </w:rPr>
              <w:t>质量指标</w:t>
            </w:r>
          </w:p>
        </w:tc>
        <w:tc>
          <w:tcPr>
            <w:tcW w:w="867"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default" w:ascii="仿宋_GB2312" w:hAnsi="仿宋_GB2312" w:eastAsia="仿宋_GB2312" w:cs="仿宋_GB2312"/>
                <w:i w:val="0"/>
                <w:iCs w:val="0"/>
                <w:color w:val="000000"/>
                <w:sz w:val="18"/>
                <w:szCs w:val="18"/>
                <w:highlight w:val="none"/>
                <w:u w:val="none"/>
                <w:lang w:val="en-US" w:eastAsia="zh-CN"/>
              </w:rPr>
            </w:pPr>
            <w:r>
              <w:rPr>
                <w:rFonts w:hint="eastAsia" w:ascii="仿宋_GB2312" w:hAnsi="仿宋_GB2312" w:eastAsia="仿宋_GB2312" w:cs="仿宋_GB2312"/>
                <w:i w:val="0"/>
                <w:iCs w:val="0"/>
                <w:color w:val="000000"/>
                <w:sz w:val="18"/>
                <w:szCs w:val="18"/>
                <w:highlight w:val="none"/>
                <w:u w:val="none"/>
                <w:lang w:val="en-US" w:eastAsia="zh-CN"/>
              </w:rPr>
              <w:t>燃气安全隐患消除率</w:t>
            </w:r>
          </w:p>
        </w:tc>
        <w:tc>
          <w:tcPr>
            <w:tcW w:w="37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highlight w:val="none"/>
                <w:u w:val="none"/>
                <w:lang w:val="en-US" w:eastAsia="zh-CN"/>
              </w:rPr>
            </w:pPr>
            <w:r>
              <w:rPr>
                <w:rFonts w:hint="eastAsia" w:ascii="仿宋_GB2312" w:hAnsi="仿宋_GB2312" w:eastAsia="仿宋_GB2312" w:cs="仿宋_GB2312"/>
                <w:i w:val="0"/>
                <w:iCs w:val="0"/>
                <w:color w:val="000000"/>
                <w:sz w:val="18"/>
                <w:szCs w:val="18"/>
                <w:highlight w:val="none"/>
                <w:u w:val="none"/>
                <w:lang w:val="en-US" w:eastAsia="zh-CN"/>
              </w:rPr>
              <w:t>＝100%</w:t>
            </w:r>
          </w:p>
        </w:tc>
        <w:tc>
          <w:tcPr>
            <w:tcW w:w="396"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sz w:val="18"/>
                <w:szCs w:val="18"/>
                <w:highlight w:val="none"/>
                <w:u w:val="none"/>
                <w:lang w:val="en-US" w:eastAsia="zh-CN"/>
              </w:rPr>
              <w:t>行业标准</w:t>
            </w:r>
          </w:p>
        </w:tc>
        <w:tc>
          <w:tcPr>
            <w:tcW w:w="261"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lang w:val="en-US" w:eastAsia="zh-CN"/>
              </w:rPr>
            </w:pPr>
            <w:r>
              <w:rPr>
                <w:rFonts w:hint="eastAsia" w:ascii="仿宋_GB2312" w:hAnsi="仿宋_GB2312" w:eastAsia="仿宋_GB2312" w:cs="仿宋_GB2312"/>
                <w:i w:val="0"/>
                <w:iCs w:val="0"/>
                <w:color w:val="000000"/>
                <w:sz w:val="18"/>
                <w:szCs w:val="18"/>
                <w:highlight w:val="none"/>
                <w:u w:val="none"/>
                <w:lang w:val="en-US" w:eastAsia="zh-CN"/>
              </w:rPr>
              <w:t>-</w:t>
            </w:r>
          </w:p>
        </w:tc>
        <w:tc>
          <w:tcPr>
            <w:tcW w:w="270"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lang w:val="en-US" w:eastAsia="zh-CN"/>
              </w:rPr>
            </w:pPr>
            <w:r>
              <w:rPr>
                <w:rFonts w:hint="eastAsia" w:ascii="仿宋_GB2312" w:hAnsi="仿宋_GB2312" w:eastAsia="仿宋_GB2312" w:cs="仿宋_GB2312"/>
                <w:i w:val="0"/>
                <w:iCs w:val="0"/>
                <w:color w:val="000000"/>
                <w:sz w:val="18"/>
                <w:szCs w:val="18"/>
                <w:highlight w:val="none"/>
                <w:u w:val="none"/>
                <w:lang w:val="en-US" w:eastAsia="zh-CN"/>
              </w:rPr>
              <w:t>5</w:t>
            </w:r>
          </w:p>
        </w:tc>
        <w:tc>
          <w:tcPr>
            <w:tcW w:w="33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sz w:val="18"/>
                <w:szCs w:val="18"/>
                <w:highlight w:val="none"/>
                <w:u w:val="none"/>
                <w:lang w:val="en-US" w:eastAsia="zh-CN"/>
              </w:rPr>
              <w:t>按完成比例赋分</w:t>
            </w:r>
          </w:p>
        </w:tc>
        <w:tc>
          <w:tcPr>
            <w:tcW w:w="32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sz w:val="18"/>
                <w:szCs w:val="18"/>
                <w:highlight w:val="none"/>
                <w:u w:val="none"/>
                <w:lang w:val="en-US" w:eastAsia="zh-CN"/>
              </w:rPr>
              <w:t>工作总结</w:t>
            </w:r>
          </w:p>
        </w:tc>
        <w:tc>
          <w:tcPr>
            <w:tcW w:w="31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highlight w:val="none"/>
                <w:u w:val="none"/>
                <w:lang w:val="en-US" w:eastAsia="zh-CN"/>
              </w:rPr>
            </w:pPr>
            <w:r>
              <w:rPr>
                <w:rFonts w:hint="eastAsia" w:ascii="仿宋_GB2312" w:hAnsi="仿宋_GB2312" w:eastAsia="仿宋_GB2312" w:cs="仿宋_GB2312"/>
                <w:i w:val="0"/>
                <w:iCs w:val="0"/>
                <w:color w:val="000000"/>
                <w:sz w:val="18"/>
                <w:szCs w:val="18"/>
                <w:highlight w:val="none"/>
                <w:u w:val="none"/>
                <w:lang w:val="en-US" w:eastAsia="zh-CN"/>
              </w:rPr>
              <w:t>100%</w:t>
            </w:r>
          </w:p>
        </w:tc>
        <w:tc>
          <w:tcPr>
            <w:tcW w:w="29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highlight w:val="none"/>
                <w:u w:val="none"/>
                <w:lang w:val="en-US" w:eastAsia="zh-CN"/>
              </w:rPr>
            </w:pPr>
            <w:r>
              <w:rPr>
                <w:rFonts w:hint="eastAsia" w:ascii="仿宋_GB2312" w:hAnsi="仿宋_GB2312" w:eastAsia="仿宋_GB2312" w:cs="仿宋_GB2312"/>
                <w:i w:val="0"/>
                <w:iCs w:val="0"/>
                <w:color w:val="000000"/>
                <w:sz w:val="18"/>
                <w:szCs w:val="18"/>
                <w:highlight w:val="none"/>
                <w:u w:val="none"/>
                <w:lang w:val="en-US" w:eastAsia="zh-CN"/>
              </w:rPr>
              <w:t>100%</w:t>
            </w:r>
          </w:p>
        </w:tc>
        <w:tc>
          <w:tcPr>
            <w:tcW w:w="26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lang w:val="en-US" w:eastAsia="zh-CN"/>
              </w:rPr>
            </w:pPr>
            <w:r>
              <w:rPr>
                <w:rFonts w:hint="eastAsia" w:ascii="仿宋_GB2312" w:hAnsi="仿宋_GB2312" w:eastAsia="仿宋_GB2312" w:cs="仿宋_GB2312"/>
                <w:i w:val="0"/>
                <w:iCs w:val="0"/>
                <w:color w:val="000000"/>
                <w:sz w:val="18"/>
                <w:szCs w:val="18"/>
                <w:highlight w:val="none"/>
                <w:u w:val="none"/>
                <w:lang w:val="en-US" w:eastAsia="zh-CN"/>
              </w:rPr>
              <w:t>5</w:t>
            </w:r>
          </w:p>
        </w:tc>
        <w:tc>
          <w:tcPr>
            <w:tcW w:w="45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2" w:hRule="atLeast"/>
        </w:trPr>
        <w:tc>
          <w:tcPr>
            <w:tcW w:w="23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rPr>
            </w:pPr>
          </w:p>
        </w:tc>
        <w:tc>
          <w:tcPr>
            <w:tcW w:w="246"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i w:val="0"/>
                <w:iCs w:val="0"/>
                <w:color w:val="000000"/>
                <w:sz w:val="18"/>
                <w:szCs w:val="18"/>
                <w:highlight w:val="none"/>
                <w:u w:val="none"/>
              </w:rPr>
            </w:pPr>
          </w:p>
        </w:tc>
        <w:tc>
          <w:tcPr>
            <w:tcW w:w="35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highlight w:val="none"/>
                <w:u w:val="none"/>
                <w:lang w:val="en-US" w:eastAsia="zh-CN" w:bidi="ar"/>
              </w:rPr>
            </w:pPr>
            <w:r>
              <w:rPr>
                <w:rFonts w:hint="eastAsia" w:ascii="仿宋_GB2312" w:hAnsi="仿宋_GB2312" w:eastAsia="仿宋_GB2312" w:cs="仿宋_GB2312"/>
                <w:i w:val="0"/>
                <w:iCs w:val="0"/>
                <w:color w:val="000000"/>
                <w:kern w:val="0"/>
                <w:sz w:val="18"/>
                <w:szCs w:val="18"/>
                <w:highlight w:val="none"/>
                <w:u w:val="none"/>
                <w:lang w:val="en-US" w:eastAsia="zh-CN" w:bidi="ar"/>
              </w:rPr>
              <w:t>质量指标</w:t>
            </w:r>
          </w:p>
        </w:tc>
        <w:tc>
          <w:tcPr>
            <w:tcW w:w="867"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default" w:ascii="仿宋_GB2312" w:hAnsi="仿宋_GB2312" w:eastAsia="仿宋_GB2312" w:cs="仿宋_GB2312"/>
                <w:i w:val="0"/>
                <w:iCs w:val="0"/>
                <w:color w:val="000000"/>
                <w:sz w:val="18"/>
                <w:szCs w:val="18"/>
                <w:highlight w:val="none"/>
                <w:u w:val="none"/>
                <w:lang w:val="en-US" w:eastAsia="zh-CN"/>
              </w:rPr>
            </w:pPr>
            <w:r>
              <w:rPr>
                <w:rFonts w:hint="eastAsia" w:ascii="仿宋_GB2312" w:hAnsi="仿宋_GB2312" w:eastAsia="仿宋_GB2312" w:cs="仿宋_GB2312"/>
                <w:i w:val="0"/>
                <w:iCs w:val="0"/>
                <w:color w:val="000000"/>
                <w:sz w:val="18"/>
                <w:szCs w:val="18"/>
                <w:highlight w:val="none"/>
                <w:u w:val="none"/>
                <w:lang w:val="en-US" w:eastAsia="zh-CN"/>
              </w:rPr>
              <w:t>项目资金支付准确率</w:t>
            </w:r>
          </w:p>
        </w:tc>
        <w:tc>
          <w:tcPr>
            <w:tcW w:w="37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highlight w:val="none"/>
                <w:u w:val="none"/>
                <w:lang w:val="en-US" w:eastAsia="zh-CN"/>
              </w:rPr>
            </w:pPr>
            <w:r>
              <w:rPr>
                <w:rFonts w:hint="eastAsia" w:ascii="仿宋_GB2312" w:hAnsi="仿宋_GB2312" w:eastAsia="仿宋_GB2312" w:cs="仿宋_GB2312"/>
                <w:i w:val="0"/>
                <w:iCs w:val="0"/>
                <w:color w:val="000000"/>
                <w:sz w:val="18"/>
                <w:szCs w:val="18"/>
                <w:highlight w:val="none"/>
                <w:u w:val="none"/>
                <w:lang w:val="en-US" w:eastAsia="zh-CN"/>
              </w:rPr>
              <w:t>≥99%</w:t>
            </w:r>
          </w:p>
        </w:tc>
        <w:tc>
          <w:tcPr>
            <w:tcW w:w="396"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lang w:val="en-US" w:eastAsia="zh-CN"/>
              </w:rPr>
            </w:pPr>
            <w:r>
              <w:rPr>
                <w:rFonts w:hint="eastAsia" w:ascii="仿宋_GB2312" w:hAnsi="仿宋_GB2312" w:eastAsia="仿宋_GB2312" w:cs="仿宋_GB2312"/>
                <w:i w:val="0"/>
                <w:iCs w:val="0"/>
                <w:color w:val="000000"/>
                <w:sz w:val="18"/>
                <w:szCs w:val="18"/>
                <w:highlight w:val="none"/>
                <w:u w:val="none"/>
                <w:lang w:val="en-US" w:eastAsia="zh-CN"/>
              </w:rPr>
              <w:t>行业标准</w:t>
            </w:r>
          </w:p>
        </w:tc>
        <w:tc>
          <w:tcPr>
            <w:tcW w:w="261"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lang w:val="en-US" w:eastAsia="zh-CN"/>
              </w:rPr>
            </w:pPr>
            <w:r>
              <w:rPr>
                <w:rFonts w:hint="eastAsia" w:ascii="仿宋_GB2312" w:hAnsi="仿宋_GB2312" w:eastAsia="仿宋_GB2312" w:cs="仿宋_GB2312"/>
                <w:i w:val="0"/>
                <w:iCs w:val="0"/>
                <w:color w:val="000000"/>
                <w:sz w:val="18"/>
                <w:szCs w:val="18"/>
                <w:highlight w:val="none"/>
                <w:u w:val="none"/>
                <w:lang w:val="en-US" w:eastAsia="zh-CN"/>
              </w:rPr>
              <w:t>-</w:t>
            </w:r>
          </w:p>
        </w:tc>
        <w:tc>
          <w:tcPr>
            <w:tcW w:w="270"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lang w:val="en-US" w:eastAsia="zh-CN"/>
              </w:rPr>
            </w:pPr>
            <w:r>
              <w:rPr>
                <w:rFonts w:hint="eastAsia" w:ascii="仿宋_GB2312" w:hAnsi="仿宋_GB2312" w:eastAsia="仿宋_GB2312" w:cs="仿宋_GB2312"/>
                <w:i w:val="0"/>
                <w:iCs w:val="0"/>
                <w:color w:val="000000"/>
                <w:sz w:val="18"/>
                <w:szCs w:val="18"/>
                <w:highlight w:val="none"/>
                <w:u w:val="none"/>
                <w:lang w:val="en-US" w:eastAsia="zh-CN"/>
              </w:rPr>
              <w:t>5</w:t>
            </w:r>
          </w:p>
        </w:tc>
        <w:tc>
          <w:tcPr>
            <w:tcW w:w="33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lang w:val="en-US" w:eastAsia="zh-CN"/>
              </w:rPr>
            </w:pPr>
            <w:r>
              <w:rPr>
                <w:rFonts w:hint="eastAsia" w:ascii="仿宋_GB2312" w:hAnsi="仿宋_GB2312" w:eastAsia="仿宋_GB2312" w:cs="仿宋_GB2312"/>
                <w:i w:val="0"/>
                <w:iCs w:val="0"/>
                <w:color w:val="000000"/>
                <w:sz w:val="18"/>
                <w:szCs w:val="18"/>
                <w:highlight w:val="none"/>
                <w:u w:val="none"/>
                <w:lang w:val="en-US" w:eastAsia="zh-CN"/>
              </w:rPr>
              <w:t>按完成比例赋分</w:t>
            </w:r>
          </w:p>
        </w:tc>
        <w:tc>
          <w:tcPr>
            <w:tcW w:w="32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lang w:val="en-US" w:eastAsia="zh-CN"/>
              </w:rPr>
            </w:pPr>
            <w:r>
              <w:rPr>
                <w:rFonts w:hint="eastAsia" w:ascii="仿宋_GB2312" w:hAnsi="仿宋_GB2312" w:eastAsia="仿宋_GB2312" w:cs="仿宋_GB2312"/>
                <w:i w:val="0"/>
                <w:iCs w:val="0"/>
                <w:color w:val="000000"/>
                <w:sz w:val="18"/>
                <w:szCs w:val="18"/>
                <w:highlight w:val="none"/>
                <w:u w:val="none"/>
                <w:lang w:val="en-US" w:eastAsia="zh-CN"/>
              </w:rPr>
              <w:t>工作总结</w:t>
            </w:r>
          </w:p>
        </w:tc>
        <w:tc>
          <w:tcPr>
            <w:tcW w:w="31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highlight w:val="none"/>
                <w:u w:val="none"/>
                <w:lang w:val="en-US" w:eastAsia="zh-CN"/>
              </w:rPr>
            </w:pPr>
            <w:r>
              <w:rPr>
                <w:rFonts w:hint="eastAsia" w:ascii="仿宋_GB2312" w:hAnsi="仿宋_GB2312" w:eastAsia="仿宋_GB2312" w:cs="仿宋_GB2312"/>
                <w:i w:val="0"/>
                <w:iCs w:val="0"/>
                <w:color w:val="000000"/>
                <w:sz w:val="18"/>
                <w:szCs w:val="18"/>
                <w:highlight w:val="none"/>
                <w:u w:val="none"/>
                <w:lang w:val="en-US" w:eastAsia="zh-CN"/>
              </w:rPr>
              <w:t>100%</w:t>
            </w:r>
          </w:p>
        </w:tc>
        <w:tc>
          <w:tcPr>
            <w:tcW w:w="29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highlight w:val="none"/>
                <w:u w:val="none"/>
                <w:lang w:val="en-US" w:eastAsia="zh-CN"/>
              </w:rPr>
            </w:pPr>
            <w:r>
              <w:rPr>
                <w:rFonts w:hint="eastAsia" w:ascii="仿宋_GB2312" w:hAnsi="仿宋_GB2312" w:eastAsia="仿宋_GB2312" w:cs="仿宋_GB2312"/>
                <w:i w:val="0"/>
                <w:iCs w:val="0"/>
                <w:color w:val="000000"/>
                <w:sz w:val="18"/>
                <w:szCs w:val="18"/>
                <w:highlight w:val="none"/>
                <w:u w:val="none"/>
                <w:lang w:val="en-US" w:eastAsia="zh-CN"/>
              </w:rPr>
              <w:t>100%</w:t>
            </w:r>
          </w:p>
        </w:tc>
        <w:tc>
          <w:tcPr>
            <w:tcW w:w="26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lang w:val="en-US" w:eastAsia="zh-CN"/>
              </w:rPr>
            </w:pPr>
            <w:r>
              <w:rPr>
                <w:rFonts w:hint="eastAsia" w:ascii="仿宋_GB2312" w:hAnsi="仿宋_GB2312" w:eastAsia="仿宋_GB2312" w:cs="仿宋_GB2312"/>
                <w:i w:val="0"/>
                <w:iCs w:val="0"/>
                <w:color w:val="000000"/>
                <w:sz w:val="18"/>
                <w:szCs w:val="18"/>
                <w:highlight w:val="none"/>
                <w:u w:val="none"/>
                <w:lang w:val="en-US" w:eastAsia="zh-CN"/>
              </w:rPr>
              <w:t>5</w:t>
            </w:r>
          </w:p>
        </w:tc>
        <w:tc>
          <w:tcPr>
            <w:tcW w:w="45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239"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i w:val="0"/>
                <w:iCs w:val="0"/>
                <w:color w:val="000000"/>
                <w:sz w:val="18"/>
                <w:szCs w:val="18"/>
                <w:highlight w:val="none"/>
                <w:u w:val="none"/>
              </w:rPr>
            </w:pPr>
          </w:p>
        </w:tc>
        <w:tc>
          <w:tcPr>
            <w:tcW w:w="246"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i w:val="0"/>
                <w:iCs w:val="0"/>
                <w:color w:val="000000"/>
                <w:sz w:val="18"/>
                <w:szCs w:val="18"/>
                <w:highlight w:val="none"/>
                <w:u w:val="none"/>
              </w:rPr>
            </w:pPr>
          </w:p>
        </w:tc>
        <w:tc>
          <w:tcPr>
            <w:tcW w:w="356" w:type="pct"/>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kern w:val="0"/>
                <w:sz w:val="18"/>
                <w:szCs w:val="18"/>
                <w:highlight w:val="none"/>
                <w:u w:val="none"/>
                <w:lang w:val="en-US" w:eastAsia="zh-CN" w:bidi="ar"/>
              </w:rPr>
              <w:t>时效指标</w:t>
            </w:r>
          </w:p>
        </w:tc>
        <w:tc>
          <w:tcPr>
            <w:tcW w:w="867"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default" w:ascii="仿宋_GB2312" w:hAnsi="仿宋_GB2312" w:eastAsia="仿宋_GB2312" w:cs="仿宋_GB2312"/>
                <w:i w:val="0"/>
                <w:iCs w:val="0"/>
                <w:color w:val="000000"/>
                <w:sz w:val="18"/>
                <w:szCs w:val="18"/>
                <w:highlight w:val="none"/>
                <w:u w:val="none"/>
                <w:lang w:val="en-US" w:eastAsia="zh-CN"/>
              </w:rPr>
            </w:pPr>
            <w:r>
              <w:rPr>
                <w:rFonts w:hint="eastAsia" w:ascii="仿宋_GB2312" w:hAnsi="仿宋_GB2312" w:eastAsia="仿宋_GB2312" w:cs="仿宋_GB2312"/>
                <w:i w:val="0"/>
                <w:iCs w:val="0"/>
                <w:color w:val="000000"/>
                <w:sz w:val="18"/>
                <w:szCs w:val="18"/>
                <w:highlight w:val="none"/>
                <w:u w:val="none"/>
                <w:lang w:val="en-US" w:eastAsia="zh-CN"/>
              </w:rPr>
              <w:t>资金支付及时率</w:t>
            </w:r>
          </w:p>
        </w:tc>
        <w:tc>
          <w:tcPr>
            <w:tcW w:w="37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highlight w:val="none"/>
                <w:u w:val="none"/>
                <w:lang w:val="en-US" w:eastAsia="zh-CN"/>
              </w:rPr>
            </w:pPr>
            <w:r>
              <w:rPr>
                <w:rFonts w:hint="eastAsia" w:ascii="仿宋_GB2312" w:hAnsi="仿宋_GB2312" w:eastAsia="仿宋_GB2312" w:cs="仿宋_GB2312"/>
                <w:i w:val="0"/>
                <w:iCs w:val="0"/>
                <w:color w:val="000000"/>
                <w:sz w:val="18"/>
                <w:szCs w:val="18"/>
                <w:highlight w:val="none"/>
                <w:u w:val="none"/>
                <w:lang w:val="en-US" w:eastAsia="zh-CN"/>
              </w:rPr>
              <w:t>＝100%</w:t>
            </w:r>
          </w:p>
        </w:tc>
        <w:tc>
          <w:tcPr>
            <w:tcW w:w="396"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sz w:val="18"/>
                <w:szCs w:val="18"/>
                <w:highlight w:val="none"/>
                <w:u w:val="none"/>
                <w:lang w:val="en-US" w:eastAsia="zh-CN"/>
              </w:rPr>
              <w:t>行业标准</w:t>
            </w:r>
          </w:p>
        </w:tc>
        <w:tc>
          <w:tcPr>
            <w:tcW w:w="261"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lang w:val="en-US" w:eastAsia="zh-CN"/>
              </w:rPr>
            </w:pPr>
            <w:r>
              <w:rPr>
                <w:rFonts w:hint="eastAsia" w:ascii="仿宋_GB2312" w:hAnsi="仿宋_GB2312" w:eastAsia="仿宋_GB2312" w:cs="仿宋_GB2312"/>
                <w:i w:val="0"/>
                <w:iCs w:val="0"/>
                <w:color w:val="000000"/>
                <w:sz w:val="18"/>
                <w:szCs w:val="18"/>
                <w:highlight w:val="none"/>
                <w:u w:val="none"/>
                <w:lang w:val="en-US" w:eastAsia="zh-CN"/>
              </w:rPr>
              <w:t>-</w:t>
            </w:r>
          </w:p>
        </w:tc>
        <w:tc>
          <w:tcPr>
            <w:tcW w:w="270"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lang w:val="en-US" w:eastAsia="zh-CN"/>
              </w:rPr>
            </w:pPr>
            <w:r>
              <w:rPr>
                <w:rFonts w:hint="eastAsia" w:ascii="仿宋_GB2312" w:hAnsi="仿宋_GB2312" w:eastAsia="仿宋_GB2312" w:cs="仿宋_GB2312"/>
                <w:i w:val="0"/>
                <w:iCs w:val="0"/>
                <w:color w:val="000000"/>
                <w:sz w:val="18"/>
                <w:szCs w:val="18"/>
                <w:highlight w:val="none"/>
                <w:u w:val="none"/>
                <w:lang w:val="en-US" w:eastAsia="zh-CN"/>
              </w:rPr>
              <w:t>5</w:t>
            </w:r>
          </w:p>
        </w:tc>
        <w:tc>
          <w:tcPr>
            <w:tcW w:w="33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sz w:val="18"/>
                <w:szCs w:val="18"/>
                <w:highlight w:val="none"/>
                <w:u w:val="none"/>
                <w:lang w:val="en-US" w:eastAsia="zh-CN"/>
              </w:rPr>
              <w:t>按完成比例赋分</w:t>
            </w:r>
          </w:p>
        </w:tc>
        <w:tc>
          <w:tcPr>
            <w:tcW w:w="32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sz w:val="18"/>
                <w:szCs w:val="18"/>
                <w:highlight w:val="none"/>
                <w:u w:val="none"/>
                <w:lang w:val="en-US" w:eastAsia="zh-CN"/>
              </w:rPr>
              <w:t>工作总结</w:t>
            </w:r>
          </w:p>
        </w:tc>
        <w:tc>
          <w:tcPr>
            <w:tcW w:w="31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highlight w:val="none"/>
                <w:u w:val="none"/>
                <w:lang w:val="en-US" w:eastAsia="zh-CN"/>
              </w:rPr>
            </w:pPr>
            <w:r>
              <w:rPr>
                <w:rFonts w:hint="eastAsia" w:ascii="仿宋_GB2312" w:hAnsi="仿宋_GB2312" w:eastAsia="仿宋_GB2312" w:cs="仿宋_GB2312"/>
                <w:i w:val="0"/>
                <w:iCs w:val="0"/>
                <w:color w:val="000000"/>
                <w:sz w:val="18"/>
                <w:szCs w:val="18"/>
                <w:highlight w:val="none"/>
                <w:u w:val="none"/>
                <w:lang w:val="en-US" w:eastAsia="zh-CN"/>
              </w:rPr>
              <w:t>100%</w:t>
            </w:r>
          </w:p>
        </w:tc>
        <w:tc>
          <w:tcPr>
            <w:tcW w:w="29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highlight w:val="none"/>
                <w:u w:val="none"/>
                <w:lang w:val="en-US" w:eastAsia="zh-CN"/>
              </w:rPr>
            </w:pPr>
            <w:r>
              <w:rPr>
                <w:rFonts w:hint="eastAsia" w:ascii="仿宋_GB2312" w:hAnsi="仿宋_GB2312" w:eastAsia="仿宋_GB2312" w:cs="仿宋_GB2312"/>
                <w:i w:val="0"/>
                <w:iCs w:val="0"/>
                <w:color w:val="000000"/>
                <w:sz w:val="18"/>
                <w:szCs w:val="18"/>
                <w:highlight w:val="none"/>
                <w:u w:val="none"/>
                <w:lang w:val="en-US" w:eastAsia="zh-CN"/>
              </w:rPr>
              <w:t>100%</w:t>
            </w:r>
          </w:p>
        </w:tc>
        <w:tc>
          <w:tcPr>
            <w:tcW w:w="26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lang w:val="en-US" w:eastAsia="zh-CN"/>
              </w:rPr>
            </w:pPr>
            <w:r>
              <w:rPr>
                <w:rFonts w:hint="eastAsia" w:ascii="仿宋_GB2312" w:hAnsi="仿宋_GB2312" w:eastAsia="仿宋_GB2312" w:cs="仿宋_GB2312"/>
                <w:i w:val="0"/>
                <w:iCs w:val="0"/>
                <w:color w:val="000000"/>
                <w:sz w:val="18"/>
                <w:szCs w:val="18"/>
                <w:highlight w:val="none"/>
                <w:u w:val="none"/>
                <w:lang w:val="en-US" w:eastAsia="zh-CN"/>
              </w:rPr>
              <w:t>5</w:t>
            </w:r>
          </w:p>
        </w:tc>
        <w:tc>
          <w:tcPr>
            <w:tcW w:w="45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b/>
                <w:bCs/>
                <w:i w:val="0"/>
                <w:iCs w:val="0"/>
                <w:color w:val="000000"/>
                <w:sz w:val="18"/>
                <w:szCs w:val="18"/>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239"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i w:val="0"/>
                <w:iCs w:val="0"/>
                <w:color w:val="000000"/>
                <w:sz w:val="18"/>
                <w:szCs w:val="18"/>
                <w:highlight w:val="none"/>
                <w:u w:val="none"/>
              </w:rPr>
            </w:pPr>
          </w:p>
        </w:tc>
        <w:tc>
          <w:tcPr>
            <w:tcW w:w="246" w:type="pct"/>
            <w:vMerge w:val="restart"/>
            <w:tcBorders>
              <w:top w:val="single" w:color="000000" w:sz="4" w:space="0"/>
              <w:left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highlight w:val="none"/>
                <w:u w:val="none"/>
                <w:lang w:val="en-US" w:eastAsia="zh-CN"/>
              </w:rPr>
            </w:pPr>
            <w:r>
              <w:rPr>
                <w:rFonts w:hint="eastAsia" w:ascii="仿宋_GB2312" w:hAnsi="仿宋_GB2312" w:eastAsia="仿宋_GB2312" w:cs="仿宋_GB2312"/>
                <w:i w:val="0"/>
                <w:iCs w:val="0"/>
                <w:color w:val="000000"/>
                <w:sz w:val="18"/>
                <w:szCs w:val="18"/>
                <w:highlight w:val="none"/>
                <w:u w:val="none"/>
                <w:lang w:val="en-US" w:eastAsia="zh-CN"/>
              </w:rPr>
              <w:t>成本指标</w:t>
            </w:r>
          </w:p>
        </w:tc>
        <w:tc>
          <w:tcPr>
            <w:tcW w:w="356" w:type="pct"/>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highlight w:val="none"/>
                <w:u w:val="none"/>
                <w:lang w:val="en-US" w:eastAsia="zh-CN" w:bidi="ar"/>
              </w:rPr>
            </w:pPr>
            <w:r>
              <w:rPr>
                <w:rFonts w:hint="eastAsia" w:ascii="仿宋_GB2312" w:hAnsi="仿宋_GB2312" w:eastAsia="仿宋_GB2312" w:cs="仿宋_GB2312"/>
                <w:i w:val="0"/>
                <w:iCs w:val="0"/>
                <w:color w:val="000000"/>
                <w:kern w:val="0"/>
                <w:sz w:val="18"/>
                <w:szCs w:val="18"/>
                <w:highlight w:val="none"/>
                <w:u w:val="none"/>
                <w:lang w:val="en-US" w:eastAsia="zh-CN" w:bidi="ar"/>
              </w:rPr>
              <w:t>经济成本指标</w:t>
            </w:r>
          </w:p>
        </w:tc>
        <w:tc>
          <w:tcPr>
            <w:tcW w:w="867"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default" w:ascii="仿宋_GB2312" w:hAnsi="仿宋_GB2312" w:eastAsia="仿宋_GB2312" w:cs="仿宋_GB2312"/>
                <w:i w:val="0"/>
                <w:iCs w:val="0"/>
                <w:color w:val="000000"/>
                <w:sz w:val="18"/>
                <w:szCs w:val="18"/>
                <w:highlight w:val="none"/>
                <w:u w:val="none"/>
                <w:lang w:val="en-US" w:eastAsia="zh-CN"/>
              </w:rPr>
            </w:pPr>
            <w:r>
              <w:rPr>
                <w:rFonts w:hint="eastAsia" w:ascii="仿宋_GB2312" w:hAnsi="仿宋_GB2312" w:eastAsia="仿宋_GB2312" w:cs="仿宋_GB2312"/>
                <w:i w:val="0"/>
                <w:iCs w:val="0"/>
                <w:color w:val="000000"/>
                <w:sz w:val="18"/>
                <w:szCs w:val="18"/>
                <w:highlight w:val="none"/>
                <w:u w:val="none"/>
                <w:lang w:val="en-US" w:eastAsia="zh-CN"/>
              </w:rPr>
              <w:t>燃气管道改造成本</w:t>
            </w:r>
          </w:p>
        </w:tc>
        <w:tc>
          <w:tcPr>
            <w:tcW w:w="37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highlight w:val="none"/>
                <w:u w:val="none"/>
                <w:lang w:val="en-US" w:eastAsia="zh-CN"/>
              </w:rPr>
            </w:pPr>
            <w:r>
              <w:rPr>
                <w:rFonts w:hint="eastAsia" w:ascii="仿宋_GB2312" w:hAnsi="仿宋_GB2312" w:eastAsia="仿宋_GB2312" w:cs="仿宋_GB2312"/>
                <w:i w:val="0"/>
                <w:iCs w:val="0"/>
                <w:color w:val="000000"/>
                <w:sz w:val="18"/>
                <w:szCs w:val="18"/>
                <w:highlight w:val="none"/>
                <w:u w:val="none"/>
                <w:lang w:val="en-US" w:eastAsia="zh-CN"/>
              </w:rPr>
              <w:t>≤520万元</w:t>
            </w:r>
          </w:p>
        </w:tc>
        <w:tc>
          <w:tcPr>
            <w:tcW w:w="396" w:type="pct"/>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lang w:val="en-US" w:eastAsia="zh-CN"/>
              </w:rPr>
            </w:pPr>
            <w:r>
              <w:rPr>
                <w:rFonts w:hint="eastAsia" w:ascii="仿宋_GB2312" w:hAnsi="仿宋_GB2312" w:eastAsia="仿宋_GB2312" w:cs="仿宋_GB2312"/>
                <w:i w:val="0"/>
                <w:iCs w:val="0"/>
                <w:color w:val="000000"/>
                <w:sz w:val="18"/>
                <w:szCs w:val="18"/>
                <w:highlight w:val="none"/>
                <w:u w:val="none"/>
                <w:lang w:val="en-US" w:eastAsia="zh-CN"/>
              </w:rPr>
              <w:t>行业标准</w:t>
            </w:r>
          </w:p>
        </w:tc>
        <w:tc>
          <w:tcPr>
            <w:tcW w:w="261"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lang w:val="en-US" w:eastAsia="zh-CN"/>
              </w:rPr>
            </w:pPr>
            <w:r>
              <w:rPr>
                <w:rFonts w:hint="eastAsia" w:ascii="仿宋_GB2312" w:hAnsi="仿宋_GB2312" w:eastAsia="仿宋_GB2312" w:cs="仿宋_GB2312"/>
                <w:i w:val="0"/>
                <w:iCs w:val="0"/>
                <w:color w:val="000000"/>
                <w:sz w:val="18"/>
                <w:szCs w:val="18"/>
                <w:highlight w:val="none"/>
                <w:u w:val="none"/>
                <w:lang w:val="en-US" w:eastAsia="zh-CN"/>
              </w:rPr>
              <w:t>-</w:t>
            </w:r>
          </w:p>
        </w:tc>
        <w:tc>
          <w:tcPr>
            <w:tcW w:w="270"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lang w:val="en-US" w:eastAsia="zh-CN"/>
              </w:rPr>
            </w:pPr>
            <w:r>
              <w:rPr>
                <w:rFonts w:hint="eastAsia" w:ascii="仿宋_GB2312" w:hAnsi="仿宋_GB2312" w:eastAsia="仿宋_GB2312" w:cs="仿宋_GB2312"/>
                <w:i w:val="0"/>
                <w:iCs w:val="0"/>
                <w:color w:val="000000"/>
                <w:sz w:val="18"/>
                <w:szCs w:val="18"/>
                <w:highlight w:val="none"/>
                <w:u w:val="none"/>
                <w:lang w:val="en-US" w:eastAsia="zh-CN"/>
              </w:rPr>
              <w:t>5</w:t>
            </w:r>
          </w:p>
        </w:tc>
        <w:tc>
          <w:tcPr>
            <w:tcW w:w="335" w:type="pct"/>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sz w:val="18"/>
                <w:szCs w:val="18"/>
                <w:highlight w:val="none"/>
                <w:u w:val="none"/>
                <w:lang w:val="en-US" w:eastAsia="zh-CN"/>
              </w:rPr>
              <w:t>按完成比例赋分</w:t>
            </w:r>
          </w:p>
        </w:tc>
        <w:tc>
          <w:tcPr>
            <w:tcW w:w="32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highlight w:val="none"/>
                <w:u w:val="none"/>
                <w:lang w:val="en-US" w:eastAsia="zh-CN"/>
              </w:rPr>
            </w:pPr>
            <w:r>
              <w:rPr>
                <w:rFonts w:hint="eastAsia" w:ascii="仿宋_GB2312" w:hAnsi="仿宋_GB2312" w:eastAsia="仿宋_GB2312" w:cs="仿宋_GB2312"/>
                <w:i w:val="0"/>
                <w:iCs w:val="0"/>
                <w:color w:val="000000"/>
                <w:sz w:val="18"/>
                <w:szCs w:val="18"/>
                <w:highlight w:val="none"/>
                <w:u w:val="none"/>
                <w:lang w:val="en-US" w:eastAsia="zh-CN"/>
              </w:rPr>
              <w:t>支付凭证</w:t>
            </w:r>
          </w:p>
        </w:tc>
        <w:tc>
          <w:tcPr>
            <w:tcW w:w="31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highlight w:val="none"/>
                <w:u w:val="none"/>
                <w:lang w:val="en-US" w:eastAsia="zh-CN"/>
              </w:rPr>
            </w:pPr>
            <w:r>
              <w:rPr>
                <w:rFonts w:hint="eastAsia" w:ascii="仿宋_GB2312" w:hAnsi="仿宋_GB2312" w:eastAsia="仿宋_GB2312" w:cs="仿宋_GB2312"/>
                <w:i w:val="0"/>
                <w:iCs w:val="0"/>
                <w:color w:val="000000"/>
                <w:sz w:val="18"/>
                <w:szCs w:val="18"/>
                <w:highlight w:val="none"/>
                <w:u w:val="none"/>
                <w:lang w:val="en-US" w:eastAsia="zh-CN"/>
              </w:rPr>
              <w:t>520万元</w:t>
            </w:r>
          </w:p>
        </w:tc>
        <w:tc>
          <w:tcPr>
            <w:tcW w:w="29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sz w:val="18"/>
                <w:szCs w:val="18"/>
                <w:highlight w:val="none"/>
                <w:u w:val="none"/>
                <w:lang w:val="en-US" w:eastAsia="zh-CN"/>
              </w:rPr>
              <w:t>100%</w:t>
            </w:r>
          </w:p>
        </w:tc>
        <w:tc>
          <w:tcPr>
            <w:tcW w:w="26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lang w:val="en-US" w:eastAsia="zh-CN"/>
              </w:rPr>
            </w:pPr>
            <w:r>
              <w:rPr>
                <w:rFonts w:hint="eastAsia" w:ascii="仿宋_GB2312" w:hAnsi="仿宋_GB2312" w:eastAsia="仿宋_GB2312" w:cs="仿宋_GB2312"/>
                <w:i w:val="0"/>
                <w:iCs w:val="0"/>
                <w:color w:val="000000"/>
                <w:sz w:val="18"/>
                <w:szCs w:val="18"/>
                <w:highlight w:val="none"/>
                <w:u w:val="none"/>
                <w:lang w:val="en-US" w:eastAsia="zh-CN"/>
              </w:rPr>
              <w:t>5</w:t>
            </w:r>
          </w:p>
        </w:tc>
        <w:tc>
          <w:tcPr>
            <w:tcW w:w="45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239"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i w:val="0"/>
                <w:iCs w:val="0"/>
                <w:color w:val="000000"/>
                <w:sz w:val="18"/>
                <w:szCs w:val="18"/>
                <w:highlight w:val="none"/>
                <w:u w:val="none"/>
              </w:rPr>
            </w:pPr>
          </w:p>
        </w:tc>
        <w:tc>
          <w:tcPr>
            <w:tcW w:w="246" w:type="pct"/>
            <w:vMerge w:val="continue"/>
            <w:tcBorders>
              <w:left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lang w:val="en-US" w:eastAsia="zh-CN"/>
              </w:rPr>
            </w:pPr>
          </w:p>
        </w:tc>
        <w:tc>
          <w:tcPr>
            <w:tcW w:w="356" w:type="pct"/>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highlight w:val="none"/>
                <w:u w:val="none"/>
                <w:lang w:val="en-US" w:eastAsia="zh-CN" w:bidi="ar"/>
              </w:rPr>
            </w:pPr>
            <w:r>
              <w:rPr>
                <w:rFonts w:hint="eastAsia" w:ascii="仿宋_GB2312" w:hAnsi="仿宋_GB2312" w:eastAsia="仿宋_GB2312" w:cs="仿宋_GB2312"/>
                <w:i w:val="0"/>
                <w:iCs w:val="0"/>
                <w:color w:val="000000"/>
                <w:kern w:val="0"/>
                <w:sz w:val="18"/>
                <w:szCs w:val="18"/>
                <w:highlight w:val="none"/>
                <w:u w:val="none"/>
                <w:lang w:val="en-US" w:eastAsia="zh-CN" w:bidi="ar"/>
              </w:rPr>
              <w:t>经济成本指标</w:t>
            </w:r>
          </w:p>
        </w:tc>
        <w:tc>
          <w:tcPr>
            <w:tcW w:w="867"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default" w:ascii="仿宋_GB2312" w:hAnsi="仿宋_GB2312" w:eastAsia="仿宋_GB2312" w:cs="仿宋_GB2312"/>
                <w:i w:val="0"/>
                <w:iCs w:val="0"/>
                <w:color w:val="000000"/>
                <w:sz w:val="18"/>
                <w:szCs w:val="18"/>
                <w:highlight w:val="none"/>
                <w:u w:val="none"/>
                <w:lang w:val="en-US" w:eastAsia="zh-CN"/>
              </w:rPr>
            </w:pPr>
            <w:r>
              <w:rPr>
                <w:rFonts w:hint="eastAsia" w:ascii="仿宋_GB2312" w:hAnsi="仿宋_GB2312" w:eastAsia="仿宋_GB2312" w:cs="仿宋_GB2312"/>
                <w:i w:val="0"/>
                <w:iCs w:val="0"/>
                <w:color w:val="000000"/>
                <w:sz w:val="18"/>
                <w:szCs w:val="18"/>
                <w:highlight w:val="none"/>
                <w:u w:val="none"/>
                <w:lang w:val="en-US" w:eastAsia="zh-CN"/>
              </w:rPr>
              <w:t>供水管网改造成本</w:t>
            </w:r>
          </w:p>
        </w:tc>
        <w:tc>
          <w:tcPr>
            <w:tcW w:w="37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highlight w:val="none"/>
                <w:u w:val="none"/>
                <w:lang w:val="en-US" w:eastAsia="zh-CN"/>
              </w:rPr>
            </w:pPr>
            <w:r>
              <w:rPr>
                <w:rFonts w:hint="eastAsia" w:ascii="仿宋_GB2312" w:hAnsi="仿宋_GB2312" w:eastAsia="仿宋_GB2312" w:cs="仿宋_GB2312"/>
                <w:i w:val="0"/>
                <w:iCs w:val="0"/>
                <w:color w:val="000000"/>
                <w:sz w:val="18"/>
                <w:szCs w:val="18"/>
                <w:highlight w:val="none"/>
                <w:u w:val="none"/>
                <w:lang w:val="en-US" w:eastAsia="zh-CN"/>
              </w:rPr>
              <w:t>≤300万元</w:t>
            </w:r>
          </w:p>
        </w:tc>
        <w:tc>
          <w:tcPr>
            <w:tcW w:w="396" w:type="pct"/>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lang w:val="en-US" w:eastAsia="zh-CN"/>
              </w:rPr>
            </w:pPr>
            <w:r>
              <w:rPr>
                <w:rFonts w:hint="eastAsia" w:ascii="仿宋_GB2312" w:hAnsi="仿宋_GB2312" w:eastAsia="仿宋_GB2312" w:cs="仿宋_GB2312"/>
                <w:i w:val="0"/>
                <w:iCs w:val="0"/>
                <w:color w:val="000000"/>
                <w:sz w:val="18"/>
                <w:szCs w:val="18"/>
                <w:highlight w:val="none"/>
                <w:u w:val="none"/>
                <w:lang w:val="en-US" w:eastAsia="zh-CN"/>
              </w:rPr>
              <w:t>行业标准</w:t>
            </w:r>
          </w:p>
        </w:tc>
        <w:tc>
          <w:tcPr>
            <w:tcW w:w="261"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lang w:val="en-US" w:eastAsia="zh-CN"/>
              </w:rPr>
            </w:pPr>
            <w:r>
              <w:rPr>
                <w:rFonts w:hint="eastAsia" w:ascii="仿宋_GB2312" w:hAnsi="仿宋_GB2312" w:eastAsia="仿宋_GB2312" w:cs="仿宋_GB2312"/>
                <w:i w:val="0"/>
                <w:iCs w:val="0"/>
                <w:color w:val="000000"/>
                <w:sz w:val="18"/>
                <w:szCs w:val="18"/>
                <w:highlight w:val="none"/>
                <w:u w:val="none"/>
                <w:lang w:val="en-US" w:eastAsia="zh-CN"/>
              </w:rPr>
              <w:t>-</w:t>
            </w:r>
          </w:p>
        </w:tc>
        <w:tc>
          <w:tcPr>
            <w:tcW w:w="270"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lang w:val="en-US" w:eastAsia="zh-CN"/>
              </w:rPr>
            </w:pPr>
            <w:r>
              <w:rPr>
                <w:rFonts w:hint="eastAsia" w:ascii="仿宋_GB2312" w:hAnsi="仿宋_GB2312" w:eastAsia="仿宋_GB2312" w:cs="仿宋_GB2312"/>
                <w:i w:val="0"/>
                <w:iCs w:val="0"/>
                <w:color w:val="000000"/>
                <w:sz w:val="18"/>
                <w:szCs w:val="18"/>
                <w:highlight w:val="none"/>
                <w:u w:val="none"/>
                <w:lang w:val="en-US" w:eastAsia="zh-CN"/>
              </w:rPr>
              <w:t>5</w:t>
            </w:r>
          </w:p>
        </w:tc>
        <w:tc>
          <w:tcPr>
            <w:tcW w:w="335" w:type="pct"/>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sz w:val="18"/>
                <w:szCs w:val="18"/>
                <w:highlight w:val="none"/>
                <w:u w:val="none"/>
                <w:lang w:val="en-US" w:eastAsia="zh-CN"/>
              </w:rPr>
              <w:t>按完成比例赋分</w:t>
            </w:r>
          </w:p>
        </w:tc>
        <w:tc>
          <w:tcPr>
            <w:tcW w:w="32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sz w:val="18"/>
                <w:szCs w:val="18"/>
                <w:highlight w:val="none"/>
                <w:u w:val="none"/>
                <w:lang w:val="en-US" w:eastAsia="zh-CN"/>
              </w:rPr>
              <w:t>支付凭证</w:t>
            </w:r>
          </w:p>
        </w:tc>
        <w:tc>
          <w:tcPr>
            <w:tcW w:w="31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highlight w:val="none"/>
                <w:u w:val="none"/>
                <w:lang w:val="en-US" w:eastAsia="zh-CN"/>
              </w:rPr>
            </w:pPr>
            <w:r>
              <w:rPr>
                <w:rFonts w:hint="eastAsia" w:ascii="仿宋_GB2312" w:hAnsi="仿宋_GB2312" w:eastAsia="仿宋_GB2312" w:cs="仿宋_GB2312"/>
                <w:i w:val="0"/>
                <w:iCs w:val="0"/>
                <w:color w:val="000000"/>
                <w:sz w:val="18"/>
                <w:szCs w:val="18"/>
                <w:highlight w:val="none"/>
                <w:u w:val="none"/>
                <w:lang w:val="en-US" w:eastAsia="zh-CN"/>
              </w:rPr>
              <w:t>300万元</w:t>
            </w:r>
          </w:p>
        </w:tc>
        <w:tc>
          <w:tcPr>
            <w:tcW w:w="29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sz w:val="18"/>
                <w:szCs w:val="18"/>
                <w:highlight w:val="none"/>
                <w:u w:val="none"/>
                <w:lang w:val="en-US" w:eastAsia="zh-CN"/>
              </w:rPr>
              <w:t>100%</w:t>
            </w:r>
          </w:p>
        </w:tc>
        <w:tc>
          <w:tcPr>
            <w:tcW w:w="26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lang w:val="en-US" w:eastAsia="zh-CN"/>
              </w:rPr>
            </w:pPr>
            <w:r>
              <w:rPr>
                <w:rFonts w:hint="eastAsia" w:ascii="仿宋_GB2312" w:hAnsi="仿宋_GB2312" w:eastAsia="仿宋_GB2312" w:cs="仿宋_GB2312"/>
                <w:i w:val="0"/>
                <w:iCs w:val="0"/>
                <w:color w:val="000000"/>
                <w:sz w:val="18"/>
                <w:szCs w:val="18"/>
                <w:highlight w:val="none"/>
                <w:u w:val="none"/>
                <w:lang w:val="en-US" w:eastAsia="zh-CN"/>
              </w:rPr>
              <w:t>5</w:t>
            </w:r>
          </w:p>
        </w:tc>
        <w:tc>
          <w:tcPr>
            <w:tcW w:w="45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239"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i w:val="0"/>
                <w:iCs w:val="0"/>
                <w:color w:val="000000"/>
                <w:sz w:val="18"/>
                <w:szCs w:val="18"/>
                <w:highlight w:val="none"/>
                <w:u w:val="none"/>
              </w:rPr>
            </w:pPr>
          </w:p>
        </w:tc>
        <w:tc>
          <w:tcPr>
            <w:tcW w:w="246" w:type="pct"/>
            <w:vMerge w:val="continue"/>
            <w:tcBorders>
              <w:left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highlight w:val="none"/>
                <w:u w:val="none"/>
                <w:lang w:val="en-US" w:eastAsia="zh-CN"/>
              </w:rPr>
            </w:pPr>
          </w:p>
        </w:tc>
        <w:tc>
          <w:tcPr>
            <w:tcW w:w="356" w:type="pct"/>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highlight w:val="none"/>
                <w:u w:val="none"/>
                <w:lang w:val="en-US" w:eastAsia="zh-CN" w:bidi="ar"/>
              </w:rPr>
            </w:pPr>
            <w:r>
              <w:rPr>
                <w:rFonts w:hint="eastAsia" w:ascii="仿宋_GB2312" w:hAnsi="仿宋_GB2312" w:eastAsia="仿宋_GB2312" w:cs="仿宋_GB2312"/>
                <w:i w:val="0"/>
                <w:iCs w:val="0"/>
                <w:color w:val="000000"/>
                <w:kern w:val="0"/>
                <w:sz w:val="18"/>
                <w:szCs w:val="18"/>
                <w:highlight w:val="none"/>
                <w:u w:val="none"/>
                <w:lang w:val="en-US" w:eastAsia="zh-CN" w:bidi="ar"/>
              </w:rPr>
              <w:t>经济成本指标</w:t>
            </w:r>
          </w:p>
        </w:tc>
        <w:tc>
          <w:tcPr>
            <w:tcW w:w="867"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sz w:val="18"/>
                <w:szCs w:val="18"/>
                <w:highlight w:val="none"/>
                <w:u w:val="none"/>
                <w:lang w:val="en-US" w:eastAsia="zh-CN"/>
              </w:rPr>
              <w:t>排水管网改造成本</w:t>
            </w:r>
          </w:p>
        </w:tc>
        <w:tc>
          <w:tcPr>
            <w:tcW w:w="37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sz w:val="18"/>
                <w:szCs w:val="18"/>
                <w:highlight w:val="none"/>
                <w:u w:val="none"/>
                <w:lang w:val="en-US" w:eastAsia="zh-CN"/>
              </w:rPr>
              <w:t>≤300万元</w:t>
            </w:r>
          </w:p>
        </w:tc>
        <w:tc>
          <w:tcPr>
            <w:tcW w:w="396" w:type="pct"/>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sz w:val="18"/>
                <w:szCs w:val="18"/>
                <w:highlight w:val="none"/>
                <w:u w:val="none"/>
                <w:lang w:val="en-US" w:eastAsia="zh-CN"/>
              </w:rPr>
              <w:t>行业标准</w:t>
            </w:r>
          </w:p>
        </w:tc>
        <w:tc>
          <w:tcPr>
            <w:tcW w:w="261"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sz w:val="18"/>
                <w:szCs w:val="18"/>
                <w:highlight w:val="none"/>
                <w:u w:val="none"/>
                <w:lang w:val="en-US" w:eastAsia="zh-CN"/>
              </w:rPr>
              <w:t>-</w:t>
            </w:r>
          </w:p>
        </w:tc>
        <w:tc>
          <w:tcPr>
            <w:tcW w:w="270"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sz w:val="18"/>
                <w:szCs w:val="18"/>
                <w:highlight w:val="none"/>
                <w:u w:val="none"/>
                <w:lang w:val="en-US" w:eastAsia="zh-CN"/>
              </w:rPr>
              <w:t>5</w:t>
            </w:r>
          </w:p>
        </w:tc>
        <w:tc>
          <w:tcPr>
            <w:tcW w:w="335" w:type="pct"/>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sz w:val="18"/>
                <w:szCs w:val="18"/>
                <w:highlight w:val="none"/>
                <w:u w:val="none"/>
                <w:lang w:val="en-US" w:eastAsia="zh-CN"/>
              </w:rPr>
              <w:t>按完成比例赋分</w:t>
            </w:r>
          </w:p>
        </w:tc>
        <w:tc>
          <w:tcPr>
            <w:tcW w:w="32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sz w:val="18"/>
                <w:szCs w:val="18"/>
                <w:highlight w:val="none"/>
                <w:u w:val="none"/>
                <w:lang w:val="en-US" w:eastAsia="zh-CN"/>
              </w:rPr>
              <w:t>支付凭证</w:t>
            </w:r>
          </w:p>
        </w:tc>
        <w:tc>
          <w:tcPr>
            <w:tcW w:w="31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sz w:val="18"/>
                <w:szCs w:val="18"/>
                <w:highlight w:val="none"/>
                <w:u w:val="none"/>
                <w:lang w:val="en-US" w:eastAsia="zh-CN"/>
              </w:rPr>
              <w:t>300万元</w:t>
            </w:r>
          </w:p>
        </w:tc>
        <w:tc>
          <w:tcPr>
            <w:tcW w:w="29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sz w:val="18"/>
                <w:szCs w:val="18"/>
                <w:highlight w:val="none"/>
                <w:u w:val="none"/>
                <w:lang w:val="en-US" w:eastAsia="zh-CN"/>
              </w:rPr>
              <w:t>100%</w:t>
            </w:r>
          </w:p>
        </w:tc>
        <w:tc>
          <w:tcPr>
            <w:tcW w:w="26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sz w:val="18"/>
                <w:szCs w:val="18"/>
                <w:highlight w:val="none"/>
                <w:u w:val="none"/>
                <w:lang w:val="en-US" w:eastAsia="zh-CN"/>
              </w:rPr>
              <w:t>5</w:t>
            </w:r>
          </w:p>
        </w:tc>
        <w:tc>
          <w:tcPr>
            <w:tcW w:w="45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9" w:hRule="atLeast"/>
        </w:trPr>
        <w:tc>
          <w:tcPr>
            <w:tcW w:w="239"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i w:val="0"/>
                <w:iCs w:val="0"/>
                <w:color w:val="000000"/>
                <w:sz w:val="18"/>
                <w:szCs w:val="18"/>
                <w:highlight w:val="none"/>
                <w:u w:val="none"/>
              </w:rPr>
            </w:pPr>
          </w:p>
        </w:tc>
        <w:tc>
          <w:tcPr>
            <w:tcW w:w="246" w:type="pct"/>
            <w:vMerge w:val="continue"/>
            <w:tcBorders>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lang w:val="en-US" w:eastAsia="zh-CN"/>
              </w:rPr>
            </w:pPr>
          </w:p>
        </w:tc>
        <w:tc>
          <w:tcPr>
            <w:tcW w:w="356" w:type="pct"/>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highlight w:val="none"/>
                <w:u w:val="none"/>
                <w:lang w:val="en-US" w:eastAsia="zh-CN" w:bidi="ar"/>
              </w:rPr>
            </w:pPr>
            <w:r>
              <w:rPr>
                <w:rFonts w:hint="eastAsia" w:ascii="仿宋_GB2312" w:hAnsi="仿宋_GB2312" w:eastAsia="仿宋_GB2312" w:cs="仿宋_GB2312"/>
                <w:i w:val="0"/>
                <w:iCs w:val="0"/>
                <w:color w:val="000000"/>
                <w:kern w:val="0"/>
                <w:sz w:val="18"/>
                <w:szCs w:val="18"/>
                <w:highlight w:val="none"/>
                <w:u w:val="none"/>
                <w:lang w:val="en-US" w:eastAsia="zh-CN" w:bidi="ar"/>
              </w:rPr>
              <w:t>经济成本指标</w:t>
            </w:r>
          </w:p>
        </w:tc>
        <w:tc>
          <w:tcPr>
            <w:tcW w:w="867"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default" w:ascii="仿宋_GB2312" w:hAnsi="仿宋_GB2312" w:eastAsia="仿宋_GB2312" w:cs="仿宋_GB2312"/>
                <w:i w:val="0"/>
                <w:iCs w:val="0"/>
                <w:color w:val="000000"/>
                <w:sz w:val="18"/>
                <w:szCs w:val="18"/>
                <w:highlight w:val="none"/>
                <w:u w:val="none"/>
                <w:lang w:val="en-US" w:eastAsia="zh-CN"/>
              </w:rPr>
            </w:pPr>
            <w:r>
              <w:rPr>
                <w:rFonts w:hint="eastAsia" w:ascii="仿宋_GB2312" w:hAnsi="仿宋_GB2312" w:eastAsia="仿宋_GB2312" w:cs="仿宋_GB2312"/>
                <w:i w:val="0"/>
                <w:iCs w:val="0"/>
                <w:color w:val="000000"/>
                <w:sz w:val="18"/>
                <w:szCs w:val="18"/>
                <w:highlight w:val="none"/>
                <w:u w:val="none"/>
                <w:lang w:val="en-US" w:eastAsia="zh-CN"/>
              </w:rPr>
              <w:t>燃气软管改造成本</w:t>
            </w:r>
          </w:p>
        </w:tc>
        <w:tc>
          <w:tcPr>
            <w:tcW w:w="37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sz w:val="18"/>
                <w:szCs w:val="18"/>
                <w:highlight w:val="none"/>
                <w:u w:val="none"/>
                <w:lang w:val="en-US" w:eastAsia="zh-CN"/>
              </w:rPr>
              <w:t>≤80万元</w:t>
            </w:r>
          </w:p>
        </w:tc>
        <w:tc>
          <w:tcPr>
            <w:tcW w:w="396" w:type="pct"/>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lang w:val="en-US" w:eastAsia="zh-CN"/>
              </w:rPr>
            </w:pPr>
            <w:r>
              <w:rPr>
                <w:rFonts w:hint="eastAsia" w:ascii="仿宋_GB2312" w:hAnsi="仿宋_GB2312" w:eastAsia="仿宋_GB2312" w:cs="仿宋_GB2312"/>
                <w:i w:val="0"/>
                <w:iCs w:val="0"/>
                <w:color w:val="000000"/>
                <w:sz w:val="18"/>
                <w:szCs w:val="18"/>
                <w:highlight w:val="none"/>
                <w:u w:val="none"/>
                <w:lang w:val="en-US" w:eastAsia="zh-CN"/>
              </w:rPr>
              <w:t>行业标准</w:t>
            </w:r>
          </w:p>
        </w:tc>
        <w:tc>
          <w:tcPr>
            <w:tcW w:w="261"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sz w:val="18"/>
                <w:szCs w:val="18"/>
                <w:highlight w:val="none"/>
                <w:u w:val="none"/>
                <w:lang w:val="en-US" w:eastAsia="zh-CN"/>
              </w:rPr>
              <w:t>-</w:t>
            </w:r>
          </w:p>
        </w:tc>
        <w:tc>
          <w:tcPr>
            <w:tcW w:w="270"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sz w:val="18"/>
                <w:szCs w:val="18"/>
                <w:highlight w:val="none"/>
                <w:u w:val="none"/>
                <w:lang w:val="en-US" w:eastAsia="zh-CN"/>
              </w:rPr>
              <w:t>5</w:t>
            </w:r>
          </w:p>
        </w:tc>
        <w:tc>
          <w:tcPr>
            <w:tcW w:w="335" w:type="pct"/>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sz w:val="18"/>
                <w:szCs w:val="18"/>
                <w:highlight w:val="none"/>
                <w:u w:val="none"/>
                <w:lang w:val="en-US" w:eastAsia="zh-CN"/>
              </w:rPr>
              <w:t>按完成比例赋分</w:t>
            </w:r>
          </w:p>
        </w:tc>
        <w:tc>
          <w:tcPr>
            <w:tcW w:w="32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sz w:val="18"/>
                <w:szCs w:val="18"/>
                <w:highlight w:val="none"/>
                <w:u w:val="none"/>
                <w:lang w:val="en-US" w:eastAsia="zh-CN"/>
              </w:rPr>
              <w:t>支付凭证</w:t>
            </w:r>
          </w:p>
        </w:tc>
        <w:tc>
          <w:tcPr>
            <w:tcW w:w="31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sz w:val="18"/>
                <w:szCs w:val="18"/>
                <w:highlight w:val="none"/>
                <w:u w:val="none"/>
                <w:lang w:val="en-US" w:eastAsia="zh-CN"/>
              </w:rPr>
              <w:t>80万元</w:t>
            </w:r>
          </w:p>
        </w:tc>
        <w:tc>
          <w:tcPr>
            <w:tcW w:w="29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sz w:val="18"/>
                <w:szCs w:val="18"/>
                <w:highlight w:val="none"/>
                <w:u w:val="none"/>
                <w:lang w:val="en-US" w:eastAsia="zh-CN"/>
              </w:rPr>
              <w:t>100%</w:t>
            </w:r>
          </w:p>
        </w:tc>
        <w:tc>
          <w:tcPr>
            <w:tcW w:w="26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sz w:val="18"/>
                <w:szCs w:val="18"/>
                <w:highlight w:val="none"/>
                <w:u w:val="none"/>
                <w:lang w:val="en-US" w:eastAsia="zh-CN"/>
              </w:rPr>
              <w:t>5</w:t>
            </w:r>
          </w:p>
        </w:tc>
        <w:tc>
          <w:tcPr>
            <w:tcW w:w="45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239"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i w:val="0"/>
                <w:iCs w:val="0"/>
                <w:color w:val="000000"/>
                <w:sz w:val="18"/>
                <w:szCs w:val="18"/>
                <w:highlight w:val="none"/>
                <w:u w:val="none"/>
              </w:rPr>
            </w:pPr>
          </w:p>
        </w:tc>
        <w:tc>
          <w:tcPr>
            <w:tcW w:w="246"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kern w:val="0"/>
                <w:sz w:val="18"/>
                <w:szCs w:val="18"/>
                <w:highlight w:val="none"/>
                <w:u w:val="none"/>
                <w:lang w:val="en-US" w:eastAsia="zh-CN" w:bidi="ar"/>
              </w:rPr>
              <w:t>效益指标</w:t>
            </w:r>
          </w:p>
        </w:tc>
        <w:tc>
          <w:tcPr>
            <w:tcW w:w="356" w:type="pct"/>
            <w:vMerge w:val="restart"/>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kern w:val="0"/>
                <w:sz w:val="18"/>
                <w:szCs w:val="18"/>
                <w:highlight w:val="none"/>
                <w:u w:val="none"/>
                <w:lang w:val="en-US" w:eastAsia="zh-CN" w:bidi="ar"/>
              </w:rPr>
              <w:t>社会效益指标</w:t>
            </w:r>
          </w:p>
        </w:tc>
        <w:tc>
          <w:tcPr>
            <w:tcW w:w="867"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highlight w:val="none"/>
                <w:u w:val="none"/>
                <w:lang w:val="en-US" w:eastAsia="zh-CN"/>
              </w:rPr>
            </w:pPr>
            <w:r>
              <w:rPr>
                <w:rFonts w:hint="eastAsia" w:ascii="仿宋_GB2312" w:hAnsi="仿宋_GB2312" w:eastAsia="仿宋_GB2312" w:cs="仿宋_GB2312"/>
                <w:i w:val="0"/>
                <w:iCs w:val="0"/>
                <w:color w:val="000000"/>
                <w:sz w:val="18"/>
                <w:szCs w:val="18"/>
                <w:highlight w:val="none"/>
                <w:u w:val="none"/>
                <w:lang w:val="en-US" w:eastAsia="zh-CN"/>
              </w:rPr>
              <w:t>保障全县燃气供应正常运行</w:t>
            </w:r>
          </w:p>
        </w:tc>
        <w:tc>
          <w:tcPr>
            <w:tcW w:w="37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highlight w:val="none"/>
                <w:u w:val="none"/>
                <w:lang w:val="en-US" w:eastAsia="zh-CN"/>
              </w:rPr>
            </w:pPr>
            <w:r>
              <w:rPr>
                <w:rFonts w:hint="eastAsia" w:ascii="仿宋_GB2312" w:hAnsi="仿宋_GB2312" w:eastAsia="仿宋_GB2312" w:cs="仿宋_GB2312"/>
                <w:i w:val="0"/>
                <w:iCs w:val="0"/>
                <w:color w:val="000000"/>
                <w:sz w:val="18"/>
                <w:szCs w:val="18"/>
                <w:highlight w:val="none"/>
                <w:u w:val="none"/>
                <w:lang w:val="en-US" w:eastAsia="zh-CN"/>
              </w:rPr>
              <w:t>有效保障</w:t>
            </w:r>
          </w:p>
        </w:tc>
        <w:tc>
          <w:tcPr>
            <w:tcW w:w="396"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sz w:val="18"/>
                <w:szCs w:val="18"/>
                <w:highlight w:val="none"/>
                <w:u w:val="none"/>
                <w:lang w:val="en-US" w:eastAsia="zh-CN"/>
              </w:rPr>
              <w:t>行业标准</w:t>
            </w:r>
          </w:p>
        </w:tc>
        <w:tc>
          <w:tcPr>
            <w:tcW w:w="261"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lang w:val="en-US" w:eastAsia="zh-CN"/>
              </w:rPr>
            </w:pPr>
            <w:r>
              <w:rPr>
                <w:rFonts w:hint="eastAsia" w:ascii="仿宋_GB2312" w:hAnsi="仿宋_GB2312" w:eastAsia="仿宋_GB2312" w:cs="仿宋_GB2312"/>
                <w:i w:val="0"/>
                <w:iCs w:val="0"/>
                <w:color w:val="000000"/>
                <w:sz w:val="18"/>
                <w:szCs w:val="18"/>
                <w:highlight w:val="none"/>
                <w:u w:val="none"/>
                <w:lang w:val="en-US" w:eastAsia="zh-CN"/>
              </w:rPr>
              <w:t>-</w:t>
            </w:r>
          </w:p>
        </w:tc>
        <w:tc>
          <w:tcPr>
            <w:tcW w:w="270"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highlight w:val="none"/>
                <w:u w:val="none"/>
                <w:lang w:val="en-US" w:eastAsia="zh-CN"/>
              </w:rPr>
            </w:pPr>
            <w:r>
              <w:rPr>
                <w:rFonts w:hint="eastAsia" w:ascii="仿宋_GB2312" w:hAnsi="仿宋_GB2312" w:eastAsia="仿宋_GB2312" w:cs="仿宋_GB2312"/>
                <w:i w:val="0"/>
                <w:iCs w:val="0"/>
                <w:color w:val="000000"/>
                <w:sz w:val="18"/>
                <w:szCs w:val="18"/>
                <w:highlight w:val="none"/>
                <w:u w:val="none"/>
                <w:lang w:val="en-US" w:eastAsia="zh-CN"/>
              </w:rPr>
              <w:t>10</w:t>
            </w:r>
          </w:p>
        </w:tc>
        <w:tc>
          <w:tcPr>
            <w:tcW w:w="33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sz w:val="18"/>
                <w:szCs w:val="18"/>
                <w:highlight w:val="none"/>
                <w:u w:val="none"/>
                <w:lang w:val="en-US" w:eastAsia="zh-CN"/>
              </w:rPr>
              <w:t>按完成比例赋分</w:t>
            </w:r>
          </w:p>
        </w:tc>
        <w:tc>
          <w:tcPr>
            <w:tcW w:w="32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highlight w:val="none"/>
                <w:u w:val="none"/>
                <w:lang w:val="en-US" w:eastAsia="zh-CN"/>
              </w:rPr>
            </w:pPr>
            <w:r>
              <w:rPr>
                <w:rFonts w:hint="eastAsia" w:ascii="仿宋_GB2312" w:hAnsi="仿宋_GB2312" w:eastAsia="仿宋_GB2312" w:cs="仿宋_GB2312"/>
                <w:i w:val="0"/>
                <w:iCs w:val="0"/>
                <w:color w:val="000000"/>
                <w:sz w:val="18"/>
                <w:szCs w:val="18"/>
                <w:highlight w:val="none"/>
                <w:u w:val="none"/>
                <w:lang w:val="en-US" w:eastAsia="zh-CN"/>
              </w:rPr>
              <w:t>工作总结</w:t>
            </w:r>
          </w:p>
        </w:tc>
        <w:tc>
          <w:tcPr>
            <w:tcW w:w="31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highlight w:val="none"/>
                <w:u w:val="none"/>
                <w:lang w:val="en-US" w:eastAsia="zh-CN"/>
              </w:rPr>
            </w:pPr>
            <w:r>
              <w:rPr>
                <w:rFonts w:hint="eastAsia" w:ascii="仿宋_GB2312" w:hAnsi="仿宋_GB2312" w:eastAsia="仿宋_GB2312" w:cs="仿宋_GB2312"/>
                <w:i w:val="0"/>
                <w:iCs w:val="0"/>
                <w:color w:val="000000"/>
                <w:sz w:val="18"/>
                <w:szCs w:val="18"/>
                <w:highlight w:val="none"/>
                <w:u w:val="none"/>
                <w:lang w:val="en-US" w:eastAsia="zh-CN"/>
              </w:rPr>
              <w:t>有效保障</w:t>
            </w:r>
          </w:p>
        </w:tc>
        <w:tc>
          <w:tcPr>
            <w:tcW w:w="29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sz w:val="18"/>
                <w:szCs w:val="18"/>
                <w:highlight w:val="none"/>
                <w:u w:val="none"/>
                <w:lang w:val="en-US" w:eastAsia="zh-CN"/>
              </w:rPr>
              <w:t>100%</w:t>
            </w:r>
          </w:p>
        </w:tc>
        <w:tc>
          <w:tcPr>
            <w:tcW w:w="26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highlight w:val="none"/>
                <w:u w:val="none"/>
                <w:lang w:val="en-US" w:eastAsia="zh-CN"/>
              </w:rPr>
            </w:pPr>
            <w:r>
              <w:rPr>
                <w:rFonts w:hint="eastAsia" w:ascii="仿宋_GB2312" w:hAnsi="仿宋_GB2312" w:eastAsia="仿宋_GB2312" w:cs="仿宋_GB2312"/>
                <w:i w:val="0"/>
                <w:iCs w:val="0"/>
                <w:color w:val="000000"/>
                <w:sz w:val="18"/>
                <w:szCs w:val="18"/>
                <w:highlight w:val="none"/>
                <w:u w:val="none"/>
                <w:lang w:val="en-US" w:eastAsia="zh-CN"/>
              </w:rPr>
              <w:t>10</w:t>
            </w:r>
          </w:p>
        </w:tc>
        <w:tc>
          <w:tcPr>
            <w:tcW w:w="45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239"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i w:val="0"/>
                <w:iCs w:val="0"/>
                <w:color w:val="000000"/>
                <w:sz w:val="18"/>
                <w:szCs w:val="18"/>
                <w:highlight w:val="none"/>
                <w:u w:val="none"/>
              </w:rPr>
            </w:pPr>
          </w:p>
        </w:tc>
        <w:tc>
          <w:tcPr>
            <w:tcW w:w="24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rPr>
            </w:pPr>
          </w:p>
        </w:tc>
        <w:tc>
          <w:tcPr>
            <w:tcW w:w="356" w:type="pct"/>
            <w:vMerge w:val="continue"/>
            <w:tcBorders>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highlight w:val="none"/>
                <w:u w:val="none"/>
              </w:rPr>
            </w:pPr>
          </w:p>
        </w:tc>
        <w:tc>
          <w:tcPr>
            <w:tcW w:w="867"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highlight w:val="none"/>
                <w:u w:val="none"/>
                <w:lang w:val="en-US" w:eastAsia="zh-CN"/>
              </w:rPr>
            </w:pPr>
            <w:r>
              <w:rPr>
                <w:rFonts w:hint="eastAsia" w:ascii="仿宋_GB2312" w:hAnsi="仿宋_GB2312" w:eastAsia="仿宋_GB2312" w:cs="仿宋_GB2312"/>
                <w:i w:val="0"/>
                <w:iCs w:val="0"/>
                <w:color w:val="000000"/>
                <w:sz w:val="18"/>
                <w:szCs w:val="18"/>
                <w:highlight w:val="none"/>
                <w:u w:val="none"/>
                <w:lang w:val="en-US" w:eastAsia="zh-CN"/>
              </w:rPr>
              <w:t>项目受益人数</w:t>
            </w:r>
          </w:p>
        </w:tc>
        <w:tc>
          <w:tcPr>
            <w:tcW w:w="37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highlight w:val="none"/>
                <w:u w:val="none"/>
                <w:lang w:val="en-US" w:eastAsia="zh-CN"/>
              </w:rPr>
            </w:pPr>
            <w:r>
              <w:rPr>
                <w:rFonts w:hint="eastAsia" w:ascii="仿宋_GB2312" w:hAnsi="仿宋_GB2312" w:eastAsia="仿宋_GB2312" w:cs="仿宋_GB2312"/>
                <w:i w:val="0"/>
                <w:iCs w:val="0"/>
                <w:color w:val="000000"/>
                <w:sz w:val="18"/>
                <w:szCs w:val="18"/>
                <w:highlight w:val="none"/>
                <w:u w:val="none"/>
                <w:lang w:val="en-US" w:eastAsia="zh-CN"/>
              </w:rPr>
              <w:t>≥4万人</w:t>
            </w:r>
          </w:p>
        </w:tc>
        <w:tc>
          <w:tcPr>
            <w:tcW w:w="396"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sz w:val="18"/>
                <w:szCs w:val="18"/>
                <w:highlight w:val="none"/>
                <w:u w:val="none"/>
                <w:lang w:val="en-US" w:eastAsia="zh-CN"/>
              </w:rPr>
              <w:t>行业标准</w:t>
            </w:r>
          </w:p>
        </w:tc>
        <w:tc>
          <w:tcPr>
            <w:tcW w:w="261"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lang w:val="en-US" w:eastAsia="zh-CN"/>
              </w:rPr>
            </w:pPr>
            <w:r>
              <w:rPr>
                <w:rFonts w:hint="eastAsia" w:ascii="仿宋_GB2312" w:hAnsi="仿宋_GB2312" w:eastAsia="仿宋_GB2312" w:cs="仿宋_GB2312"/>
                <w:i w:val="0"/>
                <w:iCs w:val="0"/>
                <w:color w:val="000000"/>
                <w:sz w:val="18"/>
                <w:szCs w:val="18"/>
                <w:highlight w:val="none"/>
                <w:u w:val="none"/>
                <w:lang w:val="en-US" w:eastAsia="zh-CN"/>
              </w:rPr>
              <w:t>-</w:t>
            </w:r>
          </w:p>
        </w:tc>
        <w:tc>
          <w:tcPr>
            <w:tcW w:w="270"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highlight w:val="none"/>
                <w:u w:val="none"/>
                <w:lang w:val="en-US" w:eastAsia="zh-CN"/>
              </w:rPr>
            </w:pPr>
            <w:r>
              <w:rPr>
                <w:rFonts w:hint="eastAsia" w:ascii="仿宋_GB2312" w:hAnsi="仿宋_GB2312" w:eastAsia="仿宋_GB2312" w:cs="仿宋_GB2312"/>
                <w:i w:val="0"/>
                <w:iCs w:val="0"/>
                <w:color w:val="000000"/>
                <w:sz w:val="18"/>
                <w:szCs w:val="18"/>
                <w:highlight w:val="none"/>
                <w:u w:val="none"/>
                <w:lang w:val="en-US" w:eastAsia="zh-CN"/>
              </w:rPr>
              <w:t>10</w:t>
            </w:r>
          </w:p>
        </w:tc>
        <w:tc>
          <w:tcPr>
            <w:tcW w:w="33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sz w:val="18"/>
                <w:szCs w:val="18"/>
                <w:highlight w:val="none"/>
                <w:u w:val="none"/>
                <w:lang w:val="en-US" w:eastAsia="zh-CN"/>
              </w:rPr>
              <w:t>按完成比例赋分</w:t>
            </w:r>
          </w:p>
        </w:tc>
        <w:tc>
          <w:tcPr>
            <w:tcW w:w="32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highlight w:val="none"/>
                <w:u w:val="none"/>
                <w:lang w:val="en-US" w:eastAsia="zh-CN"/>
              </w:rPr>
            </w:pPr>
            <w:r>
              <w:rPr>
                <w:rFonts w:hint="eastAsia" w:ascii="仿宋_GB2312" w:hAnsi="仿宋_GB2312" w:eastAsia="仿宋_GB2312" w:cs="仿宋_GB2312"/>
                <w:i w:val="0"/>
                <w:iCs w:val="0"/>
                <w:color w:val="000000"/>
                <w:sz w:val="18"/>
                <w:szCs w:val="18"/>
                <w:highlight w:val="none"/>
                <w:u w:val="none"/>
                <w:lang w:val="en-US" w:eastAsia="zh-CN"/>
              </w:rPr>
              <w:t>工作总结</w:t>
            </w:r>
          </w:p>
        </w:tc>
        <w:tc>
          <w:tcPr>
            <w:tcW w:w="31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highlight w:val="none"/>
                <w:u w:val="none"/>
                <w:lang w:val="en-US" w:eastAsia="zh-CN"/>
              </w:rPr>
            </w:pPr>
            <w:r>
              <w:rPr>
                <w:rFonts w:hint="eastAsia" w:ascii="仿宋_GB2312" w:hAnsi="仿宋_GB2312" w:eastAsia="仿宋_GB2312" w:cs="仿宋_GB2312"/>
                <w:i w:val="0"/>
                <w:iCs w:val="0"/>
                <w:color w:val="000000"/>
                <w:sz w:val="18"/>
                <w:szCs w:val="18"/>
                <w:highlight w:val="none"/>
                <w:u w:val="none"/>
                <w:lang w:val="en-US" w:eastAsia="zh-CN"/>
              </w:rPr>
              <w:t>4万人</w:t>
            </w:r>
          </w:p>
        </w:tc>
        <w:tc>
          <w:tcPr>
            <w:tcW w:w="29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sz w:val="18"/>
                <w:szCs w:val="18"/>
                <w:highlight w:val="none"/>
                <w:u w:val="none"/>
                <w:lang w:val="en-US" w:eastAsia="zh-CN"/>
              </w:rPr>
              <w:t>100%</w:t>
            </w:r>
          </w:p>
        </w:tc>
        <w:tc>
          <w:tcPr>
            <w:tcW w:w="26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highlight w:val="none"/>
                <w:u w:val="none"/>
                <w:lang w:val="en-US" w:eastAsia="zh-CN"/>
              </w:rPr>
            </w:pPr>
            <w:r>
              <w:rPr>
                <w:rFonts w:hint="eastAsia" w:ascii="仿宋_GB2312" w:hAnsi="仿宋_GB2312" w:eastAsia="仿宋_GB2312" w:cs="仿宋_GB2312"/>
                <w:i w:val="0"/>
                <w:iCs w:val="0"/>
                <w:color w:val="000000"/>
                <w:sz w:val="18"/>
                <w:szCs w:val="18"/>
                <w:highlight w:val="none"/>
                <w:u w:val="none"/>
                <w:lang w:val="en-US" w:eastAsia="zh-CN"/>
              </w:rPr>
              <w:t>10</w:t>
            </w:r>
          </w:p>
        </w:tc>
        <w:tc>
          <w:tcPr>
            <w:tcW w:w="45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239"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i w:val="0"/>
                <w:iCs w:val="0"/>
                <w:color w:val="000000"/>
                <w:sz w:val="18"/>
                <w:szCs w:val="18"/>
                <w:highlight w:val="none"/>
                <w:u w:val="none"/>
              </w:rPr>
            </w:pPr>
          </w:p>
        </w:tc>
        <w:tc>
          <w:tcPr>
            <w:tcW w:w="24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kern w:val="0"/>
                <w:sz w:val="18"/>
                <w:szCs w:val="18"/>
                <w:highlight w:val="none"/>
                <w:u w:val="none"/>
                <w:lang w:val="en-US" w:eastAsia="zh-CN" w:bidi="ar"/>
              </w:rPr>
              <w:t>满意度指标</w:t>
            </w:r>
          </w:p>
        </w:tc>
        <w:tc>
          <w:tcPr>
            <w:tcW w:w="35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kern w:val="0"/>
                <w:sz w:val="18"/>
                <w:szCs w:val="18"/>
                <w:highlight w:val="none"/>
                <w:u w:val="none"/>
                <w:lang w:val="en-US" w:eastAsia="zh-CN" w:bidi="ar"/>
              </w:rPr>
              <w:t>满意度指标</w:t>
            </w:r>
          </w:p>
        </w:tc>
        <w:tc>
          <w:tcPr>
            <w:tcW w:w="867"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default" w:ascii="仿宋_GB2312" w:hAnsi="仿宋_GB2312" w:eastAsia="仿宋_GB2312" w:cs="仿宋_GB2312"/>
                <w:i w:val="0"/>
                <w:iCs w:val="0"/>
                <w:color w:val="000000"/>
                <w:sz w:val="18"/>
                <w:szCs w:val="18"/>
                <w:highlight w:val="none"/>
                <w:u w:val="none"/>
                <w:lang w:val="en-US" w:eastAsia="zh-CN"/>
              </w:rPr>
            </w:pPr>
            <w:r>
              <w:rPr>
                <w:rFonts w:hint="eastAsia" w:ascii="仿宋_GB2312" w:hAnsi="仿宋_GB2312" w:eastAsia="仿宋_GB2312" w:cs="仿宋_GB2312"/>
                <w:i w:val="0"/>
                <w:iCs w:val="0"/>
                <w:color w:val="000000"/>
                <w:sz w:val="18"/>
                <w:szCs w:val="18"/>
                <w:highlight w:val="none"/>
                <w:u w:val="none"/>
                <w:lang w:val="en-US" w:eastAsia="zh-CN"/>
              </w:rPr>
              <w:t>项目实施居民满意度</w:t>
            </w:r>
          </w:p>
        </w:tc>
        <w:tc>
          <w:tcPr>
            <w:tcW w:w="37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highlight w:val="none"/>
                <w:u w:val="none"/>
                <w:lang w:val="en-US" w:eastAsia="zh-CN"/>
              </w:rPr>
            </w:pPr>
            <w:r>
              <w:rPr>
                <w:rFonts w:hint="eastAsia" w:ascii="仿宋_GB2312" w:hAnsi="仿宋_GB2312" w:eastAsia="仿宋_GB2312" w:cs="仿宋_GB2312"/>
                <w:i w:val="0"/>
                <w:iCs w:val="0"/>
                <w:color w:val="000000"/>
                <w:sz w:val="18"/>
                <w:szCs w:val="18"/>
                <w:highlight w:val="none"/>
                <w:u w:val="none"/>
                <w:lang w:val="en-US" w:eastAsia="zh-CN"/>
              </w:rPr>
              <w:t>≥95%</w:t>
            </w:r>
          </w:p>
        </w:tc>
        <w:tc>
          <w:tcPr>
            <w:tcW w:w="396"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sz w:val="18"/>
                <w:szCs w:val="18"/>
                <w:highlight w:val="none"/>
                <w:u w:val="none"/>
                <w:lang w:val="en-US" w:eastAsia="zh-CN"/>
              </w:rPr>
              <w:t>行业标准</w:t>
            </w:r>
          </w:p>
        </w:tc>
        <w:tc>
          <w:tcPr>
            <w:tcW w:w="261"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lang w:val="en-US" w:eastAsia="zh-CN"/>
              </w:rPr>
            </w:pPr>
            <w:r>
              <w:rPr>
                <w:rFonts w:hint="eastAsia" w:ascii="仿宋_GB2312" w:hAnsi="仿宋_GB2312" w:eastAsia="仿宋_GB2312" w:cs="仿宋_GB2312"/>
                <w:i w:val="0"/>
                <w:iCs w:val="0"/>
                <w:color w:val="000000"/>
                <w:sz w:val="18"/>
                <w:szCs w:val="18"/>
                <w:highlight w:val="none"/>
                <w:u w:val="none"/>
                <w:lang w:val="en-US" w:eastAsia="zh-CN"/>
              </w:rPr>
              <w:t>-</w:t>
            </w:r>
          </w:p>
        </w:tc>
        <w:tc>
          <w:tcPr>
            <w:tcW w:w="270"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highlight w:val="none"/>
                <w:u w:val="none"/>
                <w:lang w:val="en-US" w:eastAsia="zh-CN"/>
              </w:rPr>
            </w:pPr>
            <w:r>
              <w:rPr>
                <w:rFonts w:hint="eastAsia" w:ascii="仿宋_GB2312" w:hAnsi="仿宋_GB2312" w:eastAsia="仿宋_GB2312" w:cs="仿宋_GB2312"/>
                <w:i w:val="0"/>
                <w:iCs w:val="0"/>
                <w:color w:val="000000"/>
                <w:sz w:val="18"/>
                <w:szCs w:val="18"/>
                <w:highlight w:val="none"/>
                <w:u w:val="none"/>
                <w:lang w:val="en-US" w:eastAsia="zh-CN"/>
              </w:rPr>
              <w:t>10</w:t>
            </w:r>
          </w:p>
        </w:tc>
        <w:tc>
          <w:tcPr>
            <w:tcW w:w="33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sz w:val="18"/>
                <w:szCs w:val="18"/>
                <w:highlight w:val="none"/>
                <w:u w:val="none"/>
                <w:lang w:val="en-US" w:eastAsia="zh-CN"/>
              </w:rPr>
              <w:t>按完成比例赋分</w:t>
            </w:r>
          </w:p>
        </w:tc>
        <w:tc>
          <w:tcPr>
            <w:tcW w:w="32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lang w:val="en-US" w:eastAsia="zh-CN"/>
              </w:rPr>
            </w:pPr>
            <w:r>
              <w:rPr>
                <w:rFonts w:hint="eastAsia" w:ascii="仿宋_GB2312" w:hAnsi="仿宋_GB2312" w:eastAsia="仿宋_GB2312" w:cs="仿宋_GB2312"/>
                <w:i w:val="0"/>
                <w:iCs w:val="0"/>
                <w:color w:val="000000"/>
                <w:sz w:val="18"/>
                <w:szCs w:val="18"/>
                <w:highlight w:val="none"/>
                <w:u w:val="none"/>
                <w:lang w:val="en-US" w:eastAsia="zh-CN"/>
              </w:rPr>
              <w:t>调查表</w:t>
            </w:r>
          </w:p>
        </w:tc>
        <w:tc>
          <w:tcPr>
            <w:tcW w:w="31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highlight w:val="none"/>
                <w:u w:val="none"/>
                <w:lang w:val="en-US" w:eastAsia="zh-CN"/>
              </w:rPr>
            </w:pPr>
            <w:r>
              <w:rPr>
                <w:rFonts w:hint="eastAsia" w:ascii="仿宋_GB2312" w:hAnsi="仿宋_GB2312" w:eastAsia="仿宋_GB2312" w:cs="仿宋_GB2312"/>
                <w:i w:val="0"/>
                <w:iCs w:val="0"/>
                <w:color w:val="000000"/>
                <w:sz w:val="18"/>
                <w:szCs w:val="18"/>
                <w:highlight w:val="none"/>
                <w:u w:val="none"/>
                <w:lang w:val="en-US" w:eastAsia="zh-CN"/>
              </w:rPr>
              <w:t>96%</w:t>
            </w:r>
          </w:p>
        </w:tc>
        <w:tc>
          <w:tcPr>
            <w:tcW w:w="29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sz w:val="18"/>
                <w:szCs w:val="18"/>
                <w:highlight w:val="none"/>
                <w:u w:val="none"/>
                <w:lang w:val="en-US" w:eastAsia="zh-CN"/>
              </w:rPr>
              <w:t>100%</w:t>
            </w:r>
          </w:p>
        </w:tc>
        <w:tc>
          <w:tcPr>
            <w:tcW w:w="26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highlight w:val="none"/>
                <w:u w:val="none"/>
                <w:lang w:val="en-US" w:eastAsia="zh-CN"/>
              </w:rPr>
            </w:pPr>
            <w:r>
              <w:rPr>
                <w:rFonts w:hint="eastAsia" w:ascii="仿宋_GB2312" w:hAnsi="仿宋_GB2312" w:eastAsia="仿宋_GB2312" w:cs="仿宋_GB2312"/>
                <w:i w:val="0"/>
                <w:iCs w:val="0"/>
                <w:color w:val="000000"/>
                <w:sz w:val="18"/>
                <w:szCs w:val="18"/>
                <w:highlight w:val="none"/>
                <w:u w:val="none"/>
                <w:lang w:val="en-US" w:eastAsia="zh-CN"/>
              </w:rPr>
              <w:t>10</w:t>
            </w:r>
          </w:p>
        </w:tc>
        <w:tc>
          <w:tcPr>
            <w:tcW w:w="45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12" w:hRule="atLeast"/>
        </w:trPr>
        <w:tc>
          <w:tcPr>
            <w:tcW w:w="1710" w:type="pct"/>
            <w:gridSpan w:val="4"/>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kern w:val="0"/>
                <w:sz w:val="18"/>
                <w:szCs w:val="18"/>
                <w:highlight w:val="none"/>
                <w:u w:val="none"/>
                <w:lang w:val="en-US" w:eastAsia="zh-CN" w:bidi="ar"/>
              </w:rPr>
              <w:t>总分</w:t>
            </w:r>
          </w:p>
        </w:tc>
        <w:tc>
          <w:tcPr>
            <w:tcW w:w="37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rPr>
            </w:pPr>
          </w:p>
        </w:tc>
        <w:tc>
          <w:tcPr>
            <w:tcW w:w="396" w:type="pct"/>
            <w:tcBorders>
              <w:top w:val="single" w:color="000000" w:sz="4" w:space="0"/>
              <w:left w:val="nil"/>
              <w:bottom w:val="single" w:color="000000" w:sz="4" w:space="0"/>
              <w:right w:val="single" w:color="000000" w:sz="4" w:space="0"/>
            </w:tcBorders>
            <w:shd w:val="clear" w:color="auto" w:fill="auto"/>
            <w:vAlign w:val="center"/>
          </w:tcPr>
          <w:p>
            <w:pPr>
              <w:rPr>
                <w:rFonts w:hint="eastAsia" w:ascii="仿宋_GB2312" w:hAnsi="仿宋_GB2312" w:eastAsia="仿宋_GB2312" w:cs="仿宋_GB2312"/>
                <w:b/>
                <w:bCs/>
                <w:i w:val="0"/>
                <w:iCs w:val="0"/>
                <w:color w:val="000000"/>
                <w:sz w:val="18"/>
                <w:szCs w:val="18"/>
                <w:highlight w:val="none"/>
                <w:u w:val="none"/>
              </w:rPr>
            </w:pPr>
          </w:p>
        </w:tc>
        <w:tc>
          <w:tcPr>
            <w:tcW w:w="261"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rPr>
            </w:pPr>
          </w:p>
        </w:tc>
        <w:tc>
          <w:tcPr>
            <w:tcW w:w="270"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highlight w:val="none"/>
                <w:u w:val="none"/>
                <w:lang w:val="en-US" w:eastAsia="zh-CN"/>
              </w:rPr>
            </w:pPr>
            <w:r>
              <w:rPr>
                <w:rFonts w:hint="eastAsia" w:ascii="仿宋_GB2312" w:hAnsi="仿宋_GB2312" w:eastAsia="仿宋_GB2312" w:cs="仿宋_GB2312"/>
                <w:i w:val="0"/>
                <w:iCs w:val="0"/>
                <w:color w:val="000000"/>
                <w:sz w:val="18"/>
                <w:szCs w:val="18"/>
                <w:highlight w:val="none"/>
                <w:u w:val="none"/>
                <w:lang w:val="en-US" w:eastAsia="zh-CN"/>
              </w:rPr>
              <w:t>90</w:t>
            </w:r>
          </w:p>
        </w:tc>
        <w:tc>
          <w:tcPr>
            <w:tcW w:w="33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rPr>
            </w:pPr>
          </w:p>
        </w:tc>
        <w:tc>
          <w:tcPr>
            <w:tcW w:w="325"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仿宋_GB2312" w:hAnsi="仿宋_GB2312" w:eastAsia="仿宋_GB2312" w:cs="仿宋_GB2312"/>
                <w:i w:val="0"/>
                <w:iCs w:val="0"/>
                <w:color w:val="000000"/>
                <w:sz w:val="18"/>
                <w:szCs w:val="18"/>
                <w:highlight w:val="none"/>
                <w:u w:val="none"/>
              </w:rPr>
            </w:pPr>
          </w:p>
        </w:tc>
        <w:tc>
          <w:tcPr>
            <w:tcW w:w="312"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仿宋_GB2312" w:hAnsi="仿宋_GB2312" w:eastAsia="仿宋_GB2312" w:cs="仿宋_GB2312"/>
                <w:i w:val="0"/>
                <w:iCs w:val="0"/>
                <w:color w:val="000000"/>
                <w:sz w:val="18"/>
                <w:szCs w:val="18"/>
                <w:highlight w:val="none"/>
                <w:u w:val="none"/>
              </w:rPr>
            </w:pPr>
          </w:p>
        </w:tc>
        <w:tc>
          <w:tcPr>
            <w:tcW w:w="292"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仿宋_GB2312" w:hAnsi="仿宋_GB2312" w:eastAsia="仿宋_GB2312" w:cs="仿宋_GB2312"/>
                <w:i w:val="0"/>
                <w:iCs w:val="0"/>
                <w:color w:val="000000"/>
                <w:sz w:val="18"/>
                <w:szCs w:val="18"/>
                <w:highlight w:val="none"/>
                <w:u w:val="none"/>
              </w:rPr>
            </w:pPr>
          </w:p>
        </w:tc>
        <w:tc>
          <w:tcPr>
            <w:tcW w:w="26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highlight w:val="none"/>
                <w:u w:val="none"/>
                <w:lang w:val="en-US" w:eastAsia="zh-CN"/>
              </w:rPr>
            </w:pPr>
            <w:r>
              <w:rPr>
                <w:rFonts w:hint="eastAsia" w:ascii="仿宋_GB2312" w:hAnsi="仿宋_GB2312" w:eastAsia="仿宋_GB2312" w:cs="仿宋_GB2312"/>
                <w:i w:val="0"/>
                <w:iCs w:val="0"/>
                <w:color w:val="000000"/>
                <w:sz w:val="18"/>
                <w:szCs w:val="18"/>
                <w:highlight w:val="none"/>
                <w:u w:val="none"/>
                <w:lang w:val="en-US" w:eastAsia="zh-CN"/>
              </w:rPr>
              <w:t>90</w:t>
            </w:r>
          </w:p>
        </w:tc>
        <w:tc>
          <w:tcPr>
            <w:tcW w:w="454"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仿宋_GB2312" w:hAnsi="仿宋_GB2312" w:eastAsia="仿宋_GB2312" w:cs="仿宋_GB2312"/>
                <w:i w:val="0"/>
                <w:iCs w:val="0"/>
                <w:color w:val="000000"/>
                <w:sz w:val="18"/>
                <w:szCs w:val="18"/>
                <w:highlight w:val="none"/>
                <w:u w:val="none"/>
              </w:rPr>
            </w:pPr>
          </w:p>
        </w:tc>
      </w:tr>
    </w:tbl>
    <w:p>
      <w:pPr>
        <w:rPr>
          <w:rFonts w:hint="default" w:ascii="Times New Roman" w:hAnsi="Times New Roman" w:cs="Times New Roman"/>
          <w:highlight w:val="none"/>
        </w:rPr>
      </w:pPr>
    </w:p>
    <w:sectPr>
      <w:pgSz w:w="16838" w:h="11906" w:orient="landscape"/>
      <w:pgMar w:top="2098" w:right="1531" w:bottom="1984"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F65D3D49-62B8-4D47-B916-7E36CA72E631}"/>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embedRegular r:id="rId2" w:fontKey="{3EB9B28D-7031-469B-9365-83BC39872743}"/>
  </w:font>
  <w:font w:name="方正小标宋简体">
    <w:panose1 w:val="02010601030101010101"/>
    <w:charset w:val="86"/>
    <w:family w:val="auto"/>
    <w:pitch w:val="default"/>
    <w:sig w:usb0="00000001" w:usb1="080E0000" w:usb2="00000000" w:usb3="00000000" w:csb0="00040000" w:csb1="00000000"/>
    <w:embedRegular r:id="rId3" w:fontKey="{6703AEA6-1EF2-4045-8EEC-C7222E941651}"/>
  </w:font>
  <w:font w:name="楷体_GB2312">
    <w:panose1 w:val="02010609030101010101"/>
    <w:charset w:val="86"/>
    <w:family w:val="auto"/>
    <w:pitch w:val="default"/>
    <w:sig w:usb0="00000001" w:usb1="080E0000" w:usb2="00000000" w:usb3="00000000" w:csb0="00040000" w:csb1="00000000"/>
    <w:embedRegular r:id="rId4" w:fontKey="{7AC77480-A949-49D9-9386-1C82B799013D}"/>
  </w:font>
  <w:font w:name="Calibri Light">
    <w:panose1 w:val="020F0302020204030204"/>
    <w:charset w:val="00"/>
    <w:family w:val="swiss"/>
    <w:pitch w:val="default"/>
    <w:sig w:usb0="E4002EFF" w:usb1="C000247B" w:usb2="00000009" w:usb3="00000000" w:csb0="200001FF" w:csb1="00000000"/>
  </w:font>
  <w:font w:name="华文中宋">
    <w:altName w:val="宋体"/>
    <w:panose1 w:val="02010600040101010101"/>
    <w:charset w:val="86"/>
    <w:family w:val="auto"/>
    <w:pitch w:val="default"/>
    <w:sig w:usb0="00000000" w:usb1="00000000" w:usb2="00000000" w:usb3="00000000" w:csb0="0004009F" w:csb1="DFD70000"/>
    <w:embedRegular r:id="rId5" w:fontKey="{DF67D5F4-D783-431B-AF52-87B484539C6F}"/>
  </w:font>
  <w:font w:name="方正小标宋_GBK">
    <w:altName w:val="微软雅黑"/>
    <w:panose1 w:val="03000509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方正仿宋_GBK">
    <w:panose1 w:val="02000000000000000000"/>
    <w:charset w:val="86"/>
    <w:family w:val="auto"/>
    <w:pitch w:val="default"/>
    <w:sig w:usb0="A00002BF" w:usb1="38CF7CFA" w:usb2="00082016" w:usb3="00000000" w:csb0="00040001" w:csb1="00000000"/>
    <w:embedRegular r:id="rId6" w:fontKey="{9B4468D3-C5A6-482B-A8B4-8378521D028F}"/>
  </w:font>
  <w:font w:name="楷体">
    <w:panose1 w:val="02010609060101010101"/>
    <w:charset w:val="86"/>
    <w:family w:val="modern"/>
    <w:pitch w:val="default"/>
    <w:sig w:usb0="800002BF" w:usb1="38CF7CFA" w:usb2="00000016" w:usb3="00000000" w:csb0="00040001" w:csb1="00000000"/>
    <w:embedRegular r:id="rId7" w:fontKey="{FD5D8F81-4B93-464C-8D4C-8EEB31671F2B}"/>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47468962"/>
    </w:sdtPr>
    <w:sdtContent>
      <w:p>
        <w:pPr>
          <w:pStyle w:val="7"/>
          <w:jc w:val="center"/>
        </w:pPr>
        <w:r>
          <w:fldChar w:fldCharType="begin"/>
        </w:r>
        <w:r>
          <w:instrText xml:space="preserve">PAGE   \* MERGEFORMAT</w:instrText>
        </w:r>
        <w:r>
          <w:fldChar w:fldCharType="separate"/>
        </w:r>
        <w:r>
          <w:rPr>
            <w:lang w:val="zh-CN"/>
          </w:rPr>
          <w:t>13</w:t>
        </w:r>
        <w:r>
          <w:fldChar w:fldCharType="end"/>
        </w:r>
      </w:p>
    </w:sdtContent>
  </w:sdt>
  <w:p>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4CD2B0F"/>
    <w:multiLevelType w:val="singleLevel"/>
    <w:tmpl w:val="F4CD2B0F"/>
    <w:lvl w:ilvl="0" w:tentative="0">
      <w:start w:val="1"/>
      <w:numFmt w:val="decimal"/>
      <w:suff w:val="nothing"/>
      <w:lvlText w:val="（%1）"/>
      <w:lvlJc w:val="left"/>
    </w:lvl>
  </w:abstractNum>
  <w:abstractNum w:abstractNumId="1">
    <w:nsid w:val="FF9379A8"/>
    <w:multiLevelType w:val="singleLevel"/>
    <w:tmpl w:val="FF9379A8"/>
    <w:lvl w:ilvl="0" w:tentative="0">
      <w:start w:val="2"/>
      <w:numFmt w:val="chineseCounting"/>
      <w:suff w:val="nothing"/>
      <w:lvlText w:val="（%1）"/>
      <w:lvlJc w:val="left"/>
      <w:rPr>
        <w:rFonts w:hint="eastAsia"/>
      </w:rPr>
    </w:lvl>
  </w:abstractNum>
  <w:abstractNum w:abstractNumId="2">
    <w:nsid w:val="116B29BF"/>
    <w:multiLevelType w:val="singleLevel"/>
    <w:tmpl w:val="116B29BF"/>
    <w:lvl w:ilvl="0" w:tentative="0">
      <w:start w:val="3"/>
      <w:numFmt w:val="chineseCounting"/>
      <w:suff w:val="nothing"/>
      <w:lvlText w:val="%1、"/>
      <w:lvlJc w:val="left"/>
      <w:rPr>
        <w:rFonts w:hint="eastAsia"/>
      </w:rPr>
    </w:lvl>
  </w:abstractNum>
  <w:abstractNum w:abstractNumId="3">
    <w:nsid w:val="27813159"/>
    <w:multiLevelType w:val="singleLevel"/>
    <w:tmpl w:val="27813159"/>
    <w:lvl w:ilvl="0" w:tentative="0">
      <w:start w:val="3"/>
      <w:numFmt w:val="chineseCounting"/>
      <w:suff w:val="nothing"/>
      <w:lvlText w:val="（%1）"/>
      <w:lvlJc w:val="left"/>
      <w:rPr>
        <w:rFonts w:hint="eastAsia"/>
      </w:rPr>
    </w:lvl>
  </w:abstractNum>
  <w:abstractNum w:abstractNumId="4">
    <w:nsid w:val="6FAA0AB1"/>
    <w:multiLevelType w:val="singleLevel"/>
    <w:tmpl w:val="6FAA0AB1"/>
    <w:lvl w:ilvl="0" w:tentative="0">
      <w:start w:val="2"/>
      <w:numFmt w:val="chineseCounting"/>
      <w:suff w:val="nothing"/>
      <w:lvlText w:val="（%1）"/>
      <w:lvlJc w:val="left"/>
      <w:rPr>
        <w:rFonts w:hint="eastAsia"/>
      </w:rPr>
    </w:lvl>
  </w:abstractNum>
  <w:num w:numId="1">
    <w:abstractNumId w:val="0"/>
  </w:num>
  <w:num w:numId="2">
    <w:abstractNumId w:val="3"/>
  </w:num>
  <w:num w:numId="3">
    <w:abstractNumId w:val="2"/>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diOGM5NzlhN2JhOTc3OTljZTBmY2FhN2MzNTk3ODEifQ=="/>
  </w:docVars>
  <w:rsids>
    <w:rsidRoot w:val="FF6C4049"/>
    <w:rsid w:val="006F7242"/>
    <w:rsid w:val="007B168A"/>
    <w:rsid w:val="008B2CFE"/>
    <w:rsid w:val="00F26FF6"/>
    <w:rsid w:val="01610122"/>
    <w:rsid w:val="02510197"/>
    <w:rsid w:val="03DD1CE2"/>
    <w:rsid w:val="03EC461B"/>
    <w:rsid w:val="04600862"/>
    <w:rsid w:val="048B7990"/>
    <w:rsid w:val="056D52E8"/>
    <w:rsid w:val="0610588D"/>
    <w:rsid w:val="07397B77"/>
    <w:rsid w:val="08492130"/>
    <w:rsid w:val="0AD007F3"/>
    <w:rsid w:val="0C800F2E"/>
    <w:rsid w:val="0C9F1A2D"/>
    <w:rsid w:val="0D9773A6"/>
    <w:rsid w:val="0E22149A"/>
    <w:rsid w:val="0E3C619F"/>
    <w:rsid w:val="0F6E2388"/>
    <w:rsid w:val="0F824086"/>
    <w:rsid w:val="100F38EC"/>
    <w:rsid w:val="11170296"/>
    <w:rsid w:val="11C75D80"/>
    <w:rsid w:val="12C66037"/>
    <w:rsid w:val="12CD1ABC"/>
    <w:rsid w:val="13471461"/>
    <w:rsid w:val="13695C36"/>
    <w:rsid w:val="13B90F01"/>
    <w:rsid w:val="14305118"/>
    <w:rsid w:val="14403689"/>
    <w:rsid w:val="14665D24"/>
    <w:rsid w:val="15537AC9"/>
    <w:rsid w:val="155E4C4D"/>
    <w:rsid w:val="177B7D38"/>
    <w:rsid w:val="17811EAE"/>
    <w:rsid w:val="181066D2"/>
    <w:rsid w:val="1AC7726A"/>
    <w:rsid w:val="1C671E73"/>
    <w:rsid w:val="1C7C3F5C"/>
    <w:rsid w:val="1D322C47"/>
    <w:rsid w:val="1E8D0C78"/>
    <w:rsid w:val="1EDA0326"/>
    <w:rsid w:val="21E86845"/>
    <w:rsid w:val="21FE57EE"/>
    <w:rsid w:val="23250B58"/>
    <w:rsid w:val="23616034"/>
    <w:rsid w:val="23696C97"/>
    <w:rsid w:val="23887A65"/>
    <w:rsid w:val="24480FA2"/>
    <w:rsid w:val="25227A45"/>
    <w:rsid w:val="26AC3A6A"/>
    <w:rsid w:val="27A24E6D"/>
    <w:rsid w:val="29303A19"/>
    <w:rsid w:val="2A046EE5"/>
    <w:rsid w:val="2A980516"/>
    <w:rsid w:val="2AD73080"/>
    <w:rsid w:val="2AFC2AE6"/>
    <w:rsid w:val="2B9D7E25"/>
    <w:rsid w:val="2C370DC2"/>
    <w:rsid w:val="2C7C7A3B"/>
    <w:rsid w:val="2F364819"/>
    <w:rsid w:val="2F5876C2"/>
    <w:rsid w:val="2FD63906"/>
    <w:rsid w:val="31EB1902"/>
    <w:rsid w:val="34761214"/>
    <w:rsid w:val="37215DAE"/>
    <w:rsid w:val="372A1C19"/>
    <w:rsid w:val="38637D01"/>
    <w:rsid w:val="38B6233E"/>
    <w:rsid w:val="38CA40DD"/>
    <w:rsid w:val="395F2B56"/>
    <w:rsid w:val="3BBA0580"/>
    <w:rsid w:val="3BECE841"/>
    <w:rsid w:val="3C4B742A"/>
    <w:rsid w:val="3CDE204C"/>
    <w:rsid w:val="3D363C36"/>
    <w:rsid w:val="3E9C3F6D"/>
    <w:rsid w:val="3FF7797D"/>
    <w:rsid w:val="400242A3"/>
    <w:rsid w:val="40535222"/>
    <w:rsid w:val="41CC4B69"/>
    <w:rsid w:val="426111F5"/>
    <w:rsid w:val="427871AA"/>
    <w:rsid w:val="464B13CA"/>
    <w:rsid w:val="46690BD8"/>
    <w:rsid w:val="46957939"/>
    <w:rsid w:val="4916491B"/>
    <w:rsid w:val="49ED31FB"/>
    <w:rsid w:val="49F70BF1"/>
    <w:rsid w:val="4B4340EE"/>
    <w:rsid w:val="4D2A6BE7"/>
    <w:rsid w:val="4DFC67D6"/>
    <w:rsid w:val="4E497E8D"/>
    <w:rsid w:val="4F534D39"/>
    <w:rsid w:val="4FC044BF"/>
    <w:rsid w:val="503D507A"/>
    <w:rsid w:val="51357465"/>
    <w:rsid w:val="515D57DD"/>
    <w:rsid w:val="51FA74D0"/>
    <w:rsid w:val="52796647"/>
    <w:rsid w:val="52AA4A52"/>
    <w:rsid w:val="536E3CD2"/>
    <w:rsid w:val="537868DB"/>
    <w:rsid w:val="543F5C45"/>
    <w:rsid w:val="551E42D2"/>
    <w:rsid w:val="55C20305"/>
    <w:rsid w:val="567B0AA6"/>
    <w:rsid w:val="57272B15"/>
    <w:rsid w:val="575B7FC3"/>
    <w:rsid w:val="57F80AE1"/>
    <w:rsid w:val="58391F32"/>
    <w:rsid w:val="59943D66"/>
    <w:rsid w:val="59E051FD"/>
    <w:rsid w:val="59E6355E"/>
    <w:rsid w:val="5B5163B3"/>
    <w:rsid w:val="5B821531"/>
    <w:rsid w:val="5BA20634"/>
    <w:rsid w:val="5BFF6039"/>
    <w:rsid w:val="5D76A616"/>
    <w:rsid w:val="5D7F20B9"/>
    <w:rsid w:val="5DAC7D0E"/>
    <w:rsid w:val="5F98B5AF"/>
    <w:rsid w:val="5FFE8511"/>
    <w:rsid w:val="5FFEACE2"/>
    <w:rsid w:val="609D5BF6"/>
    <w:rsid w:val="60C5488B"/>
    <w:rsid w:val="61073070"/>
    <w:rsid w:val="61B9080E"/>
    <w:rsid w:val="61DF3FED"/>
    <w:rsid w:val="624D2976"/>
    <w:rsid w:val="62F7660C"/>
    <w:rsid w:val="62FB09B2"/>
    <w:rsid w:val="642B176B"/>
    <w:rsid w:val="643EE26D"/>
    <w:rsid w:val="65527816"/>
    <w:rsid w:val="656019A0"/>
    <w:rsid w:val="65F242EE"/>
    <w:rsid w:val="666D7E19"/>
    <w:rsid w:val="68376930"/>
    <w:rsid w:val="684F3C7A"/>
    <w:rsid w:val="68F91E38"/>
    <w:rsid w:val="69A578CA"/>
    <w:rsid w:val="6A627569"/>
    <w:rsid w:val="6A785305"/>
    <w:rsid w:val="6B144D07"/>
    <w:rsid w:val="6B3158B9"/>
    <w:rsid w:val="6B6F2EBA"/>
    <w:rsid w:val="6BA02A3F"/>
    <w:rsid w:val="6C1E5A53"/>
    <w:rsid w:val="6D525807"/>
    <w:rsid w:val="6F5C41AC"/>
    <w:rsid w:val="6FA7439C"/>
    <w:rsid w:val="6FAF6C78"/>
    <w:rsid w:val="70335C2F"/>
    <w:rsid w:val="708741CD"/>
    <w:rsid w:val="716167CC"/>
    <w:rsid w:val="718A7AD1"/>
    <w:rsid w:val="72A44BC2"/>
    <w:rsid w:val="73010267"/>
    <w:rsid w:val="7317C656"/>
    <w:rsid w:val="734ED73F"/>
    <w:rsid w:val="73AB01D2"/>
    <w:rsid w:val="73C82B32"/>
    <w:rsid w:val="73D96AEE"/>
    <w:rsid w:val="73E0367D"/>
    <w:rsid w:val="73F94DAE"/>
    <w:rsid w:val="73FE6554"/>
    <w:rsid w:val="74220495"/>
    <w:rsid w:val="747D1B6F"/>
    <w:rsid w:val="749E5641"/>
    <w:rsid w:val="76271066"/>
    <w:rsid w:val="77FD8BE9"/>
    <w:rsid w:val="78000AED"/>
    <w:rsid w:val="79A9BD3F"/>
    <w:rsid w:val="7A720361"/>
    <w:rsid w:val="7A85352B"/>
    <w:rsid w:val="7B776F12"/>
    <w:rsid w:val="7BFFFDD0"/>
    <w:rsid w:val="7C336E5F"/>
    <w:rsid w:val="7C8D4919"/>
    <w:rsid w:val="7D7A5F86"/>
    <w:rsid w:val="7DEB4B90"/>
    <w:rsid w:val="7E4B683A"/>
    <w:rsid w:val="7E5E656D"/>
    <w:rsid w:val="7E8F2BCB"/>
    <w:rsid w:val="7EE2719E"/>
    <w:rsid w:val="7F37BB4E"/>
    <w:rsid w:val="7FEF918E"/>
    <w:rsid w:val="7FF4FB6F"/>
    <w:rsid w:val="7FF7FF27"/>
    <w:rsid w:val="7FFDF714"/>
    <w:rsid w:val="AF3FCD8C"/>
    <w:rsid w:val="B9FA2A43"/>
    <w:rsid w:val="BF7BA1E4"/>
    <w:rsid w:val="BFDF04FA"/>
    <w:rsid w:val="BFE227EF"/>
    <w:rsid w:val="CF2A1ABD"/>
    <w:rsid w:val="DA7D3CD9"/>
    <w:rsid w:val="DBDC0ADA"/>
    <w:rsid w:val="DEDE2B06"/>
    <w:rsid w:val="EBFA31C2"/>
    <w:rsid w:val="F3F4A11B"/>
    <w:rsid w:val="F9FD7907"/>
    <w:rsid w:val="FAEF933D"/>
    <w:rsid w:val="FB3A4A6A"/>
    <w:rsid w:val="FF6C4049"/>
    <w:rsid w:val="FF78F63F"/>
    <w:rsid w:val="FF8D20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9"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character" w:default="1" w:styleId="15">
    <w:name w:val="Default Paragraph Font"/>
    <w:semiHidden/>
    <w:unhideWhenUsed/>
    <w:qFormat/>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link w:val="22"/>
    <w:qFormat/>
    <w:uiPriority w:val="0"/>
    <w:pPr>
      <w:jc w:val="left"/>
    </w:pPr>
  </w:style>
  <w:style w:type="paragraph" w:styleId="4">
    <w:name w:val="Body Text"/>
    <w:basedOn w:val="1"/>
    <w:qFormat/>
    <w:uiPriority w:val="0"/>
    <w:pPr>
      <w:spacing w:after="120"/>
    </w:pPr>
  </w:style>
  <w:style w:type="paragraph" w:styleId="5">
    <w:name w:val="Body Text Indent"/>
    <w:basedOn w:val="1"/>
    <w:qFormat/>
    <w:uiPriority w:val="0"/>
    <w:pPr>
      <w:spacing w:after="120"/>
      <w:ind w:left="420" w:leftChars="200"/>
    </w:pPr>
    <w:rPr>
      <w:rFonts w:ascii="Calibri" w:hAnsi="Calibri"/>
    </w:rPr>
  </w:style>
  <w:style w:type="paragraph" w:styleId="6">
    <w:name w:val="Balloon Text"/>
    <w:basedOn w:val="1"/>
    <w:link w:val="20"/>
    <w:qFormat/>
    <w:uiPriority w:val="0"/>
    <w:rPr>
      <w:sz w:val="18"/>
      <w:szCs w:val="18"/>
    </w:rPr>
  </w:style>
  <w:style w:type="paragraph" w:styleId="7">
    <w:name w:val="footer"/>
    <w:basedOn w:val="1"/>
    <w:unhideWhenUsed/>
    <w:qFormat/>
    <w:uiPriority w:val="99"/>
    <w:pPr>
      <w:tabs>
        <w:tab w:val="center" w:pos="4153"/>
        <w:tab w:val="right" w:pos="8306"/>
      </w:tabs>
      <w:snapToGrid w:val="0"/>
      <w:jc w:val="left"/>
    </w:pPr>
    <w:rPr>
      <w:rFonts w:ascii="Calibri" w:hAnsi="Calibri"/>
      <w:sz w:val="18"/>
      <w:szCs w:val="18"/>
    </w:rPr>
  </w:style>
  <w:style w:type="paragraph" w:styleId="8">
    <w:name w:val="header"/>
    <w:basedOn w:val="1"/>
    <w:link w:val="21"/>
    <w:qFormat/>
    <w:uiPriority w:val="0"/>
    <w:pPr>
      <w:pBdr>
        <w:bottom w:val="single" w:color="auto" w:sz="6" w:space="1"/>
      </w:pBdr>
      <w:tabs>
        <w:tab w:val="center" w:pos="4153"/>
        <w:tab w:val="right" w:pos="8306"/>
      </w:tabs>
      <w:snapToGrid w:val="0"/>
      <w:jc w:val="center"/>
    </w:pPr>
    <w:rPr>
      <w:sz w:val="18"/>
      <w:szCs w:val="18"/>
    </w:rPr>
  </w:style>
  <w:style w:type="paragraph" w:styleId="9">
    <w:name w:val="Normal (Web)"/>
    <w:basedOn w:val="1"/>
    <w:qFormat/>
    <w:uiPriority w:val="0"/>
    <w:pPr>
      <w:spacing w:before="0" w:beforeAutospacing="1" w:after="0" w:afterAutospacing="1"/>
      <w:ind w:left="0" w:right="0"/>
      <w:jc w:val="left"/>
    </w:pPr>
    <w:rPr>
      <w:kern w:val="0"/>
      <w:sz w:val="24"/>
      <w:lang w:val="en-US" w:eastAsia="zh-CN" w:bidi="ar"/>
    </w:rPr>
  </w:style>
  <w:style w:type="paragraph" w:styleId="10">
    <w:name w:val="Title"/>
    <w:basedOn w:val="1"/>
    <w:next w:val="1"/>
    <w:qFormat/>
    <w:uiPriority w:val="10"/>
    <w:pPr>
      <w:widowControl/>
      <w:spacing w:before="240" w:after="60"/>
      <w:jc w:val="center"/>
      <w:outlineLvl w:val="0"/>
    </w:pPr>
    <w:rPr>
      <w:rFonts w:asciiTheme="majorHAnsi" w:hAnsiTheme="majorHAnsi" w:eastAsiaTheme="majorEastAsia"/>
      <w:b/>
      <w:bCs/>
      <w:kern w:val="28"/>
      <w:sz w:val="32"/>
      <w:szCs w:val="32"/>
    </w:rPr>
  </w:style>
  <w:style w:type="paragraph" w:styleId="11">
    <w:name w:val="annotation subject"/>
    <w:basedOn w:val="3"/>
    <w:next w:val="3"/>
    <w:link w:val="23"/>
    <w:qFormat/>
    <w:uiPriority w:val="0"/>
    <w:rPr>
      <w:b/>
      <w:bCs/>
    </w:rPr>
  </w:style>
  <w:style w:type="paragraph" w:styleId="12">
    <w:name w:val="Body Text First Indent"/>
    <w:basedOn w:val="4"/>
    <w:qFormat/>
    <w:uiPriority w:val="0"/>
    <w:pPr>
      <w:spacing w:after="0"/>
      <w:ind w:firstLine="200" w:firstLineChars="200"/>
    </w:pPr>
  </w:style>
  <w:style w:type="paragraph" w:styleId="13">
    <w:name w:val="Body Text First Indent 2"/>
    <w:basedOn w:val="5"/>
    <w:qFormat/>
    <w:uiPriority w:val="0"/>
    <w:pPr>
      <w:ind w:firstLine="420" w:firstLineChars="200"/>
    </w:pPr>
  </w:style>
  <w:style w:type="character" w:styleId="16">
    <w:name w:val="Strong"/>
    <w:basedOn w:val="15"/>
    <w:qFormat/>
    <w:uiPriority w:val="0"/>
    <w:rPr>
      <w:b/>
      <w:bCs/>
    </w:rPr>
  </w:style>
  <w:style w:type="character" w:styleId="17">
    <w:name w:val="annotation reference"/>
    <w:basedOn w:val="15"/>
    <w:qFormat/>
    <w:uiPriority w:val="0"/>
    <w:rPr>
      <w:sz w:val="21"/>
      <w:szCs w:val="21"/>
    </w:rPr>
  </w:style>
  <w:style w:type="character" w:customStyle="1" w:styleId="18">
    <w:name w:val="fontstyle01"/>
    <w:qFormat/>
    <w:uiPriority w:val="0"/>
    <w:rPr>
      <w:rFonts w:ascii="仿宋_GB2312" w:hAnsi="仿宋_GB2312" w:eastAsia="仿宋_GB2312" w:cs="仿宋_GB2312"/>
      <w:color w:val="000000"/>
      <w:sz w:val="32"/>
      <w:szCs w:val="32"/>
    </w:rPr>
  </w:style>
  <w:style w:type="paragraph" w:customStyle="1" w:styleId="19">
    <w:name w:val="闻政-正文段落文字"/>
    <w:basedOn w:val="1"/>
    <w:qFormat/>
    <w:uiPriority w:val="3"/>
    <w:pPr>
      <w:spacing w:line="500" w:lineRule="exact"/>
      <w:ind w:firstLine="200"/>
    </w:pPr>
    <w:rPr>
      <w:kern w:val="0"/>
      <w:szCs w:val="28"/>
    </w:rPr>
  </w:style>
  <w:style w:type="character" w:customStyle="1" w:styleId="20">
    <w:name w:val="批注框文本 字符"/>
    <w:basedOn w:val="15"/>
    <w:link w:val="6"/>
    <w:qFormat/>
    <w:uiPriority w:val="0"/>
    <w:rPr>
      <w:rFonts w:ascii="Times New Roman" w:hAnsi="Times New Roman" w:eastAsia="宋体" w:cs="Times New Roman"/>
      <w:kern w:val="2"/>
      <w:sz w:val="18"/>
      <w:szCs w:val="18"/>
    </w:rPr>
  </w:style>
  <w:style w:type="character" w:customStyle="1" w:styleId="21">
    <w:name w:val="页眉 字符"/>
    <w:basedOn w:val="15"/>
    <w:link w:val="8"/>
    <w:qFormat/>
    <w:uiPriority w:val="0"/>
    <w:rPr>
      <w:rFonts w:ascii="Times New Roman" w:hAnsi="Times New Roman" w:eastAsia="宋体" w:cs="Times New Roman"/>
      <w:kern w:val="2"/>
      <w:sz w:val="18"/>
      <w:szCs w:val="18"/>
    </w:rPr>
  </w:style>
  <w:style w:type="character" w:customStyle="1" w:styleId="22">
    <w:name w:val="批注文字 字符"/>
    <w:basedOn w:val="15"/>
    <w:link w:val="3"/>
    <w:qFormat/>
    <w:uiPriority w:val="0"/>
    <w:rPr>
      <w:rFonts w:ascii="Times New Roman" w:hAnsi="Times New Roman" w:eastAsia="宋体" w:cs="Times New Roman"/>
      <w:kern w:val="2"/>
      <w:sz w:val="21"/>
      <w:szCs w:val="24"/>
    </w:rPr>
  </w:style>
  <w:style w:type="character" w:customStyle="1" w:styleId="23">
    <w:name w:val="批注主题 字符"/>
    <w:basedOn w:val="22"/>
    <w:link w:val="11"/>
    <w:qFormat/>
    <w:uiPriority w:val="0"/>
    <w:rPr>
      <w:rFonts w:ascii="Times New Roman" w:hAnsi="Times New Roman" w:eastAsia="宋体" w:cs="Times New Roman"/>
      <w:b/>
      <w:bCs/>
      <w:kern w:val="2"/>
      <w:sz w:val="21"/>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29</Pages>
  <Words>139</Words>
  <Characters>152</Characters>
  <Lines>58</Lines>
  <Paragraphs>16</Paragraphs>
  <TotalTime>50</TotalTime>
  <ScaleCrop>false</ScaleCrop>
  <LinksUpToDate>false</LinksUpToDate>
  <CharactersWithSpaces>152</CharactersWithSpaces>
  <Application>WPS Office_11.8.2.10972_F1E327BC-269C-435d-A152-05C5408002CA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2023-03-08T13:13:00Z</dcterms:created>
  <dc:creator>审核人</dc:creator>
  <cp:lastModifiedBy>Administrator</cp:lastModifiedBy>
  <dcterms:modified xsi:type="dcterms:W3CDTF">2025-07-22T12:54:05Z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F1A32EB7C53F433780EB4BD1AD3DECDF_13</vt:lpwstr>
  </property>
  <property fmtid="{D5CDD505-2E9C-101B-9397-08002B2CF9AE}" pid="4" name="KSOTemplateDocerSaveRecord">
    <vt:lpwstr>eyJoZGlkIjoiNzE3YjhjZTk4Mzk1OGY0YzlkYmFjMGUyYmIxMGVlODQiLCJ1c2VySWQiOiIzMjA4NDQ3MDEifQ==</vt:lpwstr>
  </property>
</Properties>
</file>