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城乡居民基本医疗保险项目支出绩效评价报告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3"/>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1440"/>
        <w:jc w:val="left"/>
        <w:rPr>
          <w:rFonts w:hint="eastAsia"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w:t>
      </w:r>
      <w:r>
        <w:rPr>
          <w:rFonts w:hint="eastAsia" w:ascii="Times New Roman" w:hAnsi="Times New Roman" w:eastAsia="仿宋_GB2312" w:cs="Times New Roman"/>
          <w:kern w:val="0"/>
          <w:sz w:val="32"/>
          <w:szCs w:val="32"/>
        </w:rPr>
        <w:t>城乡居民基本医疗保险</w:t>
      </w:r>
    </w:p>
    <w:p>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ascii="Times New Roman" w:hAnsi="Times New Roman" w:eastAsia="仿宋_GB2312" w:cs="Times New Roman"/>
          <w:kern w:val="0"/>
          <w:sz w:val="32"/>
          <w:szCs w:val="32"/>
        </w:rPr>
        <w:t>特克斯县医疗保障局</w:t>
      </w:r>
    </w:p>
    <w:p>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eastAsia" w:ascii="Times New Roman" w:hAnsi="Times New Roman" w:eastAsia="仿宋_GB2312" w:cs="Times New Roman"/>
          <w:kern w:val="0"/>
          <w:sz w:val="32"/>
          <w:szCs w:val="32"/>
        </w:rPr>
        <w:t>特克斯县医疗保障局</w:t>
      </w:r>
    </w:p>
    <w:p>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项目负责人（签章）：古丽扎帕尔</w:t>
      </w:r>
    </w:p>
    <w:p>
      <w:pPr>
        <w:spacing w:line="700" w:lineRule="exact"/>
        <w:ind w:firstLine="144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9"/>
          <w:rFonts w:hint="default" w:ascii="Times New Roman" w:hAnsi="Times New Roman" w:eastAsia="黑体" w:cs="Times New Roman"/>
          <w:b w:val="0"/>
          <w:spacing w:val="-4"/>
          <w:sz w:val="32"/>
          <w:szCs w:val="32"/>
        </w:rPr>
      </w:pPr>
    </w:p>
    <w:p>
      <w:pPr>
        <w:spacing w:line="540" w:lineRule="exact"/>
        <w:ind w:firstLine="640"/>
        <w:rPr>
          <w:rStyle w:val="19"/>
          <w:rFonts w:hint="default" w:ascii="Times New Roman" w:hAnsi="Times New Roman" w:eastAsia="黑体" w:cs="Times New Roman"/>
          <w:b w:val="0"/>
          <w:spacing w:val="-4"/>
          <w:sz w:val="32"/>
          <w:szCs w:val="32"/>
        </w:rPr>
      </w:pPr>
    </w:p>
    <w:p>
      <w:pPr>
        <w:spacing w:line="540" w:lineRule="exact"/>
        <w:rPr>
          <w:rStyle w:val="19"/>
          <w:rFonts w:hint="default" w:ascii="Times New Roman" w:hAnsi="Times New Roman" w:eastAsia="黑体" w:cs="Times New Roman"/>
          <w:b w:val="0"/>
          <w:spacing w:val="-4"/>
          <w:sz w:val="32"/>
          <w:szCs w:val="32"/>
        </w:rPr>
      </w:pPr>
    </w:p>
    <w:p>
      <w:pPr>
        <w:spacing w:line="560" w:lineRule="exact"/>
        <w:ind w:firstLine="64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1</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项目背景：</w:t>
      </w:r>
    </w:p>
    <w:p>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该项资金按照《中央财政城乡居民医疗保险补助资金管理办法》（财社〔2019〕166号）文件实行，资金主要用于2023年城乡居民基本医疗保险补助。城乡居民基本医疗保障工作推动稳步提高了基本医保待遇保障水平，健全了覆盖全民、城乡统筹、权责清晰、保障适度、可持续的多层次医疗保障体系。</w:t>
      </w:r>
    </w:p>
    <w:p>
      <w:pPr>
        <w:spacing w:line="560" w:lineRule="exact"/>
        <w:ind w:firstLine="643"/>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lang w:val="en-US" w:eastAsia="zh-CN"/>
        </w:rPr>
        <w:t>2.</w:t>
      </w:r>
      <w:r>
        <w:rPr>
          <w:rFonts w:hint="default" w:ascii="Times New Roman" w:hAnsi="Times New Roman" w:eastAsia="仿宋_GB2312" w:cs="Times New Roman"/>
          <w:b/>
          <w:bCs/>
          <w:sz w:val="32"/>
          <w:szCs w:val="32"/>
          <w:highlight w:val="none"/>
        </w:rPr>
        <w:t>项目主要内容：</w:t>
      </w:r>
    </w:p>
    <w:p>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项目主要内容：参保人员个人缴费后政府缴费补助按照中央，自治区，县级等级分别配套到位，2024年总配套标准每人670元，其中：中央536元，自治区80.4元，县级53.6元。专项资金统一纳入征收保险基金上解州医保局、单独建账，封闭运行。统筹基金历年结余及当年收支均由州级统一支付、调剂、使用。实行属地办理，即征缴、会计核算、待遇支付、基金管理均在医保经办机构办理。</w:t>
      </w:r>
    </w:p>
    <w:p>
      <w:pPr>
        <w:spacing w:line="560" w:lineRule="exact"/>
        <w:ind w:firstLine="624"/>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项目实施情况：积极推进了全民参保计划，城乡居民基本医疗保险参保人数12.22万人，已稳步提高财政补助资金，确保了城乡居民医疗保险参保人员的医疗待遇落实，已按时足额安排财政补助资金，全面落实了大病保险制度，减轻了参保人员的经济负担，较大缓解了社会矛盾。2024年城乡居民基本医疗保险补助项目2024年1月1日开始执行，2024年12月31日完成执行</w:t>
      </w:r>
      <w:r>
        <w:rPr>
          <w:rFonts w:hint="eastAsia" w:eastAsia="仿宋_GB2312" w:cs="Times New Roman"/>
          <w:sz w:val="32"/>
          <w:szCs w:val="32"/>
          <w:highlight w:val="none"/>
          <w:lang w:eastAsia="zh-CN"/>
        </w:rPr>
        <w:t>。</w:t>
      </w:r>
    </w:p>
    <w:p>
      <w:pPr>
        <w:spacing w:line="560" w:lineRule="exact"/>
        <w:ind w:firstLine="624"/>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r>
        <w:rPr>
          <w:rFonts w:hint="default" w:ascii="Times New Roman" w:hAnsi="Times New Roman" w:eastAsia="仿宋_GB2312" w:cs="Times New Roman"/>
          <w:sz w:val="32"/>
          <w:szCs w:val="32"/>
          <w:highlight w:val="none"/>
          <w:lang w:eastAsia="zh-CN"/>
        </w:rPr>
        <w:t>该项目年初预算数674.93万元，全年预算数674.93万元，该项目资金已全部落实到位655万，资金来源为资金来源为财政拨款。</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该项目年初预算数674.93元，全年预算数674.93万元，全年执行数655万元，预算执行率为97.05%，主要用于：参保后落实“基本医疗保险+大病医疗保险+民政医疗救助”等的模式享受待遇。</w:t>
      </w:r>
    </w:p>
    <w:p>
      <w:p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（二）项目绩效目标</w:t>
      </w:r>
    </w:p>
    <w:p>
      <w:pPr>
        <w:spacing w:line="560" w:lineRule="exact"/>
        <w:ind w:left="640" w:leftChars="320" w:firstLine="352" w:firstLineChars="11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1.总体目标</w:t>
      </w:r>
    </w:p>
    <w:p>
      <w:pPr>
        <w:spacing w:line="560" w:lineRule="exact"/>
        <w:ind w:firstLine="624"/>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城乡居民医疗保险参保率稳定在95%以上，稳步提高财政补助资金，确保参保人员的医疗待遇落实，按时足额安排财政补助资金，确保在每年9月底以前全部各级财政配套资金到位，减轻参保人员就医经济负担，缓解社会矛盾。</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2.阶段性目标阶段性目标：</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第一阶段2024年6月24日参保人员6.08万人，执行资金326万元。</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第二阶段2024年6月21日参保人员6.14万人，执行资金329万元</w:t>
      </w:r>
    </w:p>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二、绩效评价工作开展情况</w:t>
      </w:r>
    </w:p>
    <w:p>
      <w:p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（一）绩效评价目的、对象和范围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1.绩效评价完整性</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均进行了明确说明，确保评价结果的客观性和可追溯性。</w:t>
      </w:r>
    </w:p>
    <w:p>
      <w:pPr>
        <w:spacing w:line="560" w:lineRule="exact"/>
        <w:ind w:firstLine="320" w:firstLineChars="1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3.绩效评价的对象</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对象是城乡居民医疗保险及其预算执行情况。该项目由特克斯县医疗保障局负责实施，旨在参保率稳定在95%以上，确保参保人员医疗待遇的落实，减轻参保人员就医经济负担，缓解社会矛盾。项目预算涵盖从2024年1月1日至2024年12月31日的全部资金投入与支出，涉及资金总额为655</w:t>
      </w:r>
      <w:r>
        <w:rPr>
          <w:rFonts w:hint="default" w:ascii="Times New Roman" w:hAnsi="Times New Roman" w:eastAsia="仿宋_GB2312" w:cs="Times New Roman"/>
          <w:sz w:val="32"/>
          <w:szCs w:val="32"/>
          <w:highlight w:val="none"/>
          <w:lang w:val="en-US" w:eastAsia="zh-CN"/>
        </w:rPr>
        <w:t>万</w:t>
      </w:r>
      <w:r>
        <w:rPr>
          <w:rFonts w:hint="default" w:ascii="Times New Roman" w:hAnsi="Times New Roman" w:eastAsia="仿宋_GB2312" w:cs="Times New Roman"/>
          <w:sz w:val="32"/>
          <w:szCs w:val="32"/>
          <w:highlight w:val="none"/>
        </w:rPr>
        <w:t>元。</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rPr>
        <w:t>绩效评价的范围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本项目预算绩效评价报告的评价范围广泛而全面，涵盖了从项目立项至评价时点期间的所有关键预算活动和财务流程。具体而言，评价范围包括但不限于以下几个方面：</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项目预算编制与执行：全面审视项目预算的编制依据、合理性、科学性以及实际执行情况，包括预算调整的原因和效果。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资金管理：深入分析项目资金的分配、使用和监管情况，确保资金使用的合规性、高效性和透明度。</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项目实施进度与产出：评估项目是否按照既定计划顺利推进，各项任务是否按时完成，以及项目产出的数量、质量和时效性是否符合预期。</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社会影响：</w:t>
      </w:r>
      <w:r>
        <w:rPr>
          <w:rFonts w:hint="eastAsia" w:ascii="Times New Roman" w:hAnsi="Times New Roman" w:eastAsia="仿宋_GB2312" w:cs="Times New Roman"/>
          <w:sz w:val="32"/>
          <w:szCs w:val="32"/>
          <w:highlight w:val="none"/>
          <w:lang w:val="en-US" w:eastAsia="zh-CN"/>
        </w:rPr>
        <w:t>减轻参保人员就医经济负担，各地不断优化</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医保就医买药报销政策，如提高居民医疗普通门诊统筹待遇和两病门诊待遇，提供报销比列，降低参保人员个人自负费用，避免小病大治，低标准如愿等情况，让老百姓得到实惠。</w:t>
      </w:r>
    </w:p>
    <w:p>
      <w:pPr>
        <w:widowControl w:val="0"/>
        <w:spacing w:line="560" w:lineRule="exact"/>
        <w:ind w:firstLine="643" w:firstLineChars="200"/>
        <w:jc w:val="both"/>
        <w:rPr>
          <w:rFonts w:hint="default" w:ascii="Times New Roman" w:hAnsi="Times New Roman" w:cs="Times New Roman"/>
          <w:highlight w:val="none"/>
        </w:rPr>
      </w:pPr>
      <w:r>
        <w:rPr>
          <w:rFonts w:hint="default" w:ascii="Times New Roman" w:hAnsi="Times New Roman" w:eastAsia="楷体_GB2312" w:cs="Times New Roman"/>
          <w:b/>
          <w:bCs/>
          <w:kern w:val="2"/>
          <w:sz w:val="32"/>
          <w:szCs w:val="32"/>
          <w:highlight w:val="none"/>
          <w:lang w:val="en-US" w:eastAsia="zh-CN" w:bidi="ar-SA"/>
        </w:rPr>
        <w:t>（二）绩效评价原则、评价指标体系（详情见表1）、评价方法、评价标准。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1.绩效评价原则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本次项目绩效评价遵循以下基本原则：</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（1）科学公正。绩效评价应当运用科学合理的方法，按照规范的程序，对项目绩效进行客观、公正的反映。</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（2）统筹兼顾。单位自评、部门评价和财政评价应职责明确，各有侧重，相互衔接。单位自评应由项目单位自主实施，即“谁支出、谁自评”。部门评价和财政评价应在单位自评的基础上开展。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（3）激励约束。绩效评价结果应与预算安排、政策调整、改进管理实质性挂钩，体现奖优罚劣和激励相容导向，有效要安排、低效要压减、无效要问责。</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（4）公开透明。绩效评价结果应依法依规公开，并自觉接受社会监督。</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2.评价指标体系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绩效评价框架是开展绩效评价的核心。绩效评价框架包括评价准则、关键评价问题、评价指标、数据来源、数据收集方法等。指标体系建立过程如下：</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（1）确定评价指标</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采用层次分析法，建立评价指标体系。绩效评价将指标分为项目决策指标、项目过程指标、项目产出指标、项目效益指标四个维度，最终形成一个由多个相互联系的指标组成的多层次指标体系。</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（2）确定权重</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确定各个指标相对于项目总体绩效的权重分值。在绩效评价指标体系中，项目决策权重为20分，项目过程权重为20分，项目产出权重为40分，项目效益权重为20分。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（3）确定指标标准值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指标标准值是绩效评价指标的尺度，既要反映同类项目的先进水平，又要符合项目的实际绩效水平。具体采用计划标准等确定此次绩效评价指标标准值。</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绩效评价总分值100分，根据综合评分结果，90（含）-100分为优、80（含）-90分为良、60（含）-80分为中、60分以下为差。</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具体评价指标体系详情见附件1</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3.绩效评价方法</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绩效评价从项目决策、项目过程、项目产出、项目效益四个维度进行评价。评价对象为项目目标实施情况，  评价核心为资金的支出完成情况和项目的产出效益。</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本次评价指标中，既有定性指标又有定量指标，各类指标因考核内容不同和客观标准不同存在较大差异，因此核定具体指标时采用了不同方法，具体评价方法如下：</w:t>
      </w:r>
    </w:p>
    <w:p>
      <w:pPr>
        <w:numPr>
          <w:ilvl w:val="0"/>
          <w:numId w:val="1"/>
        </w:num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因素分析法。</w:t>
      </w:r>
      <w:r>
        <w:rPr>
          <w:rFonts w:hint="eastAsia" w:eastAsia="仿宋_GB2312" w:cs="Times New Roman"/>
          <w:sz w:val="32"/>
          <w:szCs w:val="32"/>
          <w:highlight w:val="none"/>
          <w:lang w:val="en-US" w:eastAsia="zh-CN"/>
        </w:rPr>
        <w:t>为了能够将复杂的经济现象分解为各个因素，并通过定量计算明确各个因素对分析的对象，为决策提供精准的数据支持。</w:t>
      </w:r>
    </w:p>
    <w:p>
      <w:pPr>
        <w:numPr>
          <w:ilvl w:val="0"/>
          <w:numId w:val="1"/>
        </w:num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4.评价标准</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绩效评价标准通常包括计划标准、行业标准、历史标准等，用于对绩效指标完成情况进行比较、分析、评价。本次评价主要采用了计划标准。</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（1）计划标准。指以预先制定的目标、计划、预算、定额等作为评价标准。</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（1）前期准备与规划</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（2）指标体系构建</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（3）数据收集与整理</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（4）数据分析与评估</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（5）报告撰写与反馈</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（6）后续跟踪与改进</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综合评价情况及评价结论（附相关评分表）</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（一）评价情况</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的综合评价基于对项目各方面绩效的深入分析与评估。从项目目标的达成情况来看，城乡居民基本医疗保险在城乡居民基本医疗保险参保人数达到12.22万人、已稳步提高财政补助资金已按时足额安排财政补助资等方面表现出色，达到了预期的标准与要求。同时，项目也在全面落实了大病保险制度取得了显著的成效，如减轻了参保人员的经济负担，较大缓解了社会矛盾等。</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在项目管理方面，特克斯县医疗保障局通过有效的规划、组织与协调，项目得以顺利实施，并在预算与时间上保持了良好的控制。</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从项目效益的角度来看，本项目不仅实现了预期的社会效益等方面产生了积极的影响。具体而言，减轻参保人员就医经济负担等方面的提升，为项目的利益相关者带来了实实在在的利益。</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综上所述，城乡居民基本医疗保险在绩效评价中表现出色，达到了项目的预期目标，并在多个方面取得了显著的成效。</w:t>
      </w:r>
    </w:p>
    <w:p>
      <w:pPr>
        <w:spacing w:line="560" w:lineRule="exact"/>
        <w:ind w:firstLine="624"/>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（二）评价结论</w:t>
      </w:r>
    </w:p>
    <w:p>
      <w:pPr>
        <w:spacing w:line="560" w:lineRule="exact"/>
        <w:ind w:firstLine="624"/>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val="en-US" w:eastAsia="zh-CN"/>
        </w:rPr>
        <w:t>运用绩效评价组制定的评价指标体系以及财政部《项目支出绩效评价管理办法》（财预〔2020〕10号）文件的评分标准，通过数据采集、问卷调查及访谈等方式，对本项目进行客观评价，最终评分结果：总得分为 99.6分，属于“优”。其中，项目决策类指标权重为20分，得分为 20分，得分率为 100%。项目过程类指标权重为20分，得分为19.6分率为 9</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%。项目产出类指标权重为40分，得分为40分，得分率为100%。项目效益类指标权重为20分，得分为20分，得分率为100%。具体打分情况详见：附件1综合评分表</w:t>
      </w:r>
      <w:r>
        <w:rPr>
          <w:rFonts w:hint="default" w:ascii="Times New Roman" w:hAnsi="Times New Roman" w:eastAsia="仿宋_GB2312" w:cs="Times New Roman"/>
          <w:sz w:val="32"/>
          <w:szCs w:val="32"/>
          <w:highlight w:val="none"/>
          <w:lang w:eastAsia="zh-CN"/>
        </w:rPr>
        <w:t>。</w:t>
      </w:r>
    </w:p>
    <w:p>
      <w:pPr>
        <w:pStyle w:val="13"/>
        <w:keepNext w:val="0"/>
        <w:keepLines w:val="0"/>
        <w:pageBreakBefore w:val="0"/>
        <w:widowControl/>
        <w:kinsoku/>
        <w:wordWrap/>
        <w:overflowPunct/>
        <w:topLinePunct w:val="0"/>
        <w:autoSpaceDE/>
        <w:autoSpaceDN/>
        <w:bidi w:val="0"/>
        <w:adjustRightInd/>
        <w:snapToGrid/>
        <w:spacing w:before="0" w:after="0"/>
        <w:jc w:val="center"/>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表1综合评分表</w:t>
      </w:r>
    </w:p>
    <w:tbl>
      <w:tblPr>
        <w:tblStyle w:val="17"/>
        <w:tblpPr w:leftFromText="180" w:rightFromText="180" w:vertAnchor="text" w:horzAnchor="page" w:tblpX="2036" w:tblpY="264"/>
        <w:tblOverlap w:val="never"/>
        <w:tblW w:w="4998" w:type="pct"/>
        <w:tblInd w:w="0" w:type="dxa"/>
        <w:tblLayout w:type="autofit"/>
        <w:tblCellMar>
          <w:top w:w="0" w:type="dxa"/>
          <w:left w:w="108" w:type="dxa"/>
          <w:bottom w:w="0" w:type="dxa"/>
          <w:right w:w="108" w:type="dxa"/>
        </w:tblCellMar>
      </w:tblPr>
      <w:tblGrid>
        <w:gridCol w:w="3747"/>
        <w:gridCol w:w="2589"/>
        <w:gridCol w:w="2720"/>
      </w:tblGrid>
      <w:tr>
        <w:tblPrEx>
          <w:tblCellMar>
            <w:top w:w="0" w:type="dxa"/>
            <w:left w:w="108" w:type="dxa"/>
            <w:bottom w:w="0" w:type="dxa"/>
            <w:right w:w="108" w:type="dxa"/>
          </w:tblCellMar>
        </w:tblPrEx>
        <w:trPr>
          <w:trHeight w:val="90" w:hRule="atLeast"/>
          <w:tblHeader/>
        </w:trPr>
        <w:tc>
          <w:tcPr>
            <w:tcW w:w="2068" w:type="pct"/>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一级指标</w:t>
            </w:r>
          </w:p>
        </w:tc>
        <w:tc>
          <w:tcPr>
            <w:tcW w:w="1429"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权重分</w:t>
            </w:r>
          </w:p>
        </w:tc>
        <w:tc>
          <w:tcPr>
            <w:tcW w:w="1501" w:type="pct"/>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得分</w:t>
            </w:r>
          </w:p>
        </w:tc>
      </w:tr>
      <w:tr>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项目决策</w:t>
            </w:r>
          </w:p>
        </w:tc>
        <w:tc>
          <w:tcPr>
            <w:tcW w:w="1429"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ascii="Times New Roman"/>
                <w:color w:val="000000"/>
                <w:sz w:val="21"/>
                <w:highlight w:val="none"/>
              </w:rPr>
              <w:t>20</w:t>
            </w:r>
          </w:p>
        </w:tc>
      </w:tr>
      <w:tr>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项目过程</w:t>
            </w:r>
          </w:p>
        </w:tc>
        <w:tc>
          <w:tcPr>
            <w:tcW w:w="1429"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color w:val="000000"/>
                <w:sz w:val="21"/>
                <w:highlight w:val="none"/>
                <w:lang w:val="en-US" w:eastAsia="zh-CN"/>
              </w:rPr>
              <w:t>19.6</w:t>
            </w:r>
          </w:p>
        </w:tc>
      </w:tr>
      <w:tr>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项目产出</w:t>
            </w:r>
          </w:p>
        </w:tc>
        <w:tc>
          <w:tcPr>
            <w:tcW w:w="1429"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40</w:t>
            </w:r>
          </w:p>
        </w:tc>
        <w:tc>
          <w:tcPr>
            <w:tcW w:w="1501"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lang w:val="en-US" w:eastAsia="zh-CN"/>
              </w:rPr>
              <w:t>40</w:t>
            </w:r>
          </w:p>
        </w:tc>
      </w:tr>
      <w:tr>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hint="default" w:ascii="Times New Roman" w:hAnsi="Times New Roman" w:eastAsia="仿宋_GB2312" w:cs="Times New Roman"/>
                <w:color w:val="000000"/>
                <w:sz w:val="21"/>
                <w:szCs w:val="21"/>
                <w:highlight w:val="none"/>
              </w:rPr>
              <w:t>项目效益</w:t>
            </w:r>
          </w:p>
        </w:tc>
        <w:tc>
          <w:tcPr>
            <w:tcW w:w="1429"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lang w:val="en-US" w:eastAsia="zh-CN"/>
              </w:rPr>
            </w:pPr>
            <w:r>
              <w:rPr>
                <w:rFonts w:hint="default" w:ascii="Times New Roman" w:hAnsi="Times New Roman" w:eastAsia="仿宋_GB2312" w:cs="Times New Roman"/>
                <w:color w:val="000000"/>
                <w:sz w:val="21"/>
                <w:szCs w:val="21"/>
                <w:highlight w:val="none"/>
                <w:lang w:val="en-US" w:eastAsia="zh-CN"/>
              </w:rPr>
              <w:t>20</w:t>
            </w:r>
          </w:p>
        </w:tc>
        <w:tc>
          <w:tcPr>
            <w:tcW w:w="1501"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highlight w:val="none"/>
              </w:rPr>
            </w:pPr>
            <w:r>
              <w:rPr>
                <w:rFonts w:ascii="Times New Roman"/>
                <w:color w:val="000000"/>
                <w:sz w:val="21"/>
                <w:highlight w:val="none"/>
              </w:rPr>
              <w:t>20</w:t>
            </w:r>
          </w:p>
        </w:tc>
      </w:tr>
      <w:tr>
        <w:tblPrEx>
          <w:tblCellMar>
            <w:top w:w="0" w:type="dxa"/>
            <w:left w:w="108" w:type="dxa"/>
            <w:bottom w:w="0" w:type="dxa"/>
            <w:right w:w="108" w:type="dxa"/>
          </w:tblCellMar>
        </w:tblPrEx>
        <w:trPr>
          <w:trHeight w:val="340" w:hRule="atLeast"/>
        </w:trPr>
        <w:tc>
          <w:tcPr>
            <w:tcW w:w="2068" w:type="pct"/>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hint="default" w:ascii="Times New Roman" w:hAnsi="Times New Roman" w:eastAsia="仿宋_GB2312" w:cs="Times New Roman"/>
                <w:b/>
                <w:bCs/>
                <w:color w:val="000000"/>
                <w:sz w:val="21"/>
                <w:szCs w:val="21"/>
                <w:highlight w:val="none"/>
              </w:rPr>
              <w:t>合计</w:t>
            </w:r>
          </w:p>
        </w:tc>
        <w:tc>
          <w:tcPr>
            <w:tcW w:w="1429"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lang w:val="en-US" w:eastAsia="zh-CN"/>
              </w:rPr>
            </w:pPr>
            <w:r>
              <w:rPr>
                <w:rFonts w:hint="default" w:ascii="Times New Roman" w:hAnsi="Times New Roman" w:eastAsia="仿宋_GB2312" w:cs="Times New Roman"/>
                <w:b/>
                <w:bCs/>
                <w:color w:val="000000"/>
                <w:sz w:val="21"/>
                <w:szCs w:val="21"/>
                <w:highlight w:val="none"/>
                <w:lang w:val="en-US" w:eastAsia="zh-CN"/>
              </w:rPr>
              <w:t>100</w:t>
            </w:r>
          </w:p>
        </w:tc>
        <w:tc>
          <w:tcPr>
            <w:tcW w:w="1501" w:type="pct"/>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highlight w:val="none"/>
              </w:rPr>
            </w:pPr>
            <w:r>
              <w:rPr>
                <w:rFonts w:ascii="Times New Roman"/>
                <w:b/>
                <w:color w:val="000000"/>
                <w:sz w:val="21"/>
                <w:highlight w:val="none"/>
              </w:rPr>
              <w:t>99.6</w:t>
            </w:r>
          </w:p>
        </w:tc>
      </w:tr>
    </w:tbl>
    <w:p>
      <w:pPr>
        <w:spacing w:line="560" w:lineRule="exact"/>
        <w:ind w:firstLine="64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四、绩效评价指标分析</w:t>
      </w:r>
    </w:p>
    <w:p>
      <w:pPr>
        <w:pStyle w:val="13"/>
        <w:spacing w:before="0" w:after="0" w:line="560" w:lineRule="exact"/>
        <w:ind w:firstLine="643"/>
        <w:jc w:val="both"/>
        <w:rPr>
          <w:rFonts w:hint="default" w:ascii="Times New Roman" w:hAnsi="Times New Roman" w:eastAsia="楷体_GB2312" w:cs="Times New Roman"/>
          <w:b/>
          <w:bCs/>
          <w:color w:val="auto"/>
          <w:kern w:val="2"/>
          <w:sz w:val="32"/>
          <w:szCs w:val="32"/>
          <w:highlight w:val="none"/>
          <w:lang w:val="en-US" w:eastAsia="zh-CN" w:bidi="ar-SA"/>
        </w:rPr>
      </w:pPr>
      <w:r>
        <w:rPr>
          <w:rFonts w:hint="default" w:ascii="Times New Roman" w:hAnsi="Times New Roman" w:eastAsia="楷体_GB2312" w:cs="Times New Roman"/>
          <w:b/>
          <w:bCs/>
          <w:color w:val="auto"/>
          <w:kern w:val="2"/>
          <w:sz w:val="32"/>
          <w:szCs w:val="32"/>
          <w:highlight w:val="none"/>
          <w:lang w:val="en-US" w:eastAsia="zh-CN" w:bidi="ar-SA"/>
        </w:rPr>
        <w:t>（一）项目决策情况</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项目决策类指标包括项目立项、绩效目标和资金投入三方面的内容，由6个三级指标构成，权重分值为20分，实际得分20分，得分率为100%。</w:t>
      </w:r>
    </w:p>
    <w:p>
      <w:pPr>
        <w:pStyle w:val="22"/>
        <w:keepNext w:val="0"/>
        <w:keepLines w:val="0"/>
        <w:pageBreakBefore w:val="0"/>
        <w:widowControl w:val="0"/>
        <w:shd w:val="clear"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1.项目立项</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（1）立项依据充分性</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（2）立项程序规范性</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项目申请、设立过程符合相关要求，</w:t>
      </w:r>
      <w:r>
        <w:rPr>
          <w:rFonts w:hint="default" w:ascii="Times New Roman" w:hAnsi="Times New Roman" w:eastAsia="仿宋_GB2312" w:cs="Times New Roman"/>
          <w:sz w:val="32"/>
          <w:szCs w:val="32"/>
          <w:highlight w:val="none"/>
          <w:lang w:eastAsia="zh-Hans"/>
        </w:rPr>
        <w:t>严格按照审批流程准备符合要求的文件、材料；</w:t>
      </w:r>
      <w:r>
        <w:rPr>
          <w:rFonts w:hint="default" w:ascii="Times New Roman" w:hAnsi="Times New Roman" w:eastAsia="仿宋_GB2312" w:cs="Times New Roman"/>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2"/>
        <w:keepNext w:val="0"/>
        <w:keepLines w:val="0"/>
        <w:pageBreakBefore w:val="0"/>
        <w:widowControl w:val="0"/>
        <w:shd w:val="clear"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2.绩效目标</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（1）绩效目标合理性</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Hans"/>
        </w:rPr>
        <w:t>年初结合实际工作内容</w:t>
      </w:r>
      <w:r>
        <w:rPr>
          <w:rFonts w:hint="default" w:ascii="Times New Roman" w:hAnsi="Times New Roman" w:eastAsia="仿宋_GB2312" w:cs="Times New Roman"/>
          <w:sz w:val="32"/>
          <w:szCs w:val="32"/>
          <w:highlight w:val="none"/>
          <w:lang w:val="en-US" w:eastAsia="zh-CN"/>
        </w:rPr>
        <w:t>设定绩效目标</w:t>
      </w:r>
      <w:r>
        <w:rPr>
          <w:rFonts w:hint="default" w:ascii="Times New Roman" w:hAnsi="Times New Roman" w:eastAsia="仿宋_GB2312" w:cs="Times New Roman"/>
          <w:sz w:val="32"/>
          <w:szCs w:val="32"/>
          <w:highlight w:val="none"/>
          <w:lang w:val="en-US" w:eastAsia="zh-Hans"/>
        </w:rPr>
        <w:t>，绩效目标</w:t>
      </w:r>
      <w:r>
        <w:rPr>
          <w:rFonts w:hint="default" w:ascii="Times New Roman" w:hAnsi="Times New Roman" w:eastAsia="仿宋_GB2312" w:cs="Times New Roman"/>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（2）绩效指标明确性</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22"/>
        <w:keepNext w:val="0"/>
        <w:keepLines w:val="0"/>
        <w:pageBreakBefore w:val="0"/>
        <w:widowControl w:val="0"/>
        <w:shd w:val="clear"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3.资金投入</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fill="auto"/>
        <w:spacing w:line="600" w:lineRule="exact"/>
        <w:ind w:firstLine="64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keepNext w:val="0"/>
        <w:keepLines w:val="0"/>
        <w:pageBreakBefore w:val="0"/>
        <w:widowControl w:val="0"/>
        <w:kinsoku/>
        <w:wordWrap/>
        <w:overflowPunct/>
        <w:topLinePunct w:val="0"/>
        <w:autoSpaceDE/>
        <w:autoSpaceDN/>
        <w:bidi w:val="0"/>
        <w:adjustRightInd/>
        <w:snapToGrid/>
        <w:spacing w:line="560" w:lineRule="exact"/>
        <w:ind w:firstLine="1340" w:firstLineChars="419"/>
        <w:textAlignment w:val="auto"/>
        <w:rPr>
          <w:rFonts w:hint="default" w:ascii="Times New Roman" w:hAnsi="Times New Roman" w:eastAsia="仿宋_GB2312" w:cs="Times New Roman"/>
          <w:sz w:val="32"/>
          <w:szCs w:val="32"/>
          <w:highlight w:val="none"/>
          <w:lang w:eastAsia="zh-CN"/>
        </w:rPr>
      </w:pP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项目过程情况</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项目过程类指标包括资金管理和组织实施两方面的内容，由5个三级指标构成，权重分值为20分，实际得分为19.6分率为 9</w:t>
      </w:r>
      <w:r>
        <w:rPr>
          <w:rFonts w:hint="eastAsia" w:ascii="Times New Roman" w:hAnsi="Times New Roman" w:eastAsia="仿宋_GB2312" w:cs="Times New Roman"/>
          <w:sz w:val="32"/>
          <w:szCs w:val="32"/>
          <w:highlight w:val="none"/>
          <w:lang w:val="en-US" w:eastAsia="zh-CN"/>
        </w:rPr>
        <w:t>8</w:t>
      </w:r>
      <w:r>
        <w:rPr>
          <w:rFonts w:hint="default" w:ascii="Times New Roman" w:hAnsi="Times New Roman" w:eastAsia="仿宋_GB2312" w:cs="Times New Roman"/>
          <w:sz w:val="32"/>
          <w:szCs w:val="32"/>
          <w:highlight w:val="none"/>
          <w:lang w:val="en-US" w:eastAsia="zh-CN"/>
        </w:rPr>
        <w:t>%</w:t>
      </w:r>
    </w:p>
    <w:p>
      <w:pPr>
        <w:pStyle w:val="22"/>
        <w:keepNext w:val="0"/>
        <w:keepLines w:val="0"/>
        <w:pageBreakBefore w:val="0"/>
        <w:widowControl w:val="0"/>
        <w:shd w:val="clear"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Style w:val="19"/>
          <w:rFonts w:hint="eastAsia" w:ascii="楷体" w:hAnsi="楷体" w:eastAsia="楷体"/>
          <w:spacing w:val="-4"/>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万元，财政资金及时足额到位，到位率</w:t>
      </w:r>
      <w:r>
        <w:rPr>
          <w:rStyle w:val="19"/>
          <w:rFonts w:hint="eastAsia" w:ascii="楷体" w:hAnsi="楷体" w:eastAsia="楷体"/>
          <w:spacing w:val="-4"/>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%，预算资金按计划进度执行。</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Style w:val="19"/>
          <w:rFonts w:hint="eastAsia" w:ascii="楷体" w:hAnsi="楷体" w:eastAsia="楷体"/>
          <w:spacing w:val="-4"/>
          <w:sz w:val="32"/>
          <w:szCs w:val="32"/>
          <w:highlight w:val="none"/>
          <w:lang w:val="en-US" w:eastAsia="zh-CN"/>
        </w:rPr>
        <w:t>655</w:t>
      </w:r>
      <w:r>
        <w:rPr>
          <w:rFonts w:hint="default" w:ascii="Times New Roman" w:hAnsi="Times New Roman" w:eastAsia="仿宋_GB2312" w:cs="Times New Roman"/>
          <w:sz w:val="32"/>
          <w:szCs w:val="32"/>
          <w:highlight w:val="none"/>
          <w:lang w:val="en-US" w:eastAsia="zh-CN"/>
        </w:rPr>
        <w:t>万元，预算执行率为</w:t>
      </w:r>
      <w:r>
        <w:rPr>
          <w:rStyle w:val="19"/>
          <w:rFonts w:hint="eastAsia" w:ascii="楷体" w:hAnsi="楷体" w:eastAsia="楷体"/>
          <w:spacing w:val="-4"/>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2"/>
        <w:keepNext w:val="0"/>
        <w:keepLines w:val="0"/>
        <w:pageBreakBefore w:val="0"/>
        <w:widowControl w:val="0"/>
        <w:shd w:val="clear" w:fill="auto"/>
        <w:kinsoku/>
        <w:wordWrap/>
        <w:overflowPunct/>
        <w:topLinePunct w:val="0"/>
        <w:autoSpaceDE/>
        <w:autoSpaceDN/>
        <w:bidi w:val="0"/>
        <w:adjustRightInd/>
        <w:snapToGrid/>
        <w:spacing w:line="560" w:lineRule="exact"/>
        <w:ind w:left="0" w:firstLine="64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fill="auto"/>
        <w:spacing w:line="600" w:lineRule="exact"/>
        <w:ind w:firstLine="64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highlight w:val="none"/>
          <w:lang w:val="en-US" w:eastAsia="zh-CN"/>
        </w:rPr>
        <w:t>单位</w:t>
      </w:r>
      <w:r>
        <w:rPr>
          <w:rFonts w:hint="default" w:ascii="Times New Roman" w:hAnsi="Times New Roman" w:eastAsia="仿宋_GB2312" w:cs="Times New Roman"/>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综上所述，本项目的管理制度在执行过程中表现出了高度的有效性，既确保了项目的顺利进行，又实现了项目目标的有效达成。</w:t>
      </w:r>
    </w:p>
    <w:p>
      <w:pPr>
        <w:pStyle w:val="15"/>
        <w:numPr>
          <w:ilvl w:val="0"/>
          <w:numId w:val="2"/>
        </w:numPr>
        <w:spacing w:line="560" w:lineRule="exact"/>
        <w:ind w:firstLine="643"/>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项目产出</w:t>
      </w:r>
      <w:r>
        <w:rPr>
          <w:rFonts w:hint="default" w:ascii="Times New Roman" w:hAnsi="Times New Roman" w:eastAsia="楷体_GB2312" w:cs="Times New Roman"/>
          <w:b/>
          <w:bCs/>
          <w:sz w:val="32"/>
          <w:szCs w:val="32"/>
          <w:highlight w:val="none"/>
          <w:lang w:val="en-US" w:eastAsia="zh-CN"/>
        </w:rPr>
        <w:t>情况</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ascii="Times New Roman" w:hAnsi="Times New Roman" w:eastAsia="仿宋_GB2312" w:cs="Times New Roman"/>
          <w:sz w:val="32"/>
          <w:szCs w:val="32"/>
          <w:highlight w:val="none"/>
          <w:lang w:val="en-US" w:eastAsia="zh-CN"/>
        </w:rPr>
        <w:t>39.7</w:t>
      </w:r>
      <w:r>
        <w:rPr>
          <w:rFonts w:hint="default" w:ascii="Times New Roman" w:hAnsi="Times New Roman" w:eastAsia="仿宋_GB2312" w:cs="Times New Roman"/>
          <w:sz w:val="32"/>
          <w:szCs w:val="32"/>
          <w:highlight w:val="none"/>
          <w:lang w:val="en-US" w:eastAsia="zh-CN"/>
        </w:rPr>
        <w:t>1分，得分率为99.</w:t>
      </w:r>
      <w:r>
        <w:rPr>
          <w:rFonts w:hint="eastAsia" w:ascii="Times New Roman" w:hAnsi="Times New Roman" w:eastAsia="仿宋_GB2312" w:cs="Times New Roman"/>
          <w:sz w:val="32"/>
          <w:szCs w:val="32"/>
          <w:highlight w:val="none"/>
          <w:lang w:val="en-US" w:eastAsia="zh-CN"/>
        </w:rPr>
        <w:t>27</w:t>
      </w:r>
      <w:r>
        <w:rPr>
          <w:rFonts w:hint="default" w:ascii="Times New Roman" w:hAnsi="Times New Roman" w:eastAsia="仿宋_GB2312" w:cs="Times New Roman"/>
          <w:sz w:val="32"/>
          <w:szCs w:val="32"/>
          <w:highlight w:val="none"/>
          <w:lang w:val="en-US" w:eastAsia="zh-CN"/>
        </w:rPr>
        <w:t>%。具体产出指标完成情况如下：</w:t>
      </w:r>
    </w:p>
    <w:p>
      <w:pPr>
        <w:shd w:val="clear" w:fill="auto"/>
        <w:spacing w:line="600" w:lineRule="exact"/>
        <w:ind w:firstLine="640"/>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1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①</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数量指标：</w:t>
      </w:r>
    </w:p>
    <w:p>
      <w:pPr>
        <w:widowControl w:val="0"/>
        <w:shd w:val="clear"/>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指标1：参加城乡居民基本医疗保险人员，指标值：&gt;=125920人，实际完成值： 122201人 ，指标完成率</w:t>
      </w:r>
      <w:r>
        <w:rPr>
          <w:rFonts w:hint="eastAsia" w:ascii="Times New Roman" w:hAnsi="Times New Roman" w:eastAsia="仿宋_GB2312" w:cs="Times New Roman"/>
          <w:kern w:val="2"/>
          <w:sz w:val="32"/>
          <w:szCs w:val="32"/>
          <w:highlight w:val="none"/>
          <w:lang w:val="en-US" w:eastAsia="zh-CN" w:bidi="ar-SA"/>
        </w:rPr>
        <w:t>97.05%</w:t>
      </w:r>
      <w:r>
        <w:rPr>
          <w:rFonts w:hint="default" w:ascii="Times New Roman" w:hAnsi="Times New Roman" w:eastAsia="仿宋_GB2312" w:cs="Times New Roman"/>
          <w:kern w:val="2"/>
          <w:sz w:val="32"/>
          <w:szCs w:val="32"/>
          <w:highlight w:val="none"/>
          <w:lang w:val="en-US" w:eastAsia="zh-CN" w:bidi="ar-SA"/>
        </w:rPr>
        <w:t>%，偏差原因：</w:t>
      </w:r>
      <w:r>
        <w:rPr>
          <w:rFonts w:hint="eastAsia" w:ascii="Times New Roman" w:hAnsi="Times New Roman" w:eastAsia="仿宋_GB2312" w:cs="Times New Roman"/>
          <w:kern w:val="2"/>
          <w:sz w:val="32"/>
          <w:szCs w:val="32"/>
          <w:highlight w:val="none"/>
          <w:lang w:val="en-US" w:eastAsia="zh-CN" w:bidi="ar-SA"/>
        </w:rPr>
        <w:t>转职工，外地转学参保人员增多，新增参保人员减少。</w:t>
      </w:r>
    </w:p>
    <w:p>
      <w:pPr>
        <w:widowControl w:val="0"/>
        <w:shd w:val="clear"/>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2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②</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质量指标：指标1：常驻人口参加城乡居民医疗保险比率 ，</w:t>
      </w:r>
      <w:r>
        <w:rPr>
          <w:rFonts w:hint="eastAsia" w:ascii="Times New Roman" w:hAnsi="Times New Roman" w:eastAsia="仿宋_GB2312" w:cs="Times New Roman"/>
          <w:kern w:val="2"/>
          <w:sz w:val="32"/>
          <w:szCs w:val="32"/>
          <w:highlight w:val="none"/>
          <w:lang w:val="en-US" w:eastAsia="zh-CN" w:bidi="ar-SA"/>
        </w:rPr>
        <w:t>指标值：&gt;=98%，实际完成值：98%，指标完成率100%。</w:t>
      </w:r>
    </w:p>
    <w:p>
      <w:pPr>
        <w:widowControl w:val="0"/>
        <w:shd w:val="clear"/>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指标2：参保人员实际报销比例 ，</w:t>
      </w:r>
      <w:r>
        <w:rPr>
          <w:rFonts w:hint="eastAsia" w:ascii="Times New Roman" w:hAnsi="Times New Roman" w:eastAsia="仿宋_GB2312" w:cs="Times New Roman"/>
          <w:kern w:val="2"/>
          <w:sz w:val="32"/>
          <w:szCs w:val="32"/>
          <w:highlight w:val="none"/>
          <w:lang w:val="en-US" w:eastAsia="zh-CN" w:bidi="ar-SA"/>
        </w:rPr>
        <w:t>指标值：&gt;=60%%，实际完成值：60%% ，指标完成率100%。</w:t>
      </w:r>
    </w:p>
    <w:p>
      <w:pPr>
        <w:widowControl w:val="0"/>
        <w:shd w:val="clear"/>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指标</w:t>
      </w:r>
      <w:r>
        <w:rPr>
          <w:rFonts w:hint="eastAsia" w:ascii="Times New Roman" w:hAnsi="Times New Roman" w:eastAsia="仿宋_GB2312" w:cs="Times New Roman"/>
          <w:kern w:val="2"/>
          <w:sz w:val="32"/>
          <w:szCs w:val="32"/>
          <w:highlight w:val="none"/>
          <w:lang w:val="en-US" w:eastAsia="zh-CN" w:bidi="ar-SA"/>
        </w:rPr>
        <w:t>3</w:t>
      </w:r>
      <w:r>
        <w:rPr>
          <w:rFonts w:hint="default" w:ascii="Times New Roman" w:hAnsi="Times New Roman" w:eastAsia="仿宋_GB2312" w:cs="Times New Roman"/>
          <w:kern w:val="2"/>
          <w:sz w:val="32"/>
          <w:szCs w:val="32"/>
          <w:highlight w:val="none"/>
          <w:lang w:val="en-US" w:eastAsia="zh-CN" w:bidi="ar-SA"/>
        </w:rPr>
        <w:t>：以户籍人口参保居民医疗保险比例</w:t>
      </w:r>
      <w:r>
        <w:rPr>
          <w:rFonts w:hint="eastAsia" w:ascii="Times New Roman" w:hAnsi="Times New Roman" w:eastAsia="仿宋_GB2312" w:cs="Times New Roman"/>
          <w:kern w:val="2"/>
          <w:sz w:val="32"/>
          <w:szCs w:val="32"/>
          <w:highlight w:val="none"/>
          <w:lang w:val="en-US" w:eastAsia="zh-CN" w:bidi="ar-SA"/>
        </w:rPr>
        <w:t>，指标值：&gt;=98%，实际完成值：98% ，指标完成率100%。</w:t>
      </w:r>
    </w:p>
    <w:p>
      <w:pPr>
        <w:widowControl w:val="0"/>
        <w:shd w:val="clear"/>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3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③</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时效指标：</w:t>
      </w:r>
      <w:r>
        <w:rPr>
          <w:rFonts w:hint="eastAsia" w:ascii="Times New Roman" w:hAnsi="Times New Roman" w:eastAsia="仿宋_GB2312" w:cs="Times New Roman"/>
          <w:kern w:val="2"/>
          <w:sz w:val="32"/>
          <w:szCs w:val="32"/>
          <w:highlight w:val="none"/>
          <w:lang w:val="en-US" w:eastAsia="zh-CN" w:bidi="ar-SA"/>
        </w:rPr>
        <w:t>发放城乡居民医疗保险补助资金及时率，指标值：=100%，实际完成值：100% ，指标完成率100%。</w:t>
      </w:r>
    </w:p>
    <w:p>
      <w:pPr>
        <w:widowControl w:val="0"/>
        <w:shd w:val="clear"/>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fldChar w:fldCharType="begin"/>
      </w:r>
      <w:r>
        <w:rPr>
          <w:rFonts w:hint="default" w:ascii="Times New Roman" w:hAnsi="Times New Roman" w:eastAsia="仿宋_GB2312" w:cs="Times New Roman"/>
          <w:kern w:val="2"/>
          <w:sz w:val="32"/>
          <w:szCs w:val="32"/>
          <w:highlight w:val="none"/>
          <w:lang w:val="en-US" w:eastAsia="zh-CN" w:bidi="ar-SA"/>
        </w:rPr>
        <w:instrText xml:space="preserve"> = 4 \* GB3 </w:instrText>
      </w:r>
      <w:r>
        <w:rPr>
          <w:rFonts w:hint="default" w:ascii="Times New Roman" w:hAnsi="Times New Roman" w:eastAsia="仿宋_GB2312" w:cs="Times New Roman"/>
          <w:kern w:val="2"/>
          <w:sz w:val="32"/>
          <w:szCs w:val="32"/>
          <w:highlight w:val="none"/>
          <w:lang w:val="en-US" w:eastAsia="zh-CN" w:bidi="ar-SA"/>
        </w:rPr>
        <w:fldChar w:fldCharType="separate"/>
      </w:r>
      <w:r>
        <w:rPr>
          <w:rFonts w:hint="default" w:ascii="Times New Roman" w:hAnsi="Times New Roman" w:eastAsia="仿宋_GB2312" w:cs="Times New Roman"/>
          <w:kern w:val="2"/>
          <w:sz w:val="32"/>
          <w:szCs w:val="32"/>
          <w:highlight w:val="none"/>
          <w:lang w:val="en-US" w:eastAsia="zh-CN" w:bidi="ar-SA"/>
        </w:rPr>
        <w:t>④</w:t>
      </w:r>
      <w:r>
        <w:rPr>
          <w:rFonts w:hint="default" w:ascii="Times New Roman" w:hAnsi="Times New Roman" w:eastAsia="仿宋_GB2312" w:cs="Times New Roman"/>
          <w:kern w:val="2"/>
          <w:sz w:val="32"/>
          <w:szCs w:val="32"/>
          <w:highlight w:val="none"/>
          <w:lang w:val="en-US" w:eastAsia="zh-CN" w:bidi="ar-SA"/>
        </w:rPr>
        <w:fldChar w:fldCharType="end"/>
      </w:r>
      <w:r>
        <w:rPr>
          <w:rFonts w:hint="default" w:ascii="Times New Roman" w:hAnsi="Times New Roman" w:eastAsia="仿宋_GB2312" w:cs="Times New Roman"/>
          <w:kern w:val="2"/>
          <w:sz w:val="32"/>
          <w:szCs w:val="32"/>
          <w:highlight w:val="none"/>
          <w:lang w:val="en-US" w:eastAsia="zh-CN" w:bidi="ar-SA"/>
        </w:rPr>
        <w:t>成本指标：</w:t>
      </w:r>
      <w:r>
        <w:rPr>
          <w:rFonts w:hint="eastAsia" w:ascii="Times New Roman" w:hAnsi="Times New Roman" w:eastAsia="仿宋_GB2312" w:cs="Times New Roman"/>
          <w:kern w:val="2"/>
          <w:sz w:val="32"/>
          <w:szCs w:val="32"/>
          <w:highlight w:val="none"/>
          <w:lang w:val="en-US" w:eastAsia="zh-CN" w:bidi="ar-SA"/>
        </w:rPr>
        <w:t>：城乡居民医疗保险县级配套资金标准指标值：=53.6元，，实际完成值：53.6元，指标完成率100%。</w:t>
      </w:r>
    </w:p>
    <w:p>
      <w:pPr>
        <w:shd w:val="clear" w:fill="auto"/>
        <w:spacing w:line="600" w:lineRule="exact"/>
        <w:ind w:firstLine="640"/>
        <w:outlineLvl w:val="0"/>
        <w:rPr>
          <w:rFonts w:hint="default" w:ascii="Times New Roman" w:hAnsi="Times New Roman" w:eastAsia="楷体_GB2312" w:cs="Times New Roman"/>
          <w:b/>
          <w:bCs/>
          <w:sz w:val="32"/>
          <w:szCs w:val="32"/>
          <w:highlight w:val="none"/>
          <w:lang w:val="en-US" w:eastAsia="zh-CN"/>
        </w:rPr>
      </w:pPr>
      <w:r>
        <w:rPr>
          <w:rFonts w:hint="default" w:ascii="Times New Roman" w:hAnsi="Times New Roman" w:eastAsia="楷体_GB2312" w:cs="Times New Roman"/>
          <w:b/>
          <w:bCs/>
          <w:sz w:val="32"/>
          <w:szCs w:val="32"/>
          <w:highlight w:val="none"/>
          <w:lang w:val="en-US" w:eastAsia="zh-CN"/>
        </w:rPr>
        <w:t>项目效益情况</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项目效益类指标包括项目实施效益和满意度两方面的内容，由1个三级指标构成，权重分为20分，实际得分20分，得分率为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sz w:val="32"/>
          <w:szCs w:val="32"/>
          <w:highlight w:val="none"/>
          <w:lang w:val="en-US" w:eastAsia="zh-CN"/>
        </w:rPr>
        <w:t>%。具体效益指标及满意度指标完成情况如下：</w:t>
      </w:r>
    </w:p>
    <w:p>
      <w:pPr>
        <w:shd w:val="clear" w:fill="auto"/>
        <w:spacing w:line="600" w:lineRule="exact"/>
        <w:ind w:firstLine="64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widowControl w:val="0"/>
        <w:shd w:val="clear"/>
        <w:spacing w:line="600" w:lineRule="exact"/>
        <w:ind w:firstLine="640" w:firstLineChars="200"/>
        <w:jc w:val="both"/>
        <w:outlineLvl w:val="0"/>
        <w:rPr>
          <w:rFonts w:hint="default" w:ascii="Times New Roman" w:hAnsi="Times New Roman" w:eastAsia="仿宋_GB2312" w:cs="Times New Roman"/>
          <w:kern w:val="2"/>
          <w:sz w:val="32"/>
          <w:szCs w:val="32"/>
          <w:highlight w:val="none"/>
          <w:lang w:val="en-US" w:eastAsia="zh-CN" w:bidi="ar-SA"/>
        </w:rPr>
      </w:pPr>
      <w:r>
        <w:rPr>
          <w:rFonts w:hint="default" w:ascii="Times New Roman" w:hAnsi="Times New Roman" w:eastAsia="仿宋_GB2312" w:cs="Times New Roman"/>
          <w:kern w:val="2"/>
          <w:sz w:val="32"/>
          <w:szCs w:val="32"/>
          <w:highlight w:val="none"/>
          <w:lang w:val="en-US" w:eastAsia="zh-CN" w:bidi="ar-SA"/>
        </w:rPr>
        <w:t>①社会效益指标：</w:t>
      </w:r>
      <w:r>
        <w:rPr>
          <w:rFonts w:hint="eastAsia" w:ascii="Times New Roman" w:hAnsi="Times New Roman" w:eastAsia="仿宋_GB2312" w:cs="Times New Roman"/>
          <w:kern w:val="2"/>
          <w:sz w:val="32"/>
          <w:szCs w:val="32"/>
          <w:highlight w:val="none"/>
          <w:lang w:val="en-US" w:eastAsia="zh-CN" w:bidi="ar-SA"/>
        </w:rPr>
        <w:t>减轻参保人员就医经济负担，指标值：有效减轻，实际完成值：有效减轻 ，指标完成率100%。</w:t>
      </w:r>
    </w:p>
    <w:p>
      <w:pPr>
        <w:widowControl w:val="0"/>
        <w:numPr>
          <w:numId w:val="0"/>
        </w:numPr>
        <w:shd w:val="clear"/>
        <w:spacing w:line="600" w:lineRule="exact"/>
        <w:ind w:firstLine="640" w:firstLineChars="200"/>
        <w:jc w:val="both"/>
        <w:outlineLvl w:val="0"/>
        <w:rPr>
          <w:rFonts w:hint="eastAsia" w:ascii="Times New Roman" w:hAnsi="Times New Roman" w:eastAsia="仿宋_GB2312" w:cs="Times New Roman"/>
          <w:kern w:val="2"/>
          <w:sz w:val="32"/>
          <w:szCs w:val="32"/>
          <w:highlight w:val="none"/>
          <w:lang w:val="en-US" w:eastAsia="zh-CN" w:bidi="ar-SA"/>
        </w:rPr>
      </w:pPr>
      <w:r>
        <w:rPr>
          <w:rFonts w:hint="eastAsia" w:eastAsia="仿宋_GB2312" w:cs="Times New Roman"/>
          <w:kern w:val="2"/>
          <w:sz w:val="32"/>
          <w:szCs w:val="32"/>
          <w:highlight w:val="none"/>
          <w:lang w:val="en-US" w:eastAsia="zh-CN" w:bidi="ar-SA"/>
        </w:rPr>
        <w:t>2.</w:t>
      </w:r>
      <w:r>
        <w:rPr>
          <w:rFonts w:hint="default" w:ascii="Times New Roman" w:hAnsi="Times New Roman" w:eastAsia="仿宋_GB2312" w:cs="Times New Roman"/>
          <w:kern w:val="2"/>
          <w:sz w:val="32"/>
          <w:szCs w:val="32"/>
          <w:highlight w:val="none"/>
          <w:lang w:val="en-US" w:eastAsia="zh-CN" w:bidi="ar-SA"/>
        </w:rPr>
        <w:t>满意度</w:t>
      </w:r>
      <w:r>
        <w:rPr>
          <w:rFonts w:hint="eastAsia" w:ascii="Times New Roman" w:hAnsi="Times New Roman" w:eastAsia="仿宋_GB2312" w:cs="Times New Roman"/>
          <w:kern w:val="2"/>
          <w:sz w:val="32"/>
          <w:szCs w:val="32"/>
          <w:highlight w:val="none"/>
          <w:lang w:val="en-US" w:eastAsia="zh-CN" w:bidi="ar-SA"/>
        </w:rPr>
        <w:t>：城乡居民医疗保险参保对象满意度，指标值：&gt;=95%，实际完成值：95% ，指标完成率100%。</w:t>
      </w:r>
    </w:p>
    <w:p>
      <w:pPr>
        <w:widowControl w:val="0"/>
        <w:numPr>
          <w:ilvl w:val="0"/>
          <w:numId w:val="0"/>
        </w:numPr>
        <w:shd w:val="clear"/>
        <w:spacing w:line="600" w:lineRule="exact"/>
        <w:jc w:val="both"/>
        <w:outlineLvl w:val="0"/>
        <w:rPr>
          <w:rFonts w:hint="default" w:ascii="Times New Roman" w:hAnsi="Times New Roman" w:eastAsia="仿宋_GB2312" w:cs="Times New Roman"/>
          <w:kern w:val="2"/>
          <w:sz w:val="32"/>
          <w:szCs w:val="32"/>
          <w:highlight w:val="none"/>
          <w:lang w:val="en-US" w:eastAsia="zh-CN" w:bidi="ar-SA"/>
        </w:rPr>
      </w:pPr>
    </w:p>
    <w:p>
      <w:pPr>
        <w:widowControl w:val="0"/>
        <w:spacing w:line="560" w:lineRule="exact"/>
        <w:ind w:firstLine="640" w:firstLineChars="200"/>
        <w:jc w:val="both"/>
        <w:rPr>
          <w:rFonts w:hint="default" w:eastAsia="黑体" w:cs="Times New Roman"/>
          <w:kern w:val="2"/>
          <w:sz w:val="32"/>
          <w:szCs w:val="32"/>
          <w:highlight w:val="none"/>
          <w:lang w:val="en-US" w:eastAsia="zh-Hans" w:bidi="ar-SA"/>
        </w:rPr>
      </w:pPr>
      <w:r>
        <w:rPr>
          <w:rFonts w:hint="default" w:eastAsia="黑体" w:cs="Times New Roman"/>
          <w:kern w:val="2"/>
          <w:sz w:val="32"/>
          <w:szCs w:val="32"/>
          <w:highlight w:val="none"/>
          <w:lang w:val="en-US" w:eastAsia="zh-CN" w:bidi="ar-SA"/>
        </w:rPr>
        <w:t>（五）</w:t>
      </w:r>
      <w:r>
        <w:rPr>
          <w:rFonts w:hint="default" w:eastAsia="黑体" w:cs="Times New Roman"/>
          <w:kern w:val="2"/>
          <w:sz w:val="32"/>
          <w:szCs w:val="32"/>
          <w:highlight w:val="none"/>
          <w:lang w:val="en-US" w:eastAsia="zh-Hans" w:bidi="ar-SA"/>
        </w:rPr>
        <w:t>预算执行进度与绩效指标总体完成率偏差</w:t>
      </w:r>
    </w:p>
    <w:p>
      <w:pPr>
        <w:spacing w:line="560" w:lineRule="exact"/>
        <w:ind w:firstLine="64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城乡居民基本医疗保险</w:t>
      </w:r>
      <w:r>
        <w:rPr>
          <w:rFonts w:hint="default" w:ascii="Times New Roman" w:hAnsi="Times New Roman" w:eastAsia="仿宋_GB2312" w:cs="Times New Roman"/>
          <w:sz w:val="32"/>
          <w:szCs w:val="32"/>
          <w:highlight w:val="none"/>
          <w:lang w:val="en-US" w:eastAsia="zh-CN"/>
        </w:rPr>
        <w:t>项目年初预算</w:t>
      </w:r>
      <w:r>
        <w:rPr>
          <w:rFonts w:hint="eastAsia" w:ascii="Times New Roman" w:hAnsi="Times New Roman" w:eastAsia="仿宋_GB2312" w:cs="Times New Roman"/>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万元，全年预算</w:t>
      </w:r>
      <w:r>
        <w:rPr>
          <w:rFonts w:hint="eastAsia" w:ascii="Times New Roman" w:hAnsi="Times New Roman" w:eastAsia="仿宋_GB2312" w:cs="Times New Roman"/>
          <w:sz w:val="32"/>
          <w:szCs w:val="32"/>
          <w:highlight w:val="none"/>
          <w:lang w:val="en-US" w:eastAsia="zh-CN"/>
        </w:rPr>
        <w:t>674.93</w:t>
      </w:r>
      <w:r>
        <w:rPr>
          <w:rFonts w:hint="default" w:ascii="Times New Roman" w:hAnsi="Times New Roman" w:eastAsia="仿宋_GB2312" w:cs="Times New Roman"/>
          <w:sz w:val="32"/>
          <w:szCs w:val="32"/>
          <w:highlight w:val="none"/>
          <w:lang w:val="en-US" w:eastAsia="zh-CN"/>
        </w:rPr>
        <w:t>万元，实际支出</w:t>
      </w:r>
      <w:r>
        <w:rPr>
          <w:rFonts w:hint="eastAsia" w:ascii="Times New Roman" w:hAnsi="Times New Roman" w:eastAsia="仿宋_GB2312" w:cs="Times New Roman"/>
          <w:sz w:val="32"/>
          <w:szCs w:val="32"/>
          <w:highlight w:val="none"/>
          <w:lang w:val="en-US" w:eastAsia="zh-CN"/>
        </w:rPr>
        <w:t>655</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97.05</w:t>
      </w:r>
      <w:r>
        <w:rPr>
          <w:rFonts w:hint="default" w:ascii="Times New Roman" w:hAnsi="Times New Roman" w:eastAsia="仿宋_GB2312" w:cs="Times New Roman"/>
          <w:sz w:val="32"/>
          <w:szCs w:val="32"/>
          <w:highlight w:val="none"/>
          <w:lang w:val="en-US" w:eastAsia="zh-CN"/>
        </w:rPr>
        <w:t>%，项目绩效指标总体完成率为</w:t>
      </w:r>
      <w:r>
        <w:rPr>
          <w:rFonts w:hint="eastAsia" w:ascii="Times New Roman" w:hAnsi="Times New Roman" w:eastAsia="仿宋_GB2312" w:cs="Times New Roman"/>
          <w:sz w:val="32"/>
          <w:szCs w:val="32"/>
          <w:highlight w:val="none"/>
          <w:lang w:val="en-US" w:eastAsia="zh-CN"/>
        </w:rPr>
        <w:t>99.63</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Hans"/>
        </w:rPr>
        <w:t>总体</w:t>
      </w:r>
      <w:r>
        <w:rPr>
          <w:rFonts w:hint="default" w:ascii="Times New Roman" w:hAnsi="Times New Roman" w:eastAsia="仿宋_GB2312" w:cs="Times New Roman"/>
          <w:sz w:val="32"/>
          <w:szCs w:val="32"/>
          <w:highlight w:val="none"/>
          <w:lang w:val="en-US" w:eastAsia="zh-CN"/>
        </w:rPr>
        <w:t>偏差率为</w:t>
      </w:r>
      <w:r>
        <w:rPr>
          <w:rFonts w:hint="eastAsia" w:ascii="Times New Roman" w:hAnsi="Times New Roman" w:eastAsia="仿宋_GB2312" w:cs="Times New Roman"/>
          <w:sz w:val="32"/>
          <w:szCs w:val="32"/>
          <w:highlight w:val="none"/>
          <w:lang w:val="en-US" w:eastAsia="zh-CN"/>
        </w:rPr>
        <w:t>0.37</w:t>
      </w:r>
      <w:r>
        <w:rPr>
          <w:rFonts w:hint="default" w:ascii="Times New Roman" w:hAnsi="Times New Roman"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Hans"/>
        </w:rPr>
        <w:t>偏差</w:t>
      </w:r>
      <w:r>
        <w:rPr>
          <w:rFonts w:hint="default" w:ascii="Times New Roman" w:hAnsi="Times New Roman" w:eastAsia="仿宋_GB2312" w:cs="Times New Roman"/>
          <w:sz w:val="32"/>
          <w:szCs w:val="32"/>
          <w:highlight w:val="none"/>
          <w:lang w:val="en-US" w:eastAsia="zh-CN"/>
        </w:rPr>
        <w:t>原因</w:t>
      </w:r>
      <w:r>
        <w:rPr>
          <w:rFonts w:hint="eastAsia" w:ascii="Times New Roman" w:hAnsi="Times New Roman" w:eastAsia="仿宋_GB2312" w:cs="Times New Roman"/>
          <w:sz w:val="32"/>
          <w:szCs w:val="32"/>
          <w:highlight w:val="none"/>
          <w:lang w:val="en-US" w:eastAsia="zh-CN"/>
        </w:rPr>
        <w:t>：参保人员转职工，外地转学参保人员增多，新增参保人员减少等原因达不到目标</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Hans"/>
        </w:rPr>
        <w:t>改进</w:t>
      </w:r>
      <w:r>
        <w:rPr>
          <w:rFonts w:hint="default" w:ascii="Times New Roman" w:hAnsi="Times New Roman" w:eastAsia="仿宋_GB2312" w:cs="Times New Roman"/>
          <w:sz w:val="32"/>
          <w:szCs w:val="32"/>
          <w:highlight w:val="none"/>
          <w:lang w:val="en-US" w:eastAsia="zh-CN"/>
        </w:rPr>
        <w:t>措施</w:t>
      </w:r>
      <w:r>
        <w:rPr>
          <w:rFonts w:hint="eastAsia" w:ascii="Times New Roman" w:hAnsi="Times New Roman" w:eastAsia="仿宋_GB2312" w:cs="Times New Roman"/>
          <w:sz w:val="32"/>
          <w:szCs w:val="32"/>
          <w:highlight w:val="none"/>
          <w:lang w:val="en-US" w:eastAsia="zh-CN"/>
        </w:rPr>
        <w:t>：通过发布宣传资料，电视媒体滚动播放，以会代训等各种途径进行广泛的宣传动员，让群众理解、支持并积极参保，超额完成目标。</w:t>
      </w:r>
    </w:p>
    <w:p>
      <w:pPr>
        <w:spacing w:line="560" w:lineRule="exact"/>
        <w:ind w:firstLine="640"/>
        <w:rPr>
          <w:rStyle w:val="21"/>
          <w:rFonts w:hint="default" w:ascii="Times New Roman" w:hAnsi="Times New Roman" w:cs="Times New Roman"/>
          <w:color w:val="auto"/>
          <w:highlight w:val="none"/>
        </w:rPr>
      </w:pPr>
      <w:r>
        <w:rPr>
          <w:rFonts w:hint="eastAsia" w:eastAsia="黑体" w:cs="Times New Roman"/>
          <w:sz w:val="32"/>
          <w:szCs w:val="32"/>
          <w:highlight w:val="none"/>
          <w:lang w:val="en-US" w:eastAsia="zh-CN"/>
        </w:rPr>
        <w:t>五</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主要经验及做法、存在的问题及原因分析</w:t>
      </w:r>
    </w:p>
    <w:p>
      <w:pPr>
        <w:spacing w:line="560" w:lineRule="exact"/>
        <w:ind w:firstLine="627"/>
        <w:rPr>
          <w:rFonts w:hint="default" w:ascii="Times New Roman" w:hAnsi="Times New Roman" w:eastAsia="楷体" w:cs="Times New Roman"/>
          <w:b/>
          <w:spacing w:val="-4"/>
          <w:sz w:val="32"/>
          <w:szCs w:val="32"/>
          <w:highlight w:val="none"/>
        </w:rPr>
      </w:pPr>
      <w:r>
        <w:rPr>
          <w:rFonts w:hint="default" w:ascii="Times New Roman" w:hAnsi="Times New Roman" w:eastAsia="楷体" w:cs="Times New Roman"/>
          <w:b/>
          <w:spacing w:val="-4"/>
          <w:sz w:val="32"/>
          <w:szCs w:val="32"/>
          <w:highlight w:val="none"/>
        </w:rPr>
        <w:t>（一）主要经验及做法</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spacing w:line="560" w:lineRule="exact"/>
        <w:ind w:firstLine="64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严格坚持先做事、后验收、再拨付的原则，</w:t>
      </w:r>
      <w:r>
        <w:rPr>
          <w:rFonts w:hint="eastAsia" w:ascii="Times New Roman" w:hAnsi="Times New Roman" w:eastAsia="仿宋_GB2312" w:cs="Times New Roman"/>
          <w:sz w:val="32"/>
          <w:szCs w:val="32"/>
          <w:highlight w:val="none"/>
          <w:lang w:eastAsia="zh-CN"/>
        </w:rPr>
        <w:t>杜绝</w:t>
      </w:r>
      <w:r>
        <w:rPr>
          <w:rFonts w:hint="default" w:ascii="Times New Roman" w:hAnsi="Times New Roman" w:eastAsia="仿宋_GB2312" w:cs="Times New Roman"/>
          <w:sz w:val="32"/>
          <w:szCs w:val="32"/>
          <w:highlight w:val="none"/>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3"/>
        </w:numPr>
        <w:kinsoku/>
        <w:wordWrap/>
        <w:overflowPunct/>
        <w:topLinePunct w:val="0"/>
        <w:autoSpaceDE/>
        <w:autoSpaceDN/>
        <w:bidi w:val="0"/>
        <w:adjustRightInd/>
        <w:snapToGrid/>
        <w:spacing w:line="560" w:lineRule="exact"/>
        <w:ind w:firstLine="641"/>
        <w:textAlignment w:val="auto"/>
        <w:rPr>
          <w:rFonts w:hint="default" w:ascii="Times New Roman" w:hAnsi="Times New Roman" w:eastAsia="楷体_GB2312" w:cs="Times New Roman"/>
          <w:b/>
          <w:bCs/>
          <w:sz w:val="32"/>
          <w:szCs w:val="32"/>
          <w:highlight w:val="none"/>
        </w:rPr>
      </w:pPr>
      <w:r>
        <w:rPr>
          <w:rFonts w:hint="default" w:ascii="Times New Roman" w:hAnsi="Times New Roman" w:eastAsia="楷体_GB2312" w:cs="Times New Roman"/>
          <w:b/>
          <w:bCs/>
          <w:sz w:val="32"/>
          <w:szCs w:val="32"/>
          <w:highlight w:val="none"/>
        </w:rPr>
        <w:t>存在的问题及原因分析</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rPr>
          <w:rFonts w:hint="default" w:ascii="Times New Roman" w:hAnsi="Times New Roman" w:eastAsia="黑体" w:cs="Times New Roman"/>
          <w:sz w:val="32"/>
          <w:szCs w:val="32"/>
          <w:highlight w:val="none"/>
        </w:rPr>
      </w:pPr>
      <w:r>
        <w:rPr>
          <w:rFonts w:hint="eastAsia" w:ascii="Times New Roman" w:hAnsi="Times New Roman" w:eastAsia="黑体" w:cs="Times New Roman"/>
          <w:sz w:val="32"/>
          <w:szCs w:val="32"/>
          <w:highlight w:val="none"/>
          <w:lang w:val="en-US" w:eastAsia="zh-CN"/>
        </w:rPr>
        <w:t>六</w:t>
      </w:r>
      <w:r>
        <w:rPr>
          <w:rFonts w:hint="default" w:ascii="Times New Roman" w:hAnsi="Times New Roman" w:eastAsia="黑体" w:cs="Times New Roman"/>
          <w:sz w:val="32"/>
          <w:szCs w:val="32"/>
          <w:highlight w:val="none"/>
          <w:lang w:val="en-US" w:eastAsia="zh-CN"/>
        </w:rPr>
        <w:t>.</w:t>
      </w:r>
      <w:r>
        <w:rPr>
          <w:rFonts w:hint="default" w:ascii="Times New Roman" w:hAnsi="Times New Roman" w:eastAsia="黑体" w:cs="Times New Roman"/>
          <w:sz w:val="32"/>
          <w:szCs w:val="32"/>
          <w:highlight w:val="none"/>
        </w:rPr>
        <w:t>有关建议</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fill="auto"/>
        <w:spacing w:line="600" w:lineRule="exact"/>
        <w:ind w:firstLine="640"/>
        <w:outlineLvl w:val="0"/>
        <w:rPr>
          <w:rFonts w:hint="default" w:ascii="Times New Roman" w:hAnsi="Times New Roman" w:cs="Times New Roman"/>
          <w:sz w:val="22"/>
          <w:szCs w:val="28"/>
          <w:highlight w:val="none"/>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highlight w:val="none"/>
        </w:rPr>
        <w:t>。</w:t>
      </w:r>
    </w:p>
    <w:p>
      <w:pPr>
        <w:shd w:val="clear" w:fill="auto"/>
        <w:spacing w:line="600" w:lineRule="exact"/>
        <w:ind w:firstLine="64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rPr>
          <w:rFonts w:hint="default" w:ascii="Times New Roman" w:hAnsi="Times New Roman" w:eastAsia="黑体" w:cs="Times New Roman"/>
          <w:sz w:val="32"/>
          <w:szCs w:val="32"/>
          <w:highlight w:val="none"/>
        </w:rPr>
      </w:pPr>
      <w:r>
        <w:rPr>
          <w:rFonts w:hint="eastAsia" w:eastAsia="黑体" w:cs="Times New Roman"/>
          <w:sz w:val="32"/>
          <w:szCs w:val="32"/>
          <w:highlight w:val="none"/>
          <w:lang w:val="en-US" w:eastAsia="zh-CN"/>
        </w:rPr>
        <w:t>七</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黑体" w:cs="Times New Roman"/>
          <w:sz w:val="32"/>
          <w:szCs w:val="32"/>
          <w:highlight w:val="none"/>
        </w:rPr>
        <w:t>其他需要说</w:t>
      </w:r>
      <w:bookmarkStart w:id="0" w:name="page8"/>
      <w:bookmarkEnd w:id="0"/>
      <w:r>
        <w:rPr>
          <w:rFonts w:hint="default" w:ascii="Times New Roman" w:hAnsi="Times New Roman" w:eastAsia="黑体" w:cs="Times New Roman"/>
          <w:sz w:val="32"/>
          <w:szCs w:val="32"/>
          <w:highlight w:val="none"/>
        </w:rPr>
        <w:t>明的问题</w:t>
      </w:r>
    </w:p>
    <w:p>
      <w:pPr>
        <w:pStyle w:val="16"/>
        <w:spacing w:after="0" w:line="560" w:lineRule="exact"/>
        <w:ind w:left="0" w:firstLine="640"/>
        <w:rPr>
          <w:rFonts w:hint="default" w:ascii="Times New Roman" w:hAnsi="Times New Roman" w:eastAsia="仿宋_GB2312" w:cs="Times New Roman"/>
          <w:sz w:val="32"/>
          <w:szCs w:val="32"/>
          <w:highlight w:val="none"/>
          <w:lang w:eastAsia="zh-Hans"/>
        </w:rPr>
      </w:pPr>
      <w:r>
        <w:rPr>
          <w:rFonts w:hint="default" w:ascii="Times New Roman" w:hAnsi="Times New Roman" w:eastAsia="仿宋_GB2312" w:cs="Times New Roman"/>
          <w:sz w:val="32"/>
          <w:szCs w:val="32"/>
          <w:highlight w:val="none"/>
          <w:lang w:eastAsia="zh-Hans"/>
        </w:rPr>
        <w:t>本项目无其他需说明的问题。</w:t>
      </w:r>
    </w:p>
    <w:p>
      <w:pPr>
        <w:pStyle w:val="16"/>
        <w:spacing w:after="0" w:line="560" w:lineRule="exact"/>
        <w:ind w:left="0" w:firstLine="640"/>
        <w:rPr>
          <w:rFonts w:hint="eastAsia" w:ascii="Times New Roman" w:hAnsi="Times New Roman" w:eastAsia="仿宋_GB2312" w:cs="Times New Roman"/>
          <w:sz w:val="32"/>
          <w:szCs w:val="32"/>
          <w:highlight w:val="none"/>
          <w:lang w:eastAsia="zh-CN"/>
        </w:rPr>
      </w:pPr>
    </w:p>
    <w:p>
      <w:pPr>
        <w:pStyle w:val="16"/>
        <w:spacing w:after="0" w:line="560" w:lineRule="exact"/>
        <w:ind w:left="0" w:firstLine="640"/>
        <w:rPr>
          <w:rFonts w:hint="eastAsia" w:ascii="Times New Roman" w:hAnsi="Times New Roman" w:eastAsia="仿宋_GB2312" w:cs="Times New Roman"/>
          <w:sz w:val="32"/>
          <w:szCs w:val="32"/>
          <w:highlight w:val="none"/>
          <w:lang w:eastAsia="zh-CN"/>
        </w:rPr>
      </w:pPr>
    </w:p>
    <w:p>
      <w:pPr>
        <w:spacing w:line="600" w:lineRule="exact"/>
        <w:rPr>
          <w:rFonts w:hint="eastAsia" w:ascii="Times New Roman" w:hAnsi="Times New Roman" w:eastAsia="黑体" w:cs="Times New Roman"/>
          <w:sz w:val="32"/>
          <w:szCs w:val="32"/>
          <w:highlight w:val="none"/>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2"/>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Style w:val="19"/>
          <w:rFonts w:hint="eastAsia" w:ascii="楷体" w:hAnsi="楷体" w:eastAsia="楷体"/>
          <w:spacing w:val="-4"/>
          <w:sz w:val="32"/>
          <w:szCs w:val="32"/>
        </w:rPr>
        <w:t>城乡居民基本医疗保险</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7"/>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vMerge w:val="continue"/>
          </w:tcP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sz w:val="18"/>
                <w:szCs w:val="18"/>
              </w:rPr>
              <w:br w:type="textWrapping"/>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vMerge w:val="continue"/>
          </w:tcP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p>
          <w:p>
            <w:pPr>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3.6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vMerge w:val="continue"/>
          </w:tcPr>
          <w:p/>
        </w:tc>
        <w:tc>
          <w:tcPr>
            <w:tcW w:w="394"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vMerge w:val="continue"/>
          </w:tcP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rPr>
            </w:pPr>
            <w:r>
              <w:rPr>
                <w:rFonts w:hint="default" w:ascii="宋体" w:eastAsia="宋体"/>
                <w:b/>
                <w:color w:val="000000"/>
                <w:kern w:val="0"/>
                <w:sz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vMerge w:val="continue"/>
          </w:tcPr>
          <w:p/>
        </w:tc>
        <w:tc>
          <w:tcPr>
            <w:tcW w:w="394"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vMerge w:val="continue"/>
          </w:tcPr>
          <w:p/>
        </w:tc>
        <w:tc>
          <w:tcPr>
            <w:tcW w:w="394" w:type="pct"/>
            <w:shd w:val="clear" w:color="auto" w:fill="FFFFFF"/>
            <w:vAlign w:val="center"/>
          </w:tcPr>
          <w:p>
            <w:pPr>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vMerge w:val="continue"/>
          </w:tcPr>
          <w:p/>
        </w:tc>
        <w:tc>
          <w:tcPr>
            <w:tcW w:w="394"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vMerge w:val="continue"/>
          </w:tcPr>
          <w:p/>
        </w:tc>
        <w:tc>
          <w:tcPr>
            <w:vMerge w:val="continue"/>
          </w:tcPr>
          <w:p/>
        </w:tc>
        <w:tc>
          <w:tcPr>
            <w:tcW w:w="422" w:type="pct"/>
            <w:shd w:val="clear" w:color="auto" w:fill="FFFFFF"/>
            <w:vAlign w:val="center"/>
          </w:tcPr>
          <w:p>
            <w:pPr>
              <w:widowControl/>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spacing w:beforeLines="0" w:afterLines="0" w:line="240" w:lineRule="atLeast"/>
              <w:jc w:val="center"/>
              <w:rPr>
                <w:rFonts w:hint="default" w:ascii="Times New Roman" w:hAnsi="Times New Roman" w:eastAsia="仿宋_GB2312" w:cs="Times New Roman"/>
                <w:b/>
                <w:bCs/>
                <w:color w:val="000000"/>
                <w:kern w:val="0"/>
                <w:sz w:val="18"/>
                <w:szCs w:val="18"/>
                <w:highlight w:val="none"/>
              </w:rPr>
            </w:pPr>
            <w:r>
              <w:rPr>
                <w:rFonts w:hint="default" w:ascii="宋体" w:eastAsia="宋体"/>
                <w:b/>
                <w:color w:val="000000"/>
                <w:kern w:val="0"/>
                <w:sz w:val="22"/>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7"/>
        <w:tblW w:w="5142"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5"/>
        <w:gridCol w:w="1275"/>
        <w:gridCol w:w="1295"/>
        <w:gridCol w:w="1019"/>
        <w:gridCol w:w="1125"/>
        <w:gridCol w:w="1149"/>
        <w:gridCol w:w="912"/>
        <w:gridCol w:w="826"/>
        <w:gridCol w:w="1158"/>
        <w:gridCol w:w="1049"/>
        <w:gridCol w:w="449"/>
        <w:gridCol w:w="570"/>
        <w:gridCol w:w="819"/>
        <w:gridCol w:w="169"/>
        <w:gridCol w:w="570"/>
        <w:gridCol w:w="11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7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42" w:type="pct"/>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城乡居民基本医疗保险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57"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11"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特克斯县医疗保障局</w:t>
            </w:r>
          </w:p>
        </w:tc>
        <w:tc>
          <w:tcPr>
            <w:tcW w:w="6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特克斯县医疗保障局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57"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color w:val="000000"/>
                <w:sz w:val="18"/>
                <w:szCs w:val="18"/>
                <w:u w:val="none"/>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5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674.93</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674.93</w:t>
            </w:r>
          </w:p>
        </w:tc>
        <w:tc>
          <w:tcPr>
            <w:tcW w:w="6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655.00</w:t>
            </w: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w:t>
            </w:r>
          </w:p>
        </w:tc>
        <w:tc>
          <w:tcPr>
            <w:tcW w:w="5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97.05%</w:t>
            </w:r>
          </w:p>
        </w:tc>
        <w:tc>
          <w:tcPr>
            <w:tcW w:w="5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9.26分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80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674.93</w:t>
            </w:r>
          </w:p>
        </w:tc>
        <w:tc>
          <w:tcPr>
            <w:tcW w:w="71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674.93</w:t>
            </w:r>
          </w:p>
        </w:tc>
        <w:tc>
          <w:tcPr>
            <w:tcW w:w="68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gridSpan w:val="2"/>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803"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39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0</w:t>
            </w:r>
          </w:p>
        </w:tc>
        <w:tc>
          <w:tcPr>
            <w:tcW w:w="71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bookmarkStart w:id="3" w:name="_GoBack"/>
            <w:bookmarkEnd w:id="3"/>
            <w:r>
              <w:rPr>
                <w:rFonts w:hint="eastAsia" w:ascii="仿宋_GB2312" w:hAnsi="仿宋_GB2312" w:eastAsia="仿宋_GB2312" w:cs="仿宋_GB2312"/>
                <w:i w:val="0"/>
                <w:iCs w:val="0"/>
                <w:color w:val="000000"/>
                <w:sz w:val="18"/>
                <w:szCs w:val="18"/>
                <w:u w:val="none"/>
              </w:rPr>
              <w:t>0</w:t>
            </w:r>
          </w:p>
        </w:tc>
        <w:tc>
          <w:tcPr>
            <w:tcW w:w="689"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20"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41"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43"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3043"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居民医疗保险参保率稳定在95%以上，稳步提高财政补助资金，确保参保人员的医疗待遇落实，按时足额安排财政补助资金，确保在每年9月底以前全部各级财政配套资金到位，减轻参保人员就医经济负担，缓解社会矛盾。</w:t>
            </w:r>
          </w:p>
        </w:tc>
        <w:tc>
          <w:tcPr>
            <w:tcW w:w="1641"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610"/>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ab/>
            </w:r>
            <w:r>
              <w:rPr>
                <w:rFonts w:hint="eastAsia" w:ascii="仿宋_GB2312" w:hAnsi="仿宋_GB2312" w:eastAsia="仿宋_GB2312" w:cs="仿宋_GB2312"/>
                <w:i w:val="0"/>
                <w:iCs w:val="0"/>
                <w:color w:val="000000"/>
                <w:sz w:val="18"/>
                <w:szCs w:val="18"/>
                <w:u w:val="none"/>
                <w:lang w:eastAsia="zh-CN"/>
              </w:rPr>
              <w:t>1.城乡居民医疗保险参保率稳定在95%以上，稳步提高财政补助资金，确保参保人员的医疗待遇落实，按时足额安排财政补助资金，确保在每年9月底以前全部各级财政配套资金到位，减轻参保人员就医经济负担，缓解社会矛盾。</w:t>
            </w:r>
          </w:p>
          <w:p>
            <w:pPr>
              <w:tabs>
                <w:tab w:val="left" w:pos="610"/>
              </w:tabs>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eastAsia="zh-CN"/>
              </w:rPr>
              <w:t>实际完成目标：积极推挤了全民参保计划，城乡居民基本医疗保险参保人数达到12.22万人;2：已稳步提高财政补助资金，确保了城乡居民医疗保险参保人员的医疗待遇落实;目标3：已按时足额安排财政补助资金，全面落实了大病保险制度，减轻了参保人员的经济负担，较大缓解了社会矛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14"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2"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43"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4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53" w:type="pct"/>
            <w:tcBorders>
              <w:top w:val="single" w:color="000000" w:sz="4" w:space="0"/>
              <w:left w:val="nil"/>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参加城乡居民基本医疗保险人员</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&gt;=125920人</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122120人</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122201人</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97.05%</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9.71</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Times New Roman" w:hAnsi="Times New Roman" w:eastAsia="仿宋_GB2312" w:cs="Times New Roman"/>
                <w:kern w:val="2"/>
                <w:sz w:val="32"/>
                <w:szCs w:val="32"/>
                <w:highlight w:val="none"/>
                <w:lang w:val="en-US" w:eastAsia="zh-CN" w:bidi="ar-SA"/>
              </w:rPr>
            </w:pPr>
            <w:r>
              <w:rPr>
                <w:rFonts w:hint="eastAsia" w:ascii="仿宋_GB2312" w:hAnsi="仿宋_GB2312" w:eastAsia="仿宋_GB2312" w:cs="仿宋_GB2312"/>
                <w:i w:val="0"/>
                <w:iCs w:val="0"/>
                <w:color w:val="000000"/>
                <w:kern w:val="0"/>
                <w:sz w:val="18"/>
                <w:szCs w:val="18"/>
                <w:u w:val="none"/>
                <w:lang w:val="en-US" w:eastAsia="zh-CN" w:bidi="ar"/>
              </w:rPr>
              <w:t>转职工，外地转学参保人员增多，新增参保人员减少。</w:t>
            </w: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vMerge w:val="continue"/>
            <w:tcBorders>
              <w:top w:val="single" w:color="000000" w:sz="4" w:space="0"/>
              <w:left w:val="single" w:color="000000" w:sz="4" w:space="0"/>
              <w:bottom w:val="single" w:color="000000" w:sz="4" w:space="0"/>
              <w:right w:val="single" w:color="000000" w:sz="4" w:space="0"/>
            </w:tcBorders>
            <w:shd w:val="clear" w:color="auto" w:fill="auto"/>
            <w:noWrap/>
          </w:tcP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常驻人口参加城乡居民医疗保险比率</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vMerge w:val="continue"/>
            <w:tcBorders>
              <w:top w:val="single" w:color="000000" w:sz="4" w:space="0"/>
              <w:left w:val="single" w:color="000000" w:sz="4" w:space="0"/>
              <w:bottom w:val="single" w:color="000000" w:sz="4" w:space="0"/>
              <w:right w:val="single" w:color="000000" w:sz="4" w:space="0"/>
            </w:tcBorders>
            <w:shd w:val="clear" w:color="auto" w:fill="auto"/>
            <w:noWrap/>
          </w:tcP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参保人员实际报销比例</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&gt;=60%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60%</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60%</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60%</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vMerge w:val="continue"/>
            <w:tcBorders>
              <w:top w:val="single" w:color="000000" w:sz="4" w:space="0"/>
              <w:left w:val="single" w:color="000000" w:sz="4" w:space="0"/>
              <w:bottom w:val="single" w:color="000000" w:sz="4" w:space="0"/>
              <w:right w:val="single" w:color="000000" w:sz="4" w:space="0"/>
            </w:tcBorders>
            <w:shd w:val="clear" w:color="auto" w:fill="auto"/>
            <w:noWrap/>
          </w:tcP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以户籍人口参保居民医疗保险比例</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&gt;=98%</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98%</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vMerge w:val="continue"/>
            <w:tcBorders>
              <w:top w:val="single" w:color="000000" w:sz="4" w:space="0"/>
              <w:left w:val="single" w:color="000000" w:sz="4" w:space="0"/>
              <w:bottom w:val="single" w:color="000000" w:sz="4" w:space="0"/>
              <w:right w:val="single" w:color="000000" w:sz="4" w:space="0"/>
            </w:tcBorders>
            <w:shd w:val="clear" w:color="auto" w:fill="auto"/>
            <w:noWrap/>
          </w:tcPr>
          <w:p/>
        </w:tc>
        <w:tc>
          <w:tcPr>
            <w:tcW w:w="44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发放城乡居民医疗保险补助资金及时率</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按照完成比例赋分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49"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城乡居民医疗保险县级配套资金标准</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=53.6元/人</w:t>
            </w:r>
          </w:p>
        </w:tc>
        <w:tc>
          <w:tcPr>
            <w:tcW w:w="399"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51.2元/人</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预算支出标准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正式资料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7"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减轻参保人员就医经济负担</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有效减轻</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效果显著</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按评判等级赋分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说明材料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有效减轻</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20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9" w:hRule="atLeast"/>
        </w:trPr>
        <w:tc>
          <w:tcPr>
            <w:vMerge w:val="continue"/>
            <w:tcBorders>
              <w:top w:val="single" w:color="000000" w:sz="4" w:space="0"/>
              <w:left w:val="single" w:color="000000" w:sz="4" w:space="0"/>
              <w:bottom w:val="single" w:color="000000" w:sz="4" w:space="0"/>
              <w:right w:val="single" w:color="000000" w:sz="4" w:space="0"/>
            </w:tcBorders>
            <w:shd w:val="clear" w:color="auto" w:fill="auto"/>
          </w:tcPr>
          <w:p/>
        </w:tc>
        <w:tc>
          <w:tcPr>
            <w:tcW w:w="44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4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城乡居民医疗保险参保对象满意度</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&gt;=95%</w:t>
            </w:r>
          </w:p>
        </w:tc>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计划标准</w:t>
            </w: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90%</w:t>
            </w: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满意度赋分</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工作资料</w:t>
            </w: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95%</w:t>
            </w: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100%</w:t>
            </w: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10</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561"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39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99"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16"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87"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53"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8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89.71</w:t>
            </w:r>
          </w:p>
        </w:tc>
        <w:tc>
          <w:tcPr>
            <w:tcW w:w="38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9"/>
          <w:jc w:val="center"/>
        </w:pPr>
        <w:r>
          <w:fldChar w:fldCharType="begin"/>
        </w:r>
        <w:r>
          <w:instrText xml:space="preserve">PAGE   \* MERGEFORMAT</w:instrText>
        </w:r>
        <w:r>
          <w:fldChar w:fldCharType="separate"/>
        </w:r>
        <w:r>
          <w:rPr>
            <w:lang w:val="zh-CN"/>
          </w:rPr>
          <w:t>13</w:t>
        </w:r>
        <w:r>
          <w:fldChar w:fldCharType="end"/>
        </w:r>
      </w:p>
    </w:sdtContent>
  </w:sdt>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9379A8"/>
    <w:multiLevelType w:val="singleLevel"/>
    <w:tmpl w:val="FF9379A8"/>
    <w:lvl w:ilvl="0" w:tentative="0">
      <w:start w:val="2"/>
      <w:numFmt w:val="chineseCounting"/>
      <w:suff w:val="nothing"/>
      <w:lvlText w:val="（%1）"/>
      <w:lvlJc w:val="left"/>
      <w:rPr>
        <w:rFonts w:hint="eastAsia"/>
      </w:rPr>
    </w:lvl>
  </w:abstractNum>
  <w:abstractNum w:abstractNumId="1">
    <w:nsid w:val="6FAA0AB1"/>
    <w:multiLevelType w:val="singleLevel"/>
    <w:tmpl w:val="6FAA0AB1"/>
    <w:lvl w:ilvl="0" w:tentative="0">
      <w:start w:val="2"/>
      <w:numFmt w:val="chineseCounting"/>
      <w:suff w:val="nothing"/>
      <w:lvlText w:val="（%1）"/>
      <w:lvlJc w:val="left"/>
      <w:rPr>
        <w:rFonts w:hint="eastAsia"/>
      </w:rPr>
    </w:lvl>
  </w:abstractNum>
  <w:abstractNum w:abstractNumId="2">
    <w:nsid w:val="740E5F02"/>
    <w:multiLevelType w:val="singleLevel"/>
    <w:tmpl w:val="740E5F02"/>
    <w:lvl w:ilvl="0" w:tentative="0">
      <w:start w:val="1"/>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2E2189E"/>
    <w:rsid w:val="03EC461B"/>
    <w:rsid w:val="0442138C"/>
    <w:rsid w:val="07397B77"/>
    <w:rsid w:val="0AD007F3"/>
    <w:rsid w:val="0B3C3345"/>
    <w:rsid w:val="0B701A53"/>
    <w:rsid w:val="0C7F4B6B"/>
    <w:rsid w:val="0D61344A"/>
    <w:rsid w:val="0E3C619F"/>
    <w:rsid w:val="100F38EC"/>
    <w:rsid w:val="11170296"/>
    <w:rsid w:val="12104F7D"/>
    <w:rsid w:val="12C66037"/>
    <w:rsid w:val="12CD1ABC"/>
    <w:rsid w:val="13052DC4"/>
    <w:rsid w:val="13471461"/>
    <w:rsid w:val="13B90F01"/>
    <w:rsid w:val="13D15B87"/>
    <w:rsid w:val="14C07817"/>
    <w:rsid w:val="155E4C4D"/>
    <w:rsid w:val="181066D2"/>
    <w:rsid w:val="1C671E73"/>
    <w:rsid w:val="1C8F32EB"/>
    <w:rsid w:val="1D322C47"/>
    <w:rsid w:val="23616034"/>
    <w:rsid w:val="23696C97"/>
    <w:rsid w:val="23F831D1"/>
    <w:rsid w:val="24480FA2"/>
    <w:rsid w:val="25227A45"/>
    <w:rsid w:val="26AC3A6A"/>
    <w:rsid w:val="274D7CD7"/>
    <w:rsid w:val="27ED17DF"/>
    <w:rsid w:val="2B6F796C"/>
    <w:rsid w:val="2B9D7E25"/>
    <w:rsid w:val="2C7C7A3B"/>
    <w:rsid w:val="2F364819"/>
    <w:rsid w:val="2FD63906"/>
    <w:rsid w:val="319A2E44"/>
    <w:rsid w:val="37215DAE"/>
    <w:rsid w:val="38CA40DD"/>
    <w:rsid w:val="395F2B56"/>
    <w:rsid w:val="39B244B8"/>
    <w:rsid w:val="39E80634"/>
    <w:rsid w:val="3BBA0580"/>
    <w:rsid w:val="3BECE841"/>
    <w:rsid w:val="3CDE204C"/>
    <w:rsid w:val="3D363C36"/>
    <w:rsid w:val="3E9C3F6D"/>
    <w:rsid w:val="3FF7797D"/>
    <w:rsid w:val="46690BD8"/>
    <w:rsid w:val="49F70BF1"/>
    <w:rsid w:val="4B4340EE"/>
    <w:rsid w:val="4CA1651D"/>
    <w:rsid w:val="4CC37666"/>
    <w:rsid w:val="4D3320EA"/>
    <w:rsid w:val="4F714051"/>
    <w:rsid w:val="4F900B6C"/>
    <w:rsid w:val="503D507A"/>
    <w:rsid w:val="51FA74D0"/>
    <w:rsid w:val="52AA4A52"/>
    <w:rsid w:val="57B165C3"/>
    <w:rsid w:val="583E71D6"/>
    <w:rsid w:val="591E3AA4"/>
    <w:rsid w:val="59943D66"/>
    <w:rsid w:val="59E051FD"/>
    <w:rsid w:val="59E6355E"/>
    <w:rsid w:val="5A1676FC"/>
    <w:rsid w:val="5B821531"/>
    <w:rsid w:val="5BFF6039"/>
    <w:rsid w:val="5D76A616"/>
    <w:rsid w:val="5D7F20B9"/>
    <w:rsid w:val="5DAC7D0E"/>
    <w:rsid w:val="5F4E4A6A"/>
    <w:rsid w:val="5F98B5AF"/>
    <w:rsid w:val="5FFE8511"/>
    <w:rsid w:val="5FFEACE2"/>
    <w:rsid w:val="60666F46"/>
    <w:rsid w:val="609D5BF6"/>
    <w:rsid w:val="61073070"/>
    <w:rsid w:val="61B9080E"/>
    <w:rsid w:val="61DF3FED"/>
    <w:rsid w:val="61FE02CD"/>
    <w:rsid w:val="63B36E9D"/>
    <w:rsid w:val="642B176B"/>
    <w:rsid w:val="643EE26D"/>
    <w:rsid w:val="656019A0"/>
    <w:rsid w:val="65F242EE"/>
    <w:rsid w:val="666D7E19"/>
    <w:rsid w:val="66FC64B4"/>
    <w:rsid w:val="68376930"/>
    <w:rsid w:val="689D46D3"/>
    <w:rsid w:val="68E335F8"/>
    <w:rsid w:val="68F91E38"/>
    <w:rsid w:val="6B3158B9"/>
    <w:rsid w:val="6BA02A3F"/>
    <w:rsid w:val="6C1E5A53"/>
    <w:rsid w:val="6F5C41AC"/>
    <w:rsid w:val="6FAF6C78"/>
    <w:rsid w:val="716167CC"/>
    <w:rsid w:val="718A7AD1"/>
    <w:rsid w:val="72A44BC2"/>
    <w:rsid w:val="72E51D87"/>
    <w:rsid w:val="7317C656"/>
    <w:rsid w:val="734ED73F"/>
    <w:rsid w:val="73A41347"/>
    <w:rsid w:val="73C82B32"/>
    <w:rsid w:val="73F94DAE"/>
    <w:rsid w:val="74220495"/>
    <w:rsid w:val="747D1B6F"/>
    <w:rsid w:val="749E5641"/>
    <w:rsid w:val="751B7C2F"/>
    <w:rsid w:val="76271066"/>
    <w:rsid w:val="77FD8BE9"/>
    <w:rsid w:val="78000AED"/>
    <w:rsid w:val="79567B11"/>
    <w:rsid w:val="79A9BD3F"/>
    <w:rsid w:val="7A0657BE"/>
    <w:rsid w:val="7B776F12"/>
    <w:rsid w:val="7BFFFDD0"/>
    <w:rsid w:val="7C336E5F"/>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宋体" w:cs="Times New Roman"/>
    </w:rPr>
  </w:style>
  <w:style w:type="paragraph" w:styleId="2">
    <w:name w:val="heading 1"/>
    <w:basedOn w:val="1"/>
    <w:next w:val="1"/>
    <w:qFormat/>
    <w:uiPriority w:val="0"/>
    <w:pPr>
      <w:spacing w:before="480"/>
    </w:pPr>
    <w:rPr>
      <w:b/>
      <w:color w:val="345A8A"/>
      <w:sz w:val="32"/>
    </w:rPr>
  </w:style>
  <w:style w:type="paragraph" w:styleId="3">
    <w:name w:val="heading 2"/>
    <w:basedOn w:val="1"/>
    <w:next w:val="1"/>
    <w:qFormat/>
    <w:uiPriority w:val="0"/>
    <w:pPr>
      <w:spacing w:before="200"/>
    </w:pPr>
    <w:rPr>
      <w:b/>
      <w:color w:val="4F81BD"/>
      <w:sz w:val="26"/>
    </w:rPr>
  </w:style>
  <w:style w:type="paragraph" w:styleId="4">
    <w:name w:val="heading 3"/>
    <w:basedOn w:val="1"/>
    <w:next w:val="1"/>
    <w:qFormat/>
    <w:uiPriority w:val="0"/>
    <w:pPr>
      <w:spacing w:before="200"/>
    </w:pPr>
    <w:rPr>
      <w:b/>
      <w:color w:val="4F81BD"/>
      <w:sz w:val="24"/>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5"/>
    <w:qFormat/>
    <w:uiPriority w:val="0"/>
    <w:pPr>
      <w:jc w:val="left"/>
    </w:pPr>
  </w:style>
  <w:style w:type="paragraph" w:styleId="6">
    <w:name w:val="Body Text"/>
    <w:basedOn w:val="1"/>
    <w:qFormat/>
    <w:uiPriority w:val="0"/>
    <w:pPr>
      <w:spacing w:after="120"/>
    </w:pPr>
  </w:style>
  <w:style w:type="paragraph" w:styleId="7">
    <w:name w:val="Body Text Indent"/>
    <w:basedOn w:val="1"/>
    <w:qFormat/>
    <w:uiPriority w:val="0"/>
    <w:pPr>
      <w:spacing w:after="120"/>
      <w:ind w:left="420"/>
    </w:pPr>
    <w:rPr>
      <w:rFonts w:ascii="Calibri" w:hAnsi="Calibri"/>
    </w:rPr>
  </w:style>
  <w:style w:type="paragraph" w:styleId="8">
    <w:name w:val="Balloon Text"/>
    <w:basedOn w:val="1"/>
    <w:link w:val="23"/>
    <w:qFormat/>
    <w:uiPriority w:val="0"/>
    <w:rPr>
      <w:sz w:val="18"/>
      <w:szCs w:val="18"/>
    </w:rPr>
  </w:style>
  <w:style w:type="paragraph" w:styleId="9">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0">
    <w:name w:val="header"/>
    <w:basedOn w:val="1"/>
    <w:link w:val="24"/>
    <w:qFormat/>
    <w:uiPriority w:val="0"/>
    <w:pPr>
      <w:pBdr>
        <w:bottom w:val="single" w:color="auto" w:sz="6" w:space="1"/>
      </w:pBdr>
      <w:tabs>
        <w:tab w:val="center" w:pos="4153"/>
        <w:tab w:val="right" w:pos="8306"/>
      </w:tabs>
      <w:snapToGrid w:val="0"/>
      <w:jc w:val="center"/>
    </w:pPr>
    <w:rPr>
      <w:sz w:val="18"/>
      <w:szCs w:val="18"/>
    </w:rPr>
  </w:style>
  <w:style w:type="paragraph" w:styleId="11">
    <w:name w:val="Subtitle"/>
    <w:basedOn w:val="1"/>
    <w:qFormat/>
    <w:uiPriority w:val="0"/>
    <w:rPr>
      <w:i/>
      <w:color w:val="4F81BD"/>
      <w:sz w:val="24"/>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Title"/>
    <w:basedOn w:val="1"/>
    <w:next w:val="1"/>
    <w:qFormat/>
    <w:uiPriority w:val="0"/>
    <w:pPr>
      <w:spacing w:after="300"/>
    </w:pPr>
    <w:rPr>
      <w:color w:val="17365D"/>
      <w:sz w:val="52"/>
    </w:rPr>
  </w:style>
  <w:style w:type="paragraph" w:styleId="14">
    <w:name w:val="annotation subject"/>
    <w:basedOn w:val="5"/>
    <w:next w:val="5"/>
    <w:link w:val="26"/>
    <w:qFormat/>
    <w:uiPriority w:val="0"/>
    <w:rPr>
      <w:b/>
      <w:bCs/>
    </w:rPr>
  </w:style>
  <w:style w:type="paragraph" w:styleId="15">
    <w:name w:val="Body Text First Indent"/>
    <w:basedOn w:val="6"/>
    <w:qFormat/>
    <w:uiPriority w:val="0"/>
    <w:pPr>
      <w:spacing w:after="0"/>
      <w:ind w:firstLine="200"/>
    </w:pPr>
  </w:style>
  <w:style w:type="paragraph" w:styleId="16">
    <w:name w:val="Body Text First Indent 2"/>
    <w:basedOn w:val="7"/>
    <w:qFormat/>
    <w:uiPriority w:val="0"/>
    <w:pPr>
      <w:ind w:firstLine="420"/>
    </w:pPr>
  </w:style>
  <w:style w:type="character" w:styleId="19">
    <w:name w:val="Strong"/>
    <w:basedOn w:val="18"/>
    <w:qFormat/>
    <w:uiPriority w:val="0"/>
    <w:rPr>
      <w:b/>
      <w:bCs/>
    </w:rPr>
  </w:style>
  <w:style w:type="character" w:styleId="20">
    <w:name w:val="annotation reference"/>
    <w:basedOn w:val="18"/>
    <w:qFormat/>
    <w:uiPriority w:val="0"/>
    <w:rPr>
      <w:sz w:val="21"/>
      <w:szCs w:val="21"/>
    </w:rPr>
  </w:style>
  <w:style w:type="character" w:customStyle="1" w:styleId="21">
    <w:name w:val="fontstyle01"/>
    <w:qFormat/>
    <w:uiPriority w:val="0"/>
    <w:rPr>
      <w:rFonts w:ascii="仿宋_GB2312" w:hAnsi="仿宋_GB2312" w:eastAsia="仿宋_GB2312" w:cs="仿宋_GB2312"/>
      <w:color w:val="000000"/>
      <w:sz w:val="32"/>
      <w:szCs w:val="32"/>
    </w:rPr>
  </w:style>
  <w:style w:type="paragraph" w:customStyle="1" w:styleId="22">
    <w:name w:val="闻政-正文段落文字"/>
    <w:basedOn w:val="1"/>
    <w:qFormat/>
    <w:uiPriority w:val="3"/>
    <w:pPr>
      <w:spacing w:line="500" w:lineRule="exact"/>
      <w:ind w:firstLine="200"/>
    </w:pPr>
    <w:rPr>
      <w:kern w:val="0"/>
      <w:szCs w:val="28"/>
    </w:rPr>
  </w:style>
  <w:style w:type="character" w:customStyle="1" w:styleId="23">
    <w:name w:val="批注框文本 字符"/>
    <w:basedOn w:val="18"/>
    <w:link w:val="8"/>
    <w:qFormat/>
    <w:uiPriority w:val="0"/>
    <w:rPr>
      <w:rFonts w:ascii="Times New Roman" w:hAnsi="Times New Roman" w:eastAsia="宋体" w:cs="Times New Roman"/>
      <w:kern w:val="2"/>
      <w:sz w:val="18"/>
      <w:szCs w:val="18"/>
    </w:rPr>
  </w:style>
  <w:style w:type="character" w:customStyle="1" w:styleId="24">
    <w:name w:val="页眉 字符"/>
    <w:basedOn w:val="18"/>
    <w:link w:val="10"/>
    <w:qFormat/>
    <w:uiPriority w:val="0"/>
    <w:rPr>
      <w:rFonts w:ascii="Times New Roman" w:hAnsi="Times New Roman" w:eastAsia="宋体" w:cs="Times New Roman"/>
      <w:kern w:val="2"/>
      <w:sz w:val="18"/>
      <w:szCs w:val="18"/>
    </w:rPr>
  </w:style>
  <w:style w:type="character" w:customStyle="1" w:styleId="25">
    <w:name w:val="批注文字 字符"/>
    <w:basedOn w:val="18"/>
    <w:link w:val="5"/>
    <w:qFormat/>
    <w:uiPriority w:val="0"/>
    <w:rPr>
      <w:rFonts w:ascii="Times New Roman" w:hAnsi="Times New Roman" w:eastAsia="宋体" w:cs="Times New Roman"/>
      <w:kern w:val="2"/>
      <w:sz w:val="21"/>
      <w:szCs w:val="24"/>
    </w:rPr>
  </w:style>
  <w:style w:type="character" w:customStyle="1" w:styleId="26">
    <w:name w:val="批注主题 字符"/>
    <w:basedOn w:val="25"/>
    <w:link w:val="14"/>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29</Pages>
  <Words>9605</Words>
  <Characters>9946</Characters>
  <Lines>58</Lines>
  <Paragraphs>16</Paragraphs>
  <TotalTime>2</TotalTime>
  <ScaleCrop>false</ScaleCrop>
  <LinksUpToDate>false</LinksUpToDate>
  <CharactersWithSpaces>9975</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2025-07-22T10:11:15Z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12FFFF22C52E41B1951335192AA883DF_13</vt:lpwstr>
  </property>
  <property fmtid="{D5CDD505-2E9C-101B-9397-08002B2CF9AE}" pid="4" name="KSOTemplateDocerSaveRecord">
    <vt:lpwstr>eyJoZGlkIjoiOGY4ZjllZTc5NjFlZmUyNTcxNjBmMzdkOGZkNDIyZDciLCJ1c2VySWQiOiIxMTQzMDA1NzQ2In0=</vt:lpwstr>
  </property>
</Properties>
</file>