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特克斯县司法局2024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本单位主要职能SM不予公开。</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特克斯县司法局2024年度，实有人数53人，其中：在职人员27人，增加2人；离休人员0人，增加0人；退休人员26人,减少1人。</w:t>
      </w:r>
    </w:p>
    <w:p>
      <w:pPr>
        <w:spacing w:line="580" w:lineRule="exact"/>
        <w:ind w:firstLine="640"/>
        <w:jc w:val="both"/>
      </w:pPr>
      <w:r>
        <w:rPr>
          <w:rFonts w:ascii="仿宋_GB2312" w:hAnsi="仿宋_GB2312" w:eastAsia="仿宋_GB2312"/>
          <w:sz w:val="32"/>
        </w:rPr>
        <w:t>单位无下属预算单位，下设6个科室，分别是：办公室、 普法与依法治理科、法治科、安置帮教工作管理科、社区矫 正管理科、公共法律服务管理科。。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2024年度收入总计617.27万元，</w:t>
      </w:r>
      <w:r>
        <w:rPr>
          <w:rFonts w:ascii="仿宋_GB2312" w:hAnsi="仿宋_GB2312" w:eastAsia="仿宋_GB2312"/>
          <w:b w:val="0"/>
          <w:sz w:val="32"/>
        </w:rPr>
        <w:t>其中：本年收入合计617.27万元，使用非财政拨款结余（含专用结余）0.00万元，年初结转和结余0.00万元。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2024年度支出总计617.27万元，</w:t>
      </w:r>
      <w:r>
        <w:rPr>
          <w:rFonts w:ascii="仿宋_GB2312" w:hAnsi="仿宋_GB2312" w:eastAsia="仿宋_GB2312"/>
          <w:b w:val="0"/>
          <w:sz w:val="32"/>
        </w:rPr>
        <w:t>其中：本年支出合计617.27万元，结余分配0.00万元，年末结转和结余0.00万元。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增加177.90万元，增长40.49%，主要原因是：本年在职人员增加，工资调增，社保、公积金基数调增，人员经费增加。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本年收入617.27万元，</w:t>
      </w:r>
      <w:r>
        <w:rPr>
          <w:rFonts w:ascii="仿宋_GB2312" w:hAnsi="仿宋_GB2312" w:eastAsia="仿宋_GB2312"/>
          <w:b w:val="0"/>
          <w:sz w:val="32"/>
        </w:rPr>
        <w:t>其中：财政拨款收入617.27万元，占100.00%；上级补助收入0.00万元，占0.00%；事业收入0.00万元，占0.00%；经营收入0.00万元，占0.00%；附属单位上缴收入0.00万元，占0.00%；其他收入0.00万元，占0.00%。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本年支出617.27万元，</w:t>
      </w:r>
      <w:r>
        <w:rPr>
          <w:rFonts w:ascii="仿宋_GB2312" w:hAnsi="仿宋_GB2312" w:eastAsia="仿宋_GB2312"/>
          <w:b w:val="0"/>
          <w:sz w:val="32"/>
        </w:rPr>
        <w:t>其中：基本支出421.31万元，占68.25%；项目支出195.96万元，占31.75%；上缴上级支出0.00万元，占0.00%；经营支出0.00万元，占0.00%；对附属单位补助支出0.00万元，占0.00%。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2024年度财政拨款收入总计617.27万元，</w:t>
      </w:r>
      <w:r>
        <w:rPr>
          <w:rFonts w:ascii="仿宋_GB2312" w:hAnsi="仿宋_GB2312" w:eastAsia="仿宋_GB2312"/>
          <w:b w:val="0"/>
          <w:sz w:val="32"/>
        </w:rPr>
        <w:t>其中：年初财政拨款结转和结余0.00万元，本年财政拨款收入617.27万元。</w:t>
      </w:r>
      <w:r>
        <w:rPr>
          <w:rFonts w:ascii="仿宋_GB2312" w:hAnsi="仿宋_GB2312" w:eastAsia="仿宋_GB2312"/>
          <w:b/>
          <w:sz w:val="32"/>
        </w:rPr>
        <w:t>财政拨款支出总计617.27万元，</w:t>
      </w:r>
      <w:r>
        <w:rPr>
          <w:rFonts w:ascii="仿宋_GB2312" w:hAnsi="仿宋_GB2312" w:eastAsia="仿宋_GB2312"/>
          <w:b w:val="0"/>
          <w:sz w:val="32"/>
        </w:rPr>
        <w:t>其中：年末财政拨款结转和结余0.00万元，本年财政拨款支出617.27万元。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增加177.90万元，增长40.49%，主要原因是：本年在职人员增加，工资调增，社保、公积金基数调增，人员经费增加。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年初预算数500.44万元，决算数617.27万元，预决算差异率23.35%，主要原因是：本年在职人员增加，年中追加人员经费及人员工资、社保、公积金基数调增部分资金，导致预决算存在差异。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2024年度一般公共预算财政拨款支出617.27万元，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增加177.90万元，增长40.49%，主要原因是：本年在职人员增加，工资调增，社保、公积金基数调增，人员经费增加。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年初预算数500.44万元，决算数617.27万元，预决算差异率23.35%，主要原因是：本年在职人员增加，年中追加人员经费及人员工资、社保、公积金基数调增部分资金，导致预决算存在差异。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1.公共安全支出(类)527.68万元,占85.49%。</w:t>
      </w:r>
    </w:p>
    <w:p>
      <w:pPr>
        <w:spacing w:line="580" w:lineRule="exact"/>
        <w:ind w:firstLine="640"/>
        <w:jc w:val="both"/>
      </w:pPr>
      <w:r>
        <w:rPr>
          <w:rFonts w:ascii="仿宋_GB2312" w:hAnsi="仿宋_GB2312" w:eastAsia="仿宋_GB2312"/>
          <w:b w:val="0"/>
          <w:sz w:val="32"/>
        </w:rPr>
        <w:t>2.社会保障和就业支出(类)40.98万元,占6.64%。</w:t>
      </w:r>
    </w:p>
    <w:p>
      <w:pPr>
        <w:spacing w:line="580" w:lineRule="exact"/>
        <w:ind w:firstLine="640"/>
        <w:jc w:val="both"/>
      </w:pPr>
      <w:r>
        <w:rPr>
          <w:rFonts w:ascii="仿宋_GB2312" w:hAnsi="仿宋_GB2312" w:eastAsia="仿宋_GB2312"/>
          <w:b w:val="0"/>
          <w:sz w:val="32"/>
        </w:rPr>
        <w:t>3.卫生健康支出(类)16.69万元,占2.70%。</w:t>
      </w:r>
    </w:p>
    <w:p>
      <w:pPr>
        <w:spacing w:line="580" w:lineRule="exact"/>
        <w:ind w:firstLine="640"/>
        <w:jc w:val="both"/>
      </w:pPr>
      <w:r>
        <w:rPr>
          <w:rFonts w:ascii="仿宋_GB2312" w:hAnsi="仿宋_GB2312" w:eastAsia="仿宋_GB2312"/>
          <w:b w:val="0"/>
          <w:sz w:val="32"/>
        </w:rPr>
        <w:t>4.住房保障支出(类)31.92万元,占5.17%。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1.公共安全支出(类)司法(款)行政运行(项):支出决算数为331.72万元，比上年决算增加94.14万元，增长39.62%,主要原因是：本年在职人员工资调增，导致相关人员经费较上年有所增加。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2.公共安全支出(类)司法(款)其他司法支出(项):支出决算数为195.96万元，比上年决算增加111.44万元，增长131.85%,主要原因是：本年司法办公经费支出增加。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39.25万元，比上年决算增加14.07万元，增长55.88%,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14.09万元，下降100.00%,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5.社会保障和就业支出(类)抚恤(款)死亡抚恤(项):支出决算数为1.73万元，比上年决算减少29.84万元，下降94.52%,主要原因是：本年无新增死亡人员，死亡抚恤支出较上年减少。</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6.卫生健康支出(类)行政事业单位医疗(款)行政单位医疗(项):支出决算数为15.96万元，比上年决算减少8.69万元，下降35.25%,主要原因是：本年在职人员减少，行政单位医疗支出较上年减少。</w:t>
      </w:r>
    </w:p>
    <w:p>
      <w:pPr>
        <w:spacing w:line="580" w:lineRule="exact"/>
        <w:ind w:firstLine="640"/>
        <w:jc w:val="both"/>
      </w:pPr>
      <w:r>
        <w:rPr>
          <w:rFonts w:ascii="仿宋_GB2312" w:hAnsi="仿宋_GB2312" w:eastAsia="仿宋_GB2312"/>
          <w:b w:val="0"/>
          <w:sz w:val="32"/>
        </w:rPr>
        <w:t>7.卫生健康支出(类)行政事业单位医疗(款)公务员医疗补助(项):支出决算数为0.43万元，比上年决算增加0.10万元，增长30.30%,主要原因是：本年在职人员工资基数调增，医疗缴费基数上涨，相应支出增加。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8.卫生健康支出(类)行政事业单位医疗(款)其他行政事业单位医疗支出(项):支出决算数为0.31万元，比上年决算减少0.20万元，下降39.22%,主要原因是：本年在职人员减少，其他行政事业单位医疗支出较上年减少。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9.住房保障支出(类)住房改革支出(款)住房公积金(项):支出决算数为31.92万元，比上年决算增加10.98万元，增长52.44%,主要原因是：本年在职人员工资基数调增，公积金缴费基数上涨，相应支出增加。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2024年度一般公共预算财政拨款基本支出421.31万元，其中：</w:t>
      </w:r>
      <w:r>
        <w:rPr>
          <w:rFonts w:ascii="仿宋_GB2312" w:hAnsi="仿宋_GB2312" w:eastAsia="仿宋_GB2312"/>
          <w:b/>
          <w:sz w:val="32"/>
        </w:rPr>
        <w:t>人员经费416.97万元，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pPr>
        <w:spacing w:line="580" w:lineRule="exact"/>
        <w:ind w:firstLine="640"/>
        <w:jc w:val="both"/>
      </w:pPr>
      <w:r>
        <w:rPr>
          <w:rFonts w:ascii="仿宋_GB2312" w:hAnsi="仿宋_GB2312" w:eastAsia="仿宋_GB2312"/>
          <w:b/>
          <w:sz w:val="32"/>
        </w:rPr>
        <w:t>公用经费4.34万元，</w:t>
      </w:r>
      <w:r>
        <w:rPr>
          <w:rFonts w:ascii="仿宋_GB2312" w:hAnsi="仿宋_GB2312" w:eastAsia="仿宋_GB2312"/>
          <w:b w:val="0"/>
          <w:sz w:val="32"/>
        </w:rPr>
        <w:t>包括：办公费、取暖费、工会经费。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2024年度财政拨款“三公”经费支出3.93万元，</w:t>
      </w:r>
      <w:r>
        <w:rPr>
          <w:rFonts w:ascii="仿宋_GB2312" w:hAnsi="仿宋_GB2312" w:eastAsia="仿宋_GB2312"/>
          <w:b w:val="0"/>
          <w:sz w:val="32"/>
        </w:rPr>
        <w:t>比上年减少0.04万元，下降1.01%，主要原因是：严格落实中央八项规定精神，厉行节约，减少公务用车运行维护费。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公务用车购置及运行维护费支出3.93万元，占100.00%，比上年减少0.04万元，下降1.01%，主要原因是：严格落实中央八项规定精神，厉行节约，减少公务用车运行维护费。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3.93万元，其中：公务用车购置费0.00万元，公务用车运行维护费3.93万元。公务用车运行维护费开支内容包括车辆加油费、维修费、保险费、审车费、过路费等。公务用车购置数0辆，公务用车保有量6辆。国有资产占用情况中固定资产车辆6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3.93万元，决算数3.93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3.93万元，决算数3.93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司法局（行政单位和参照公务员法管理事业单位）机关运行经费支出4.34万元，比上年增加2.54万元，增长141.11%，主要原因是：本年更新、维护补充办公用品，导致机关运行经费/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2024年度政府采购支出总额69.52万元，其中：政府采购货物支出50.12万元、政府采购工程支出0.00万元、政府采购服务支出19.41万元。</w:t>
      </w:r>
    </w:p>
    <w:p>
      <w:pPr>
        <w:spacing w:line="580" w:lineRule="exact"/>
        <w:ind w:firstLine="640"/>
        <w:jc w:val="both"/>
      </w:pPr>
      <w:r>
        <w:rPr>
          <w:rFonts w:ascii="仿宋_GB2312" w:hAnsi="仿宋_GB2312" w:eastAsia="仿宋_GB2312"/>
          <w:b w:val="0"/>
          <w:sz w:val="32"/>
        </w:rPr>
        <w:t>授予中小企业合同金额67.28万元，占政府采购支出总额的96.78%，其中：授予小微企业合同金额67.28万元，占政府采购支出总额的96.78%。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2,112.50平方米，价值435.24万元。车辆6辆，价值118.92万元，其中：副部（省）级及以上领导用车0辆、主要负责人用车0辆、机要通信用车0辆、应急保障用车0辆、执法执勤用车5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0.00万元，实际执行总额0.00万元；预算绩效评价项目0个，全年预算数0.00万元，全年执行数0.00万元。预算绩效管理取得的成效：我单位项目绩效自评表涉密不予公开。发现的问题及原因：我单位项目绩效自评表涉密不予公开。下一步改进措施：我单位项目绩效自评表涉密不予公开。具体附部门整体支出绩效自评表，项目支出绩效自评表和部门评价报告。</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本年度本单位整体绩效自评表不予公开；本年本单位SM项目1个，全年预算数195.96万元，全年执行数195.96万元。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