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default" w:ascii="Times New Roman" w:hAnsi="Times New Roman" w:eastAsia="方正小标宋_GBK" w:cs="Times New Roman"/>
          <w:kern w:val="0"/>
          <w:sz w:val="48"/>
          <w:szCs w:val="48"/>
        </w:rPr>
        <w:br w:type="textWrapping"/>
      </w:r>
      <w:r>
        <w:rPr>
          <w:rFonts w:hint="eastAsia" w:ascii="方正小标宋简体" w:hAnsi="方正小标宋简体" w:eastAsia="方正小标宋简体" w:cs="方正小标宋简体"/>
          <w:kern w:val="0"/>
          <w:sz w:val="44"/>
          <w:szCs w:val="44"/>
        </w:rPr>
        <w:t>2024年非财政拨款资金项目支出绩效</w:t>
      </w: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rPr>
          <w:rFonts w:hint="default"/>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eastAsia="zh-CN"/>
        </w:rPr>
        <w:t>2024年非财政拨款资金项目</w:t>
      </w:r>
    </w:p>
    <w:p>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特克斯县妇幼保健服务中心</w:t>
      </w:r>
    </w:p>
    <w:p>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特克斯县妇幼保健服务</w:t>
      </w:r>
      <w:bookmarkStart w:id="3" w:name="_GoBack"/>
      <w:bookmarkEnd w:id="3"/>
      <w:r>
        <w:rPr>
          <w:rFonts w:hint="eastAsia" w:eastAsia="仿宋_GB2312" w:cs="Times New Roman"/>
          <w:kern w:val="0"/>
          <w:sz w:val="32"/>
          <w:szCs w:val="32"/>
          <w:lang w:eastAsia="zh-CN"/>
        </w:rPr>
        <w:t>中心</w:t>
      </w:r>
    </w:p>
    <w:p>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董天慧</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妇幼服务项目是为了改善妇女和儿童的生活条件、保障他们的健康和权益，并促进妇幼医疗机构全面发展，为辖区内妇幼儿童提供全面的妇幼健康服务；提高生育和育儿技能，防治妇幼常见病和传染病等，例如孕前、孕期和产后保健服务、婴幼儿保健服务、生长发育监测，通过培训学习不断提高医疗机构医疗服务水平。</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保障妇女和婴幼儿的健康，促进妇女和儿童身心发展，为备孕妇女提供孕前全面检查，提高生育和育儿技能，防治妇幼常见病和传染病等。例如孕前、孕期和产后保健服务，如孕期检查、孕妇营养指导、分娩和产后恢复等，婴幼儿保健服务，如婴幼儿生长发育监测、疫苗接种、婴幼儿营养指导和常见病防治等。支付人员经费、办公经费及业务服务费。</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sz w:val="32"/>
          <w:szCs w:val="32"/>
          <w:lang w:eastAsia="zh-CN"/>
        </w:rPr>
        <w:t>在项目实施过程中，我们注重发挥专业优势，加强与相关部门的沟通协调，确保项目顺利推进。同时，我院也高度重视对自有资金的使用管理，建立健全了财务管理制度，确保资金安全、规范、高效使用。通过项目的实施，我院首先是医疗设备购置和更新，提升医院的诊断和诊疗水平；其次是基础设施的改造和扩建，以改善患者的就医环境；还有人才队伍建设，通过培训、引进等方式，提高医护人员的技术水平和综合素质。通过以上三点期望能够为医院的长远发展奠定坚实基础</w:t>
      </w:r>
      <w:r>
        <w:rPr>
          <w:rFonts w:hint="default" w:ascii="Times New Roman" w:hAnsi="Times New Roman" w:eastAsia="仿宋_GB2312" w:cs="Times New Roman"/>
          <w:sz w:val="32"/>
          <w:szCs w:val="32"/>
          <w:lang w:eastAsia="zh-CN"/>
        </w:rPr>
        <w:t>。</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非财政拨款资金（自有资金）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447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87.65</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lang w:eastAsia="zh-CN"/>
        </w:rPr>
        <w:t>我院首先是医疗设备购置和更新，提升医院的诊断和诊疗水平；其次是基础设施的改造和扩建，以改善患者的就医环境；还有人才队伍建设，通过培训、引进等方式，提高医护人员的技术水平和综合</w:t>
      </w:r>
      <w:r>
        <w:rPr>
          <w:rFonts w:hint="eastAsia" w:ascii="Times New Roman" w:hAnsi="Times New Roman" w:eastAsia="仿宋_GB2312" w:cs="Times New Roman"/>
          <w:sz w:val="32"/>
          <w:szCs w:val="32"/>
          <w:highlight w:val="none"/>
          <w:lang w:eastAsia="zh-CN"/>
        </w:rPr>
        <w:t>素质</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有效的控制和降低孕产妇和儿童死亡率，保护孕产妇和婴幼儿的生命安全，提高出生人口质量，增强全民保健意识，降低高危妊娠发生率，提高人民群众健康水平发挥显著的社会效益，全面提高单位工作服务质量和服务水平。</w:t>
      </w:r>
    </w:p>
    <w:p>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pPr>
        <w:numPr>
          <w:ilvl w:val="0"/>
          <w:numId w:val="0"/>
        </w:numPr>
        <w:spacing w:line="560" w:lineRule="exact"/>
        <w:ind w:firstLine="640" w:firstLineChars="200"/>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第一阶段：</w:t>
      </w:r>
      <w:r>
        <w:rPr>
          <w:rFonts w:hint="eastAsia" w:ascii="Times New Roman" w:hAnsi="Times New Roman" w:eastAsia="仿宋_GB2312" w:cs="Times New Roman"/>
          <w:sz w:val="32"/>
          <w:szCs w:val="32"/>
          <w:lang w:eastAsia="zh-CN"/>
        </w:rPr>
        <w:t>是</w:t>
      </w:r>
      <w:r>
        <w:rPr>
          <w:rFonts w:hint="eastAsia" w:eastAsia="仿宋_GB2312" w:cs="Times New Roman"/>
          <w:sz w:val="32"/>
          <w:szCs w:val="32"/>
          <w:lang w:eastAsia="zh-CN"/>
        </w:rPr>
        <w:t>完成</w:t>
      </w:r>
      <w:r>
        <w:rPr>
          <w:rFonts w:hint="eastAsia" w:ascii="Times New Roman" w:hAnsi="Times New Roman" w:eastAsia="仿宋_GB2312" w:cs="Times New Roman"/>
          <w:sz w:val="32"/>
          <w:szCs w:val="32"/>
          <w:lang w:eastAsia="zh-CN"/>
        </w:rPr>
        <w:t>医疗设备购置和更新，提升医院的诊断和诊疗水平；</w:t>
      </w:r>
    </w:p>
    <w:p>
      <w:pPr>
        <w:numPr>
          <w:ilvl w:val="0"/>
          <w:numId w:val="0"/>
        </w:numPr>
        <w:spacing w:line="560" w:lineRule="exact"/>
        <w:ind w:firstLine="640" w:firstLineChars="200"/>
        <w:rPr>
          <w:rFonts w:hint="default" w:ascii="Times New Roman" w:hAnsi="Times New Roman" w:eastAsia="黑体" w:cs="Times New Roman"/>
          <w:b w:val="0"/>
          <w:bCs/>
          <w:lang w:eastAsia="zh-CN"/>
        </w:rPr>
      </w:pPr>
      <w:r>
        <w:rPr>
          <w:rFonts w:hint="eastAsia" w:eastAsia="仿宋_GB2312" w:cs="Times New Roman"/>
          <w:sz w:val="32"/>
          <w:szCs w:val="32"/>
          <w:lang w:val="en-US" w:eastAsia="zh-CN"/>
        </w:rPr>
        <w:t>第二阶段：</w:t>
      </w:r>
      <w:r>
        <w:rPr>
          <w:rFonts w:hint="eastAsia" w:ascii="Times New Roman" w:hAnsi="Times New Roman" w:eastAsia="仿宋_GB2312" w:cs="Times New Roman"/>
          <w:sz w:val="32"/>
          <w:szCs w:val="32"/>
          <w:lang w:eastAsia="zh-CN"/>
        </w:rPr>
        <w:t>是基础设施的改造和扩建，以改善患者的就医环境；还有人才队伍建设，通过培训、引进等方式，提高医护人员的技术水平和综合</w:t>
      </w:r>
      <w:r>
        <w:rPr>
          <w:rFonts w:hint="eastAsia" w:ascii="Times New Roman" w:hAnsi="Times New Roman" w:eastAsia="仿宋_GB2312" w:cs="Times New Roman"/>
          <w:sz w:val="32"/>
          <w:szCs w:val="32"/>
          <w:highlight w:val="none"/>
          <w:lang w:eastAsia="zh-CN"/>
        </w:rPr>
        <w:t>素质</w:t>
      </w:r>
      <w:r>
        <w:rPr>
          <w:rFonts w:hint="eastAsia"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sz w:val="32"/>
          <w:szCs w:val="32"/>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2024年非财政拨款资金项目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特克斯县妇幼保健计划生育服务中心</w:t>
      </w:r>
      <w:r>
        <w:rPr>
          <w:rFonts w:hint="default" w:ascii="Times New Roman" w:hAnsi="Times New Roman" w:eastAsia="仿宋_GB2312" w:cs="Times New Roman"/>
          <w:b w:val="0"/>
          <w:bCs w:val="0"/>
          <w:highlight w:val="none"/>
        </w:rPr>
        <w:t>负责实施，旨在</w:t>
      </w:r>
      <w:r>
        <w:rPr>
          <w:rFonts w:hint="eastAsia" w:ascii="仿宋_GB2312" w:hAnsi="仿宋_GB2312" w:eastAsia="仿宋_GB2312" w:cs="仿宋_GB2312"/>
          <w:b w:val="0"/>
          <w:bCs w:val="0"/>
          <w:i w:val="0"/>
          <w:caps w:val="0"/>
          <w:color w:val="333333"/>
          <w:spacing w:val="0"/>
          <w:sz w:val="32"/>
          <w:szCs w:val="32"/>
          <w:shd w:val="clear" w:fill="FFFFFF"/>
        </w:rPr>
        <w:t>有效的控制和降低孕产妇和儿童死亡率，保护孕产妇和婴幼儿的生命安全，提高出生人口质量，增强全民保健意识，降低高危妊娠发生率，</w:t>
      </w:r>
      <w:r>
        <w:rPr>
          <w:rFonts w:hint="eastAsia" w:ascii="仿宋_GB2312" w:hAnsi="仿宋_GB2312" w:eastAsia="仿宋_GB2312" w:cs="仿宋_GB2312"/>
          <w:b w:val="0"/>
          <w:bCs w:val="0"/>
          <w:i w:val="0"/>
          <w:caps w:val="0"/>
          <w:color w:val="333333"/>
          <w:spacing w:val="0"/>
          <w:sz w:val="32"/>
          <w:szCs w:val="32"/>
          <w:highlight w:val="none"/>
          <w:shd w:val="clear" w:fill="FFFFFF"/>
        </w:rPr>
        <w:t>提高人民群众健康水平发挥显著的社会效益，全面提高单位工作服务质量和服务水平。</w:t>
      </w:r>
      <w:r>
        <w:rPr>
          <w:rFonts w:hint="eastAsia" w:ascii="仿宋_GB2312" w:hAnsi="仿宋_GB2312" w:eastAsia="仿宋_GB2312" w:cs="仿宋_GB2312"/>
          <w:b w:val="0"/>
          <w:bCs w:val="0"/>
          <w:sz w:val="32"/>
          <w:szCs w:val="32"/>
          <w:highlight w:val="none"/>
        </w:rPr>
        <w:t>项目预算涵盖从</w:t>
      </w:r>
      <w:r>
        <w:rPr>
          <w:rFonts w:hint="eastAsia" w:ascii="仿宋_GB2312" w:hAnsi="仿宋_GB2312" w:eastAsia="仿宋_GB2312" w:cs="仿宋_GB2312"/>
          <w:b w:val="0"/>
          <w:bCs w:val="0"/>
          <w:sz w:val="32"/>
          <w:szCs w:val="32"/>
          <w:highlight w:val="none"/>
          <w:lang w:val="en-US" w:eastAsia="zh-CN"/>
        </w:rPr>
        <w:t>2024年1月1日</w:t>
      </w:r>
      <w:r>
        <w:rPr>
          <w:rFonts w:hint="eastAsia" w:ascii="仿宋_GB2312" w:hAnsi="仿宋_GB2312" w:eastAsia="仿宋_GB2312" w:cs="仿宋_GB2312"/>
          <w:b w:val="0"/>
          <w:bCs w:val="0"/>
          <w:sz w:val="32"/>
          <w:szCs w:val="32"/>
          <w:highlight w:val="none"/>
        </w:rPr>
        <w:t>至</w:t>
      </w:r>
      <w:r>
        <w:rPr>
          <w:rFonts w:hint="eastAsia" w:ascii="仿宋_GB2312" w:hAnsi="仿宋_GB2312" w:eastAsia="仿宋_GB2312" w:cs="仿宋_GB2312"/>
          <w:b w:val="0"/>
          <w:bCs w:val="0"/>
          <w:sz w:val="32"/>
          <w:szCs w:val="32"/>
          <w:highlight w:val="none"/>
          <w:lang w:val="en-US" w:eastAsia="zh-CN"/>
        </w:rPr>
        <w:t>2024年12月31日</w:t>
      </w:r>
      <w:r>
        <w:rPr>
          <w:rFonts w:hint="eastAsia" w:ascii="仿宋_GB2312" w:hAnsi="仿宋_GB2312" w:eastAsia="仿宋_GB2312" w:cs="仿宋_GB2312"/>
          <w:b w:val="0"/>
          <w:bCs w:val="0"/>
          <w:sz w:val="32"/>
          <w:szCs w:val="32"/>
          <w:highlight w:val="none"/>
        </w:rPr>
        <w:t>的全部资金投入与支出，涉及资金总额为</w:t>
      </w:r>
      <w:r>
        <w:rPr>
          <w:rFonts w:hint="eastAsia" w:ascii="仿宋_GB2312" w:hAnsi="仿宋_GB2312" w:eastAsia="仿宋_GB2312" w:cs="仿宋_GB2312"/>
          <w:b w:val="0"/>
          <w:bCs w:val="0"/>
          <w:sz w:val="32"/>
          <w:szCs w:val="32"/>
          <w:highlight w:val="none"/>
          <w:lang w:val="en-US" w:eastAsia="zh-CN"/>
        </w:rPr>
        <w:t>447万</w:t>
      </w:r>
      <w:r>
        <w:rPr>
          <w:rFonts w:hint="eastAsia" w:ascii="仿宋_GB2312" w:hAnsi="仿宋_GB2312" w:eastAsia="仿宋_GB2312" w:cs="仿宋_GB2312"/>
          <w:b w:val="0"/>
          <w:bCs w:val="0"/>
          <w:sz w:val="32"/>
          <w:szCs w:val="32"/>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2"/>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2"/>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2"/>
        </w:numPr>
        <w:spacing w:before="0" w:after="0" w:line="560" w:lineRule="exact"/>
        <w:ind w:left="-10" w:leftChars="0" w:firstLine="640" w:firstLineChars="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spacing w:line="560" w:lineRule="exact"/>
        <w:ind w:firstLine="640" w:firstLineChars="200"/>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kern w:val="28"/>
          <w:sz w:val="32"/>
          <w:szCs w:val="32"/>
          <w:highlight w:val="none"/>
          <w:lang w:val="en-US" w:eastAsia="zh-CN" w:bidi="ar-SA"/>
        </w:rPr>
        <w:t>（4）</w:t>
      </w:r>
      <w:r>
        <w:rPr>
          <w:rFonts w:hint="default" w:ascii="Times New Roman" w:hAnsi="Times New Roman" w:eastAsia="仿宋_GB2312" w:cs="Times New Roman"/>
          <w:b w:val="0"/>
          <w:bCs w:val="0"/>
          <w:kern w:val="28"/>
          <w:sz w:val="32"/>
          <w:szCs w:val="32"/>
          <w:highlight w:val="none"/>
          <w:lang w:val="en-US" w:eastAsia="zh-CN" w:bidi="ar-SA"/>
        </w:rPr>
        <w:t>社会等影响：考察项目对社会、经济等方面的综合影响。</w:t>
      </w:r>
      <w:r>
        <w:rPr>
          <w:rFonts w:hint="eastAsia" w:ascii="Times New Roman" w:hAnsi="Times New Roman" w:eastAsia="仿宋_GB2312" w:cs="Times New Roman"/>
          <w:b w:val="0"/>
          <w:bCs w:val="0"/>
          <w:kern w:val="28"/>
          <w:sz w:val="32"/>
          <w:szCs w:val="32"/>
          <w:highlight w:val="none"/>
          <w:lang w:val="en-US" w:eastAsia="zh-CN" w:bidi="ar-SA"/>
        </w:rPr>
        <w:t>有效的控制和降低孕产妇和儿童死亡率，保护孕产妇和婴幼儿的生命安全，提高出生人口质量</w:t>
      </w:r>
      <w:r>
        <w:rPr>
          <w:rFonts w:hint="eastAsia" w:eastAsia="仿宋_GB2312" w:cs="Times New Roman"/>
          <w:b w:val="0"/>
          <w:bCs w:val="0"/>
          <w:kern w:val="28"/>
          <w:sz w:val="32"/>
          <w:szCs w:val="32"/>
          <w:highlight w:val="none"/>
          <w:lang w:val="en-US" w:eastAsia="zh-CN" w:bidi="ar-SA"/>
        </w:rPr>
        <w:t>、保障妇女儿童身心健康，</w:t>
      </w:r>
      <w:r>
        <w:rPr>
          <w:rFonts w:hint="eastAsia" w:ascii="Times New Roman" w:hAnsi="Times New Roman" w:eastAsia="仿宋_GB2312" w:cs="Times New Roman"/>
          <w:b w:val="0"/>
          <w:bCs w:val="0"/>
          <w:kern w:val="28"/>
          <w:sz w:val="32"/>
          <w:szCs w:val="32"/>
          <w:highlight w:val="none"/>
          <w:lang w:val="en-US" w:eastAsia="zh-CN" w:bidi="ar-SA"/>
        </w:rPr>
        <w:t>增强全民保健意识，降低高危妊娠发生率，提高人民群众健康水平发挥显著的社会效益，全面提高单位工作服务质量和服务水平。</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 xml:space="preserve">（一）成本效益分析法。是指将投入与产出、效益进行关联性分析的方法。 </w:t>
      </w:r>
      <w:r>
        <w:rPr>
          <w:rFonts w:hint="eastAsia" w:ascii="Times New Roman" w:hAnsi="Times New Roman" w:eastAsia="仿宋_GB2312" w:cs="Times New Roman"/>
          <w:b w:val="0"/>
          <w:bCs w:val="0"/>
          <w:kern w:val="2"/>
          <w:sz w:val="32"/>
          <w:szCs w:val="32"/>
          <w:highlight w:val="none"/>
          <w:lang w:val="en-US" w:eastAsia="zh-CN" w:bidi="ar-SA"/>
        </w:rPr>
        <w:t>通过成本效益分析法比较项目的全部成本和效益来评估项目如何实施，将成本费用分析法运用于计划决策之中，以寻求在投资决策上如何以最小的成本获得最大的收益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pPr>
        <w:pStyle w:val="10"/>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spacing w:line="70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kern w:val="0"/>
          <w:sz w:val="36"/>
          <w:szCs w:val="36"/>
          <w:highlight w:val="none"/>
          <w:lang w:eastAsia="zh-CN"/>
        </w:rPr>
        <w:t>2024年非财政拨款资金项目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保障单位职工人数</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职工工资及社会保障金正常发放率</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效益指标</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保障妇女儿童身心健康</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特克斯县妇幼保健计划生育服务中心</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eastAsia="zh-CN"/>
        </w:rPr>
        <w:t>保障妇女儿童身心健康</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仿宋_GB2312" w:hAnsi="仿宋_GB2312" w:eastAsia="仿宋_GB2312" w:cs="仿宋_GB2312"/>
          <w:i w:val="0"/>
          <w:caps w:val="0"/>
          <w:color w:val="333333"/>
          <w:spacing w:val="0"/>
          <w:sz w:val="32"/>
          <w:szCs w:val="32"/>
          <w:highlight w:val="none"/>
          <w:shd w:val="clear" w:fill="FFFFFF"/>
        </w:rPr>
        <w:t>2024年非财政拨款资金项目</w:t>
      </w:r>
      <w:r>
        <w:rPr>
          <w:rFonts w:hint="eastAsia" w:ascii="仿宋_GB2312" w:hAnsi="仿宋_GB2312" w:eastAsia="仿宋_GB2312" w:cs="仿宋_GB2312"/>
          <w:sz w:val="32"/>
          <w:szCs w:val="32"/>
          <w:highlight w:val="none"/>
        </w:rPr>
        <w:t>在绩</w:t>
      </w:r>
      <w:r>
        <w:rPr>
          <w:rFonts w:hint="default" w:ascii="Times New Roman" w:hAnsi="Times New Roman" w:eastAsia="仿宋_GB2312" w:cs="Times New Roman"/>
          <w:sz w:val="32"/>
          <w:szCs w:val="32"/>
          <w:highlight w:val="none"/>
        </w:rPr>
        <w:t>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w:t>
      </w:r>
      <w:r>
        <w:rPr>
          <w:rFonts w:hint="default" w:ascii="Times New Roman" w:hAnsi="Times New Roman" w:eastAsia="仿宋_GB2312" w:cs="Times New Roman"/>
          <w:b w:val="0"/>
          <w:bCs w:val="0"/>
          <w:highlight w:val="none"/>
        </w:rPr>
        <w:t xml:space="preserve">评分结果：总得分为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92.5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95</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5"/>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447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非</w:t>
      </w:r>
      <w:r>
        <w:rPr>
          <w:rFonts w:hint="default" w:ascii="Times New Roman" w:hAnsi="Times New Roman" w:eastAsia="仿宋_GB2312" w:cs="Times New Roman"/>
          <w:sz w:val="32"/>
          <w:szCs w:val="32"/>
          <w:highlight w:val="none"/>
          <w:lang w:val="en-US" w:eastAsia="zh-CN"/>
        </w:rPr>
        <w:t>财政资金及时足额到位，到位率</w:t>
      </w:r>
      <w:r>
        <w:rPr>
          <w:rFonts w:hint="eastAsia" w:eastAsia="仿宋_GB2312" w:cs="Times New Roman"/>
          <w:sz w:val="32"/>
          <w:szCs w:val="32"/>
          <w:highlight w:val="none"/>
          <w:lang w:val="en-US" w:eastAsia="zh-CN"/>
        </w:rPr>
        <w:t>87.65</w:t>
      </w:r>
      <w:r>
        <w:rPr>
          <w:rFonts w:hint="default" w:ascii="Times New Roman" w:hAnsi="Times New Roman" w:eastAsia="仿宋_GB2312" w:cs="Times New Roman"/>
          <w:sz w:val="32"/>
          <w:szCs w:val="32"/>
          <w:highlight w:val="none"/>
          <w:lang w:val="en-US" w:eastAsia="zh-CN"/>
        </w:rPr>
        <w:t>%，预算</w:t>
      </w:r>
      <w:r>
        <w:rPr>
          <w:rFonts w:hint="default" w:ascii="Times New Roman" w:hAnsi="Times New Roman" w:eastAsia="仿宋_GB2312" w:cs="Times New Roman"/>
          <w:sz w:val="32"/>
          <w:szCs w:val="32"/>
          <w:lang w:val="en-US" w:eastAsia="zh-CN"/>
        </w:rPr>
        <w:t>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w:t>
      </w:r>
      <w:r>
        <w:rPr>
          <w:rFonts w:hint="default" w:ascii="Times New Roman" w:hAnsi="Times New Roman" w:eastAsia="仿宋_GB2312" w:cs="Times New Roman"/>
          <w:sz w:val="32"/>
          <w:szCs w:val="32"/>
          <w:highlight w:val="none"/>
          <w:lang w:val="en-US" w:eastAsia="zh-CN"/>
        </w:rPr>
        <w:t>行，预算资金支出</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87.65</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lang w:eastAsia="zh-CN"/>
        </w:rPr>
        <w:t>本项目在执行过程中，管</w:t>
      </w:r>
      <w:r>
        <w:rPr>
          <w:rFonts w:hint="default" w:ascii="Times New Roman" w:hAnsi="Times New Roman" w:eastAsia="仿宋_GB2312" w:cs="Times New Roman"/>
          <w:sz w:val="32"/>
          <w:szCs w:val="32"/>
          <w:lang w:eastAsia="zh-CN"/>
        </w:rPr>
        <w:t>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5"/>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保障单位职工人数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大于等于</w:t>
      </w:r>
      <w:r>
        <w:rPr>
          <w:rFonts w:hint="eastAsia" w:eastAsia="仿宋_GB2312" w:cs="Times New Roman"/>
          <w:sz w:val="32"/>
          <w:szCs w:val="32"/>
          <w:highlight w:val="none"/>
          <w:lang w:val="en-US" w:eastAsia="zh-CN"/>
        </w:rPr>
        <w:t>78人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80人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102.56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年初绩效目标值指标低，本年度后半年聘用人数增加，单位年平均职工人数增加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指标1：职工工资及社会保障金正常发放率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等于</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指标1：各指标完成时间</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2024年12月20日</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2024年12月31日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指标1：人员工资福利及补助资金支出</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≤20万元/月</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18.09万元/月</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90.45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偏差原因：年初绩效目标值指标高，本年度因整体收入降低，人员工资福利及补助资金支出减少。改进措施：下半年从严从高设置指标值。</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指标2：日常办公运转经费支出</w:t>
      </w:r>
      <w:r>
        <w:rPr>
          <w:rFonts w:hint="default"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≤7.5万元/月</w:t>
      </w:r>
      <w:r>
        <w:rPr>
          <w:rFonts w:hint="default"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6.51万元/月</w:t>
      </w:r>
      <w:r>
        <w:rPr>
          <w:rFonts w:hint="default" w:eastAsia="仿宋_GB2312" w:cs="Times New Roman"/>
          <w:sz w:val="32"/>
          <w:szCs w:val="32"/>
          <w:highlight w:val="none"/>
          <w:lang w:val="en-US" w:eastAsia="zh-CN"/>
        </w:rPr>
        <w:t>，指标完成率</w:t>
      </w:r>
      <w:r>
        <w:rPr>
          <w:rFonts w:hint="eastAsia" w:eastAsia="仿宋_GB2312" w:cs="Times New Roman"/>
          <w:sz w:val="32"/>
          <w:szCs w:val="32"/>
          <w:highlight w:val="none"/>
          <w:lang w:val="en-US" w:eastAsia="zh-CN"/>
        </w:rPr>
        <w:t>86.8</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。偏差原因：年初绩效目标值指标高，本年度因整体收入降低，日常办公运转经费支出减少。改进措施：下半年从严从高设置指标值。</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指标3：医用耗材、药品费</w:t>
      </w:r>
      <w:r>
        <w:rPr>
          <w:rFonts w:hint="default"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≤15万元/月</w:t>
      </w:r>
      <w:r>
        <w:rPr>
          <w:rFonts w:hint="default"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12.65万元/月</w:t>
      </w:r>
      <w:r>
        <w:rPr>
          <w:rFonts w:hint="default" w:eastAsia="仿宋_GB2312" w:cs="Times New Roman"/>
          <w:sz w:val="32"/>
          <w:szCs w:val="32"/>
          <w:highlight w:val="none"/>
          <w:lang w:val="en-US" w:eastAsia="zh-CN"/>
        </w:rPr>
        <w:t>，指标完成率</w:t>
      </w:r>
      <w:r>
        <w:rPr>
          <w:rFonts w:hint="eastAsia" w:eastAsia="仿宋_GB2312" w:cs="Times New Roman"/>
          <w:sz w:val="32"/>
          <w:szCs w:val="32"/>
          <w:highlight w:val="none"/>
          <w:lang w:val="en-US" w:eastAsia="zh-CN"/>
        </w:rPr>
        <w:t>84.33</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。偏差原因：年初绩效目标值指标高，本年度因整体收入降低，医用耗材、药品费支出减少。改进措施：下半年从严从高设置指标值。</w:t>
      </w:r>
    </w:p>
    <w:p>
      <w:pPr>
        <w:pStyle w:val="12"/>
        <w:numPr>
          <w:ilvl w:val="0"/>
          <w:numId w:val="5"/>
        </w:numPr>
        <w:spacing w:line="560" w:lineRule="exact"/>
        <w:ind w:left="-13" w:leftChars="0" w:firstLine="643" w:firstLineChars="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r>
        <w:rPr>
          <w:rFonts w:hint="default" w:ascii="Times New Roman" w:hAnsi="Times New Roman" w:eastAsia="仿宋_GB2312" w:cs="Times New Roman"/>
          <w:sz w:val="32"/>
          <w:szCs w:val="32"/>
          <w:lang w:val="en-US" w:eastAsia="zh-CN"/>
        </w:rPr>
        <w:t>：</w:t>
      </w:r>
    </w:p>
    <w:p>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指标1：保障妇女儿童身心健康</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指标1：服务对象满意度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19"/>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2024年非财政拨款资金</w:t>
      </w:r>
      <w:r>
        <w:rPr>
          <w:rFonts w:hint="eastAsia" w:ascii="仿宋_GB2312" w:hAnsi="仿宋_GB2312" w:eastAsia="仿宋_GB2312" w:cs="仿宋_GB2312"/>
          <w:sz w:val="32"/>
          <w:szCs w:val="32"/>
          <w:highlight w:val="none"/>
        </w:rPr>
        <w:t>项目年初预算</w:t>
      </w:r>
      <w:r>
        <w:rPr>
          <w:rFonts w:hint="eastAsia" w:ascii="仿宋_GB2312" w:hAnsi="仿宋_GB2312" w:eastAsia="仿宋_GB2312" w:cs="仿宋_GB2312"/>
          <w:sz w:val="32"/>
          <w:szCs w:val="32"/>
          <w:highlight w:val="none"/>
          <w:lang w:val="en-US" w:eastAsia="zh-CN"/>
        </w:rPr>
        <w:t>510</w:t>
      </w:r>
      <w:r>
        <w:rPr>
          <w:rFonts w:hint="eastAsia" w:ascii="仿宋_GB2312" w:hAnsi="仿宋_GB2312" w:eastAsia="仿宋_GB2312" w:cs="仿宋_GB2312"/>
          <w:sz w:val="32"/>
          <w:szCs w:val="32"/>
          <w:highlight w:val="none"/>
        </w:rPr>
        <w:t>万元，全年预算</w:t>
      </w:r>
      <w:r>
        <w:rPr>
          <w:rFonts w:hint="eastAsia" w:ascii="仿宋_GB2312" w:hAnsi="仿宋_GB2312" w:eastAsia="仿宋_GB2312" w:cs="仿宋_GB2312"/>
          <w:sz w:val="32"/>
          <w:szCs w:val="32"/>
          <w:highlight w:val="none"/>
          <w:lang w:val="en-US" w:eastAsia="zh-CN"/>
        </w:rPr>
        <w:t>510</w:t>
      </w:r>
      <w:r>
        <w:rPr>
          <w:rFonts w:hint="eastAsia" w:ascii="仿宋_GB2312" w:hAnsi="仿宋_GB2312" w:eastAsia="仿宋_GB2312" w:cs="仿宋_GB2312"/>
          <w:sz w:val="32"/>
          <w:szCs w:val="32"/>
          <w:highlight w:val="none"/>
        </w:rPr>
        <w:t>万元，实际支出</w:t>
      </w:r>
      <w:r>
        <w:rPr>
          <w:rFonts w:hint="eastAsia" w:ascii="仿宋_GB2312" w:hAnsi="仿宋_GB2312" w:eastAsia="仿宋_GB2312" w:cs="仿宋_GB2312"/>
          <w:sz w:val="32"/>
          <w:szCs w:val="32"/>
          <w:highlight w:val="none"/>
          <w:lang w:val="en-US" w:eastAsia="zh-CN"/>
        </w:rPr>
        <w:t>447</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87.65</w:t>
      </w:r>
      <w:r>
        <w:rPr>
          <w:rFonts w:hint="eastAsia" w:ascii="仿宋_GB2312" w:hAnsi="仿宋_GB2312" w:eastAsia="仿宋_GB2312" w:cs="仿宋_GB2312"/>
          <w:sz w:val="32"/>
          <w:szCs w:val="32"/>
          <w:highlight w:val="none"/>
        </w:rPr>
        <w:t>%，项目绩效指标总体完成率为</w:t>
      </w:r>
      <w:r>
        <w:rPr>
          <w:rFonts w:hint="eastAsia" w:ascii="仿宋_GB2312" w:hAnsi="仿宋_GB2312" w:eastAsia="仿宋_GB2312" w:cs="仿宋_GB2312"/>
          <w:sz w:val="32"/>
          <w:szCs w:val="32"/>
          <w:highlight w:val="none"/>
          <w:lang w:val="en-US" w:eastAsia="zh-CN"/>
        </w:rPr>
        <w:t>95.52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总体</w:t>
      </w:r>
      <w:r>
        <w:rPr>
          <w:rFonts w:hint="eastAsia" w:ascii="仿宋_GB2312" w:hAnsi="仿宋_GB2312" w:eastAsia="仿宋_GB2312" w:cs="仿宋_GB2312"/>
          <w:sz w:val="32"/>
          <w:szCs w:val="32"/>
          <w:highlight w:val="none"/>
        </w:rPr>
        <w:t>偏差率为</w:t>
      </w:r>
      <w:r>
        <w:rPr>
          <w:rFonts w:hint="eastAsia" w:ascii="仿宋_GB2312" w:hAnsi="仿宋_GB2312" w:eastAsia="仿宋_GB2312" w:cs="仿宋_GB2312"/>
          <w:sz w:val="32"/>
          <w:szCs w:val="32"/>
          <w:highlight w:val="none"/>
          <w:lang w:val="en-US" w:eastAsia="zh-CN"/>
        </w:rPr>
        <w:t>4.48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偏差</w:t>
      </w:r>
      <w:r>
        <w:rPr>
          <w:rFonts w:hint="eastAsia" w:ascii="仿宋_GB2312" w:hAnsi="仿宋_GB2312" w:eastAsia="仿宋_GB2312" w:cs="仿宋_GB2312"/>
          <w:sz w:val="32"/>
          <w:szCs w:val="32"/>
          <w:highlight w:val="none"/>
        </w:rPr>
        <w:t>原因</w:t>
      </w:r>
      <w:r>
        <w:rPr>
          <w:rFonts w:hint="eastAsia" w:ascii="仿宋_GB2312" w:hAnsi="仿宋_GB2312" w:eastAsia="仿宋_GB2312" w:cs="仿宋_GB2312"/>
          <w:sz w:val="32"/>
          <w:szCs w:val="32"/>
          <w:highlight w:val="none"/>
          <w:lang w:val="en-US" w:eastAsia="zh-CN"/>
        </w:rPr>
        <w:t>年初绩效目标值指标高，本年度因整体收入降低，所以自有资金支出减少</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改进</w:t>
      </w:r>
      <w:r>
        <w:rPr>
          <w:rFonts w:hint="eastAsia" w:ascii="仿宋_GB2312" w:hAnsi="仿宋_GB2312" w:eastAsia="仿宋_GB2312" w:cs="仿宋_GB2312"/>
          <w:sz w:val="32"/>
          <w:szCs w:val="32"/>
          <w:highlight w:val="none"/>
        </w:rPr>
        <w:t>措施</w:t>
      </w:r>
      <w:r>
        <w:rPr>
          <w:rFonts w:hint="eastAsia" w:ascii="仿宋_GB2312" w:hAnsi="仿宋_GB2312" w:eastAsia="仿宋_GB2312" w:cs="仿宋_GB2312"/>
          <w:sz w:val="32"/>
          <w:szCs w:val="32"/>
          <w:highlight w:val="none"/>
          <w:lang w:val="en-US" w:eastAsia="zh-CN"/>
        </w:rPr>
        <w:t>下半年从严从高设置指标值</w:t>
      </w:r>
      <w:r>
        <w:rPr>
          <w:rFonts w:hint="eastAsia" w:ascii="仿宋_GB2312" w:hAnsi="仿宋_GB2312" w:eastAsia="仿宋_GB2312" w:cs="仿宋_GB2312"/>
          <w:sz w:val="32"/>
          <w:szCs w:val="32"/>
          <w:highlight w:val="none"/>
        </w:rPr>
        <w:t>。</w:t>
      </w:r>
    </w:p>
    <w:p>
      <w:pPr>
        <w:spacing w:line="560" w:lineRule="exact"/>
        <w:ind w:firstLine="643" w:firstLineChars="200"/>
        <w:rPr>
          <w:rFonts w:hint="default"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CN"/>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2024年非财政拨款资金项目</w:t>
      </w:r>
      <w:r>
        <w:rPr>
          <w:rFonts w:hint="eastAsia" w:ascii="仿宋_GB2312" w:hAnsi="仿宋_GB2312" w:eastAsia="仿宋_GB2312" w:cs="仿宋_GB2312"/>
          <w:b/>
          <w:bCs/>
          <w:sz w:val="28"/>
          <w:szCs w:val="40"/>
          <w:highlight w:val="none"/>
        </w:rPr>
        <w:t>绩</w:t>
      </w:r>
      <w:r>
        <w:rPr>
          <w:rFonts w:hint="eastAsia" w:ascii="仿宋_GB2312" w:hAnsi="仿宋_GB2312" w:eastAsia="仿宋_GB2312" w:cs="仿宋_GB2312"/>
          <w:b/>
          <w:bCs/>
          <w:sz w:val="28"/>
          <w:szCs w:val="40"/>
        </w:rPr>
        <w:t>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2024年非财政拨款资金项目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特克斯县妇幼保健计划生育服务中心</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特克斯县妇幼保健计划生育服务中心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510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510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447</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87.65%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510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4"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的控制和降低孕产妇和儿童死亡率，保护孕产妇和婴幼儿的生命安全，提高出生人口质量，增强全民保健意识，降低高危妊娠发生率，提高人民群众健康水平发挥显著的社会效益，全面提高单位工作服务质量和服务水平。</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我院首先是完成医疗设备购置和更新，提升医院的诊断和诊疗水平；其次是基础设施的改造和扩建，以改善患者的就医环境；还有人才队伍建设，通过培训、引进等方式，提高医护人员的技术水平和综合素质;在质量、成本和时间的约束下达成目标，同时提升整体运营效率和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4"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保障单位职工人数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&gt;=78人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保障单位职工人数</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80人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102.56%</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偏差原因：年初绩效目标值指标低，本年度后半年聘用人数增加，单位年平均职工人数增加。改进措施：下半年从严从高设置指标值。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职工工资及社会保障金正常发放率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职工工资及社会保障金正常发放率</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各指标完成时间</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2024年12月20日</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各指标完成时间</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2024年12月31日</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人员工资福利及补助资金支出</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&lt;=20万元/月</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人员工资福利及补助资金支出</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18.09万元/月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90.45%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偏差原因：年初绩效目标值指标高，本年度因整体收入降低，人员工资福利及补助资金支出减少。改进措施：下半年从严从高设置指标值。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日常办公运转经费支出</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&lt;=7.5万元/月</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日常办公运转经费支出</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6.51万元/月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86.8%</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4.34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偏差原因：年初绩效目标值指标高，本年度因整体收入降低，日常办公运转经费支出减少。改进措施：下半年从严从高设置指标值。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医用耗材、药品费</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&lt;=15万元/月</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医用耗材、药品费</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12.65万元/月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84.33%</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4.22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偏差原因：年初绩效目标值指标高，本年度因整体收入降低，医用耗材、药品费支出减少。改进措施：下半年从严从高设置指标值。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保障妇女儿童身心健康</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有效保障</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保障妇女儿童身心健康</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有效保障</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服务对象满意度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服务对象满意度</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87.6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pPr>
        <w:ind w:left="-10"/>
      </w:p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0D24A13E"/>
    <w:multiLevelType w:val="singleLevel"/>
    <w:tmpl w:val="0D24A13E"/>
    <w:lvl w:ilvl="0" w:tentative="0">
      <w:start w:val="2"/>
      <w:numFmt w:val="decimal"/>
      <w:lvlText w:val="%1."/>
      <w:lvlJc w:val="left"/>
      <w:pPr>
        <w:tabs>
          <w:tab w:val="left" w:pos="312"/>
        </w:tabs>
      </w:p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3316B32"/>
    <w:multiLevelType w:val="singleLevel"/>
    <w:tmpl w:val="23316B32"/>
    <w:lvl w:ilvl="0" w:tentative="0">
      <w:start w:val="1"/>
      <w:numFmt w:val="decimal"/>
      <w:lvlText w:val="%1."/>
      <w:lvlJc w:val="left"/>
      <w:pPr>
        <w:tabs>
          <w:tab w:val="left" w:pos="312"/>
        </w:tabs>
      </w:p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2"/>
  </w:num>
  <w:num w:numId="2">
    <w:abstractNumId w:val="0"/>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0B5650"/>
    <w:rsid w:val="000E4770"/>
    <w:rsid w:val="006F7242"/>
    <w:rsid w:val="007B168A"/>
    <w:rsid w:val="008B2CFE"/>
    <w:rsid w:val="00F26FF6"/>
    <w:rsid w:val="01207B0A"/>
    <w:rsid w:val="01610122"/>
    <w:rsid w:val="020E2CD4"/>
    <w:rsid w:val="02510197"/>
    <w:rsid w:val="02566AEC"/>
    <w:rsid w:val="03177921"/>
    <w:rsid w:val="032E1D4D"/>
    <w:rsid w:val="03D94240"/>
    <w:rsid w:val="03EC461B"/>
    <w:rsid w:val="05C8422A"/>
    <w:rsid w:val="05E42C84"/>
    <w:rsid w:val="06DF1897"/>
    <w:rsid w:val="07397B77"/>
    <w:rsid w:val="07792EC9"/>
    <w:rsid w:val="08A41F11"/>
    <w:rsid w:val="097E3F67"/>
    <w:rsid w:val="0AB51D9C"/>
    <w:rsid w:val="0AD007F3"/>
    <w:rsid w:val="0B2C3017"/>
    <w:rsid w:val="0BD56058"/>
    <w:rsid w:val="0C7701DE"/>
    <w:rsid w:val="0D18022F"/>
    <w:rsid w:val="0E3C619F"/>
    <w:rsid w:val="100F38EC"/>
    <w:rsid w:val="11170296"/>
    <w:rsid w:val="12055689"/>
    <w:rsid w:val="12C66037"/>
    <w:rsid w:val="12CD1ABC"/>
    <w:rsid w:val="13471461"/>
    <w:rsid w:val="13B90F01"/>
    <w:rsid w:val="13F06F10"/>
    <w:rsid w:val="14E76E65"/>
    <w:rsid w:val="14EA73D0"/>
    <w:rsid w:val="155E4C4D"/>
    <w:rsid w:val="16334101"/>
    <w:rsid w:val="166149F5"/>
    <w:rsid w:val="16D84E67"/>
    <w:rsid w:val="174A3A38"/>
    <w:rsid w:val="181066D2"/>
    <w:rsid w:val="18427914"/>
    <w:rsid w:val="184C5CEA"/>
    <w:rsid w:val="19F33DBA"/>
    <w:rsid w:val="1AA118BC"/>
    <w:rsid w:val="1C671E73"/>
    <w:rsid w:val="1D01245C"/>
    <w:rsid w:val="1D322C47"/>
    <w:rsid w:val="1DA609F9"/>
    <w:rsid w:val="1FF93EF0"/>
    <w:rsid w:val="20C120A1"/>
    <w:rsid w:val="211D3C0E"/>
    <w:rsid w:val="215440AB"/>
    <w:rsid w:val="21E95849"/>
    <w:rsid w:val="230E7CB2"/>
    <w:rsid w:val="23605B4B"/>
    <w:rsid w:val="23616034"/>
    <w:rsid w:val="23696C97"/>
    <w:rsid w:val="23F76163"/>
    <w:rsid w:val="24480FA2"/>
    <w:rsid w:val="24A02B8C"/>
    <w:rsid w:val="25227A45"/>
    <w:rsid w:val="26AC3A6A"/>
    <w:rsid w:val="27DD54AD"/>
    <w:rsid w:val="2A4C5A86"/>
    <w:rsid w:val="2B9D7E25"/>
    <w:rsid w:val="2BAE6D06"/>
    <w:rsid w:val="2C7C7A3B"/>
    <w:rsid w:val="2F364819"/>
    <w:rsid w:val="2FB90FA6"/>
    <w:rsid w:val="2FD63906"/>
    <w:rsid w:val="2FF97808"/>
    <w:rsid w:val="315C38EC"/>
    <w:rsid w:val="31995936"/>
    <w:rsid w:val="327D275F"/>
    <w:rsid w:val="32E54147"/>
    <w:rsid w:val="355A070B"/>
    <w:rsid w:val="35CC40C9"/>
    <w:rsid w:val="35E84393"/>
    <w:rsid w:val="361E05AC"/>
    <w:rsid w:val="37215DAE"/>
    <w:rsid w:val="37384EA6"/>
    <w:rsid w:val="379E11AD"/>
    <w:rsid w:val="387A2816"/>
    <w:rsid w:val="38CA40DD"/>
    <w:rsid w:val="39082413"/>
    <w:rsid w:val="393D1E25"/>
    <w:rsid w:val="395F2B56"/>
    <w:rsid w:val="3A611399"/>
    <w:rsid w:val="3B090041"/>
    <w:rsid w:val="3B5C7722"/>
    <w:rsid w:val="3BBA0580"/>
    <w:rsid w:val="3BECE841"/>
    <w:rsid w:val="3C1B0EF8"/>
    <w:rsid w:val="3C7050E2"/>
    <w:rsid w:val="3CDE204C"/>
    <w:rsid w:val="3CE5162C"/>
    <w:rsid w:val="3D363C36"/>
    <w:rsid w:val="3DB039E8"/>
    <w:rsid w:val="3E9C3F6D"/>
    <w:rsid w:val="3EA97057"/>
    <w:rsid w:val="3F467630"/>
    <w:rsid w:val="3FF7797D"/>
    <w:rsid w:val="40E60678"/>
    <w:rsid w:val="4242307D"/>
    <w:rsid w:val="43ED420F"/>
    <w:rsid w:val="44357B1E"/>
    <w:rsid w:val="44A42D60"/>
    <w:rsid w:val="44F3278A"/>
    <w:rsid w:val="45154265"/>
    <w:rsid w:val="45B11C20"/>
    <w:rsid w:val="46690BD8"/>
    <w:rsid w:val="479A3013"/>
    <w:rsid w:val="47CC58C3"/>
    <w:rsid w:val="47E0136E"/>
    <w:rsid w:val="49F70BF1"/>
    <w:rsid w:val="4A0A259F"/>
    <w:rsid w:val="4A276257"/>
    <w:rsid w:val="4B4340EE"/>
    <w:rsid w:val="4B70416E"/>
    <w:rsid w:val="4C0513A3"/>
    <w:rsid w:val="4E526C3C"/>
    <w:rsid w:val="4EE41751"/>
    <w:rsid w:val="4F4B17C3"/>
    <w:rsid w:val="4F9E5AAA"/>
    <w:rsid w:val="503D507A"/>
    <w:rsid w:val="51FA74D0"/>
    <w:rsid w:val="528B3CC8"/>
    <w:rsid w:val="52AA4A52"/>
    <w:rsid w:val="53095C1D"/>
    <w:rsid w:val="532E5683"/>
    <w:rsid w:val="547F55C7"/>
    <w:rsid w:val="56867584"/>
    <w:rsid w:val="58442E3D"/>
    <w:rsid w:val="592D78CA"/>
    <w:rsid w:val="59943D66"/>
    <w:rsid w:val="59E051FD"/>
    <w:rsid w:val="59E6355E"/>
    <w:rsid w:val="5B821531"/>
    <w:rsid w:val="5BC146AC"/>
    <w:rsid w:val="5BFF6039"/>
    <w:rsid w:val="5C6C0FCA"/>
    <w:rsid w:val="5D0B0215"/>
    <w:rsid w:val="5D76A616"/>
    <w:rsid w:val="5D7F20B9"/>
    <w:rsid w:val="5DAC7D0E"/>
    <w:rsid w:val="5DEB77AB"/>
    <w:rsid w:val="5F98B5AF"/>
    <w:rsid w:val="5FFA204A"/>
    <w:rsid w:val="5FFB4B3F"/>
    <w:rsid w:val="5FFE8511"/>
    <w:rsid w:val="5FFEACE2"/>
    <w:rsid w:val="605B021F"/>
    <w:rsid w:val="60912DAE"/>
    <w:rsid w:val="609D5BF6"/>
    <w:rsid w:val="60C70EC5"/>
    <w:rsid w:val="61073070"/>
    <w:rsid w:val="61B9080E"/>
    <w:rsid w:val="61CD5BBA"/>
    <w:rsid w:val="61DF3FED"/>
    <w:rsid w:val="623C0428"/>
    <w:rsid w:val="642B176B"/>
    <w:rsid w:val="643EE26D"/>
    <w:rsid w:val="64992B79"/>
    <w:rsid w:val="656019A0"/>
    <w:rsid w:val="6563059B"/>
    <w:rsid w:val="65F242EE"/>
    <w:rsid w:val="666D7E19"/>
    <w:rsid w:val="66D649AE"/>
    <w:rsid w:val="680C101F"/>
    <w:rsid w:val="68376930"/>
    <w:rsid w:val="68F91E38"/>
    <w:rsid w:val="69342E70"/>
    <w:rsid w:val="6A656677"/>
    <w:rsid w:val="6AB26742"/>
    <w:rsid w:val="6AD0588E"/>
    <w:rsid w:val="6B3158B9"/>
    <w:rsid w:val="6B325891"/>
    <w:rsid w:val="6BA02A3F"/>
    <w:rsid w:val="6C1261C3"/>
    <w:rsid w:val="6C1E5A53"/>
    <w:rsid w:val="6C272818"/>
    <w:rsid w:val="6C88775B"/>
    <w:rsid w:val="6C8F1688"/>
    <w:rsid w:val="6CCC028E"/>
    <w:rsid w:val="6EAA567E"/>
    <w:rsid w:val="6F370FC4"/>
    <w:rsid w:val="6F58176D"/>
    <w:rsid w:val="6F5C41AC"/>
    <w:rsid w:val="6F795A80"/>
    <w:rsid w:val="6FAF6C78"/>
    <w:rsid w:val="70683BF2"/>
    <w:rsid w:val="713706ED"/>
    <w:rsid w:val="716167CC"/>
    <w:rsid w:val="71863383"/>
    <w:rsid w:val="7188718B"/>
    <w:rsid w:val="718A7AD1"/>
    <w:rsid w:val="72402268"/>
    <w:rsid w:val="72894CCD"/>
    <w:rsid w:val="72A44BC2"/>
    <w:rsid w:val="72E41CA5"/>
    <w:rsid w:val="7317C656"/>
    <w:rsid w:val="734ED73F"/>
    <w:rsid w:val="7377757F"/>
    <w:rsid w:val="73C82B32"/>
    <w:rsid w:val="73F94DAE"/>
    <w:rsid w:val="74220495"/>
    <w:rsid w:val="747D1B6F"/>
    <w:rsid w:val="749E5641"/>
    <w:rsid w:val="751B38F5"/>
    <w:rsid w:val="75842D02"/>
    <w:rsid w:val="76271066"/>
    <w:rsid w:val="76DA5057"/>
    <w:rsid w:val="770420D4"/>
    <w:rsid w:val="77F31D85"/>
    <w:rsid w:val="77FD8BE9"/>
    <w:rsid w:val="78000AED"/>
    <w:rsid w:val="780A4DB2"/>
    <w:rsid w:val="79627585"/>
    <w:rsid w:val="79A9BD3F"/>
    <w:rsid w:val="79C617F8"/>
    <w:rsid w:val="7B776F12"/>
    <w:rsid w:val="7BFFFDD0"/>
    <w:rsid w:val="7C336E5F"/>
    <w:rsid w:val="7C4942F3"/>
    <w:rsid w:val="7C8D4919"/>
    <w:rsid w:val="7D7A5F86"/>
    <w:rsid w:val="7E4B683A"/>
    <w:rsid w:val="7E5E656D"/>
    <w:rsid w:val="7E74183B"/>
    <w:rsid w:val="7E8F2BCB"/>
    <w:rsid w:val="7EBB576E"/>
    <w:rsid w:val="7F37BB4E"/>
    <w:rsid w:val="7F403D11"/>
    <w:rsid w:val="7F4F4BC9"/>
    <w:rsid w:val="7FB162F5"/>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4132</Words>
  <Characters>4202</Characters>
  <Lines>58</Lines>
  <Paragraphs>16</Paragraphs>
  <TotalTime>6</TotalTime>
  <ScaleCrop>false</ScaleCrop>
  <LinksUpToDate>false</LinksUpToDate>
  <CharactersWithSpaces>4205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2025-07-25T03:30:09Z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eyJoZGlkIjoiNWIzMDllYjVkYmUwYzc1MTU5MmIxZjIxZDc3OWMzZWYifQ==</vt:lpwstr>
  </property>
</Properties>
</file>