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自然灾害应急能力提升工程基层防灾项目项目支出绩效评价报告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both"/>
        <w:rPr>
          <w:rFonts w:hint="default" w:ascii="Times New Roman" w:hAnsi="Times New Roman" w:eastAsia="仿宋_GB2312" w:cs="Times New Roman"/>
          <w:kern w:val="0"/>
          <w:sz w:val="32"/>
          <w:szCs w:val="32"/>
        </w:rPr>
      </w:pPr>
    </w:p>
    <w:p>
      <w:pPr>
        <w:pStyle w:val="11"/>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bookmarkStart w:id="0" w:name="OLE_LINK1"/>
      <w:r>
        <w:rPr>
          <w:rFonts w:hint="default" w:ascii="Times New Roman" w:hAnsi="Times New Roman" w:eastAsia="仿宋_GB2312" w:cs="Times New Roman"/>
          <w:kern w:val="0"/>
          <w:sz w:val="32"/>
          <w:szCs w:val="32"/>
        </w:rPr>
        <w:t>自然灾害应急能力提升工程基层防灾项目</w:t>
      </w:r>
      <w:bookmarkEnd w:id="0"/>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特克斯县应急管理局</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特克斯县应急管理局</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别尔得别克·热斯伙加</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1"/>
        <w:numPr>
          <w:ilvl w:val="0"/>
          <w:numId w:val="0"/>
        </w:numPr>
        <w:spacing w:before="0" w:after="0" w:line="560" w:lineRule="exact"/>
        <w:ind w:firstLine="640" w:firstLineChars="200"/>
        <w:jc w:val="both"/>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坚持以习近平新时代中国特色社会主义思想为指导，深入学习贯彻党的二十大精神，全面观测落实2024年全国应急管理工作会议部署，聚焦最突出的短板弱项，高质量推进工程实施，夯实科技信息化基层基础，服务应急管理事业固本强基。</w:t>
      </w:r>
    </w:p>
    <w:p>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b w:val="0"/>
          <w:bCs w:val="0"/>
          <w:kern w:val="2"/>
          <w:sz w:val="32"/>
          <w:szCs w:val="32"/>
          <w:highlight w:val="none"/>
          <w:lang w:val="en-US" w:eastAsia="zh-CN" w:bidi="ar-SA"/>
        </w:rPr>
        <w:t>应急救援队伍配备综合保障物资装备：森林（草原）火灾扑救36套；抗洪抢险91套；水域救援42套；地震地质灾害救援11套；综合保障16套</w:t>
      </w:r>
      <w:r>
        <w:rPr>
          <w:rFonts w:hint="default" w:ascii="Times New Roman" w:hAnsi="Times New Roman" w:eastAsia="仿宋_GB2312" w:cs="Times New Roman"/>
          <w:b w:val="0"/>
          <w:bCs w:val="0"/>
          <w:kern w:val="2"/>
          <w:sz w:val="32"/>
          <w:szCs w:val="32"/>
          <w:highlight w:val="none"/>
          <w:lang w:val="en-US" w:eastAsia="zh-CN" w:bidi="ar-SA"/>
        </w:rPr>
        <w:t>。</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万元，全年预算数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万元，该项目资金已全部落实到位，资金来源为</w:t>
      </w:r>
      <w:r>
        <w:rPr>
          <w:rFonts w:hint="eastAsia" w:ascii="Times New Roman" w:hAnsi="Times New Roman" w:eastAsia="仿宋_GB2312" w:cs="Times New Roman"/>
          <w:sz w:val="32"/>
          <w:szCs w:val="32"/>
          <w:lang w:val="en-US" w:eastAsia="zh-CN"/>
        </w:rPr>
        <w:t>财政拨款</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万元，全年预算数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全年执行数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%，主要用于：</w:t>
      </w:r>
      <w:r>
        <w:rPr>
          <w:rFonts w:hint="eastAsia" w:ascii="Times New Roman" w:hAnsi="Times New Roman" w:eastAsia="仿宋_GB2312" w:cs="Times New Roman"/>
          <w:sz w:val="32"/>
          <w:szCs w:val="32"/>
          <w:lang w:val="en-US" w:eastAsia="zh-CN"/>
        </w:rPr>
        <w:t>支付伊犁哈萨克自治州应急管理局</w:t>
      </w:r>
      <w:r>
        <w:rPr>
          <w:rFonts w:hint="default" w:ascii="Times New Roman" w:hAnsi="Times New Roman" w:eastAsia="仿宋_GB2312" w:cs="Times New Roman"/>
          <w:sz w:val="32"/>
          <w:szCs w:val="32"/>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pStyle w:val="2"/>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通过2024年全国应急管理工作会议部署，自然灾害应急能力提升工程基层防灾项目为本县应急救援配备专业队伍，配备综合保障物资装备：森林（草原）火灾扑救36套；抗洪抢险91套；水域救援42套；地震地质灾害救援11套；综合保障16套，提升自然灾害应对处置能力。</w:t>
      </w:r>
    </w:p>
    <w:p>
      <w:pPr>
        <w:numPr>
          <w:ilvl w:val="0"/>
          <w:numId w:val="1"/>
        </w:num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阶段性目标</w:t>
      </w:r>
    </w:p>
    <w:p>
      <w:pPr>
        <w:numPr>
          <w:ilvl w:val="0"/>
          <w:numId w:val="0"/>
        </w:numPr>
        <w:spacing w:line="560" w:lineRule="exact"/>
        <w:ind w:firstLine="640" w:firstLineChars="200"/>
        <w:rPr>
          <w:rFonts w:hint="default" w:ascii="Times New Roman" w:hAnsi="Times New Roman" w:eastAsia="黑体" w:cs="Times New Roman"/>
          <w:b w:val="0"/>
          <w:bCs/>
          <w:lang w:eastAsia="zh-CN"/>
        </w:rPr>
      </w:pPr>
      <w:r>
        <w:rPr>
          <w:rFonts w:hint="eastAsia" w:ascii="仿宋_GB2312" w:hAnsi="仿宋_GB2312" w:eastAsia="仿宋_GB2312" w:cs="仿宋_GB2312"/>
          <w:sz w:val="32"/>
          <w:szCs w:val="32"/>
          <w:lang w:val="en-US" w:eastAsia="zh-CN"/>
        </w:rPr>
        <w:t>上半年</w:t>
      </w:r>
      <w:r>
        <w:rPr>
          <w:rFonts w:hint="eastAsia" w:ascii="Times New Roman" w:hAnsi="Times New Roman" w:eastAsia="仿宋_GB2312" w:cs="Times New Roman"/>
          <w:kern w:val="2"/>
          <w:sz w:val="32"/>
          <w:szCs w:val="32"/>
          <w:lang w:val="en-US" w:eastAsia="zh-CN" w:bidi="ar-SA"/>
        </w:rPr>
        <w:t>森林（草原）火灾扑救</w:t>
      </w:r>
      <w:r>
        <w:rPr>
          <w:rFonts w:hint="eastAsia" w:eastAsia="仿宋_GB2312" w:cs="Times New Roman"/>
          <w:kern w:val="2"/>
          <w:sz w:val="32"/>
          <w:szCs w:val="32"/>
          <w:lang w:val="en-US" w:eastAsia="zh-CN" w:bidi="ar-SA"/>
        </w:rPr>
        <w:t>18</w:t>
      </w:r>
      <w:r>
        <w:rPr>
          <w:rFonts w:hint="eastAsia" w:ascii="Times New Roman" w:hAnsi="Times New Roman" w:eastAsia="仿宋_GB2312" w:cs="Times New Roman"/>
          <w:kern w:val="2"/>
          <w:sz w:val="32"/>
          <w:szCs w:val="32"/>
          <w:lang w:val="en-US" w:eastAsia="zh-CN" w:bidi="ar-SA"/>
        </w:rPr>
        <w:t>套；抗洪抢险</w:t>
      </w:r>
      <w:r>
        <w:rPr>
          <w:rFonts w:hint="eastAsia" w:eastAsia="仿宋_GB2312" w:cs="Times New Roman"/>
          <w:kern w:val="2"/>
          <w:sz w:val="32"/>
          <w:szCs w:val="32"/>
          <w:lang w:val="en-US" w:eastAsia="zh-CN" w:bidi="ar-SA"/>
        </w:rPr>
        <w:t>45</w:t>
      </w:r>
      <w:r>
        <w:rPr>
          <w:rFonts w:hint="eastAsia" w:ascii="Times New Roman" w:hAnsi="Times New Roman" w:eastAsia="仿宋_GB2312" w:cs="Times New Roman"/>
          <w:kern w:val="2"/>
          <w:sz w:val="32"/>
          <w:szCs w:val="32"/>
          <w:lang w:val="en-US" w:eastAsia="zh-CN" w:bidi="ar-SA"/>
        </w:rPr>
        <w:t>套；水域救援</w:t>
      </w:r>
      <w:r>
        <w:rPr>
          <w:rFonts w:hint="eastAsia" w:eastAsia="仿宋_GB2312" w:cs="Times New Roman"/>
          <w:kern w:val="2"/>
          <w:sz w:val="32"/>
          <w:szCs w:val="32"/>
          <w:lang w:val="en-US" w:eastAsia="zh-CN" w:bidi="ar-SA"/>
        </w:rPr>
        <w:t>21</w:t>
      </w:r>
      <w:r>
        <w:rPr>
          <w:rFonts w:hint="eastAsia" w:ascii="Times New Roman" w:hAnsi="Times New Roman" w:eastAsia="仿宋_GB2312" w:cs="Times New Roman"/>
          <w:kern w:val="2"/>
          <w:sz w:val="32"/>
          <w:szCs w:val="32"/>
          <w:lang w:val="en-US" w:eastAsia="zh-CN" w:bidi="ar-SA"/>
        </w:rPr>
        <w:t>套；地震地质灾害救援</w:t>
      </w:r>
      <w:r>
        <w:rPr>
          <w:rFonts w:hint="eastAsia" w:eastAsia="仿宋_GB2312" w:cs="Times New Roman"/>
          <w:kern w:val="2"/>
          <w:sz w:val="32"/>
          <w:szCs w:val="32"/>
          <w:lang w:val="en-US" w:eastAsia="zh-CN" w:bidi="ar-SA"/>
        </w:rPr>
        <w:t>5</w:t>
      </w:r>
      <w:r>
        <w:rPr>
          <w:rFonts w:hint="eastAsia" w:ascii="Times New Roman" w:hAnsi="Times New Roman" w:eastAsia="仿宋_GB2312" w:cs="Times New Roman"/>
          <w:kern w:val="2"/>
          <w:sz w:val="32"/>
          <w:szCs w:val="32"/>
          <w:lang w:val="en-US" w:eastAsia="zh-CN" w:bidi="ar-SA"/>
        </w:rPr>
        <w:t>套；综合保障</w:t>
      </w:r>
      <w:r>
        <w:rPr>
          <w:rFonts w:hint="eastAsia" w:eastAsia="仿宋_GB2312" w:cs="Times New Roman"/>
          <w:kern w:val="2"/>
          <w:sz w:val="32"/>
          <w:szCs w:val="32"/>
          <w:lang w:val="en-US" w:eastAsia="zh-CN" w:bidi="ar-SA"/>
        </w:rPr>
        <w:t>8</w:t>
      </w:r>
      <w:r>
        <w:rPr>
          <w:rFonts w:hint="eastAsia" w:ascii="Times New Roman" w:hAnsi="Times New Roman" w:eastAsia="仿宋_GB2312" w:cs="Times New Roman"/>
          <w:kern w:val="2"/>
          <w:sz w:val="32"/>
          <w:szCs w:val="32"/>
          <w:lang w:val="en-US" w:eastAsia="zh-CN" w:bidi="ar-SA"/>
        </w:rPr>
        <w:t>套，</w:t>
      </w:r>
      <w:r>
        <w:rPr>
          <w:rFonts w:hint="eastAsia" w:ascii="仿宋_GB2312" w:hAnsi="仿宋_GB2312" w:eastAsia="仿宋_GB2312" w:cs="仿宋_GB2312"/>
          <w:sz w:val="32"/>
          <w:szCs w:val="32"/>
          <w:lang w:val="en-US" w:eastAsia="zh-CN"/>
        </w:rPr>
        <w:t>下半年，完成了2024年支付伊犁哈萨克自治州应急管理局配套资金89.80万元，</w:t>
      </w:r>
      <w:r>
        <w:rPr>
          <w:rFonts w:hint="eastAsia" w:ascii="Times New Roman" w:hAnsi="Times New Roman" w:eastAsia="仿宋_GB2312" w:cs="Times New Roman"/>
          <w:kern w:val="2"/>
          <w:sz w:val="32"/>
          <w:szCs w:val="32"/>
          <w:lang w:val="en-US" w:eastAsia="zh-CN" w:bidi="ar-SA"/>
        </w:rPr>
        <w:t>森林（草原）火灾扑救</w:t>
      </w:r>
      <w:r>
        <w:rPr>
          <w:rFonts w:hint="eastAsia" w:eastAsia="仿宋_GB2312" w:cs="Times New Roman"/>
          <w:kern w:val="2"/>
          <w:sz w:val="32"/>
          <w:szCs w:val="32"/>
          <w:lang w:val="en-US" w:eastAsia="zh-CN" w:bidi="ar-SA"/>
        </w:rPr>
        <w:t>18</w:t>
      </w:r>
      <w:r>
        <w:rPr>
          <w:rFonts w:hint="eastAsia" w:ascii="Times New Roman" w:hAnsi="Times New Roman" w:eastAsia="仿宋_GB2312" w:cs="Times New Roman"/>
          <w:kern w:val="2"/>
          <w:sz w:val="32"/>
          <w:szCs w:val="32"/>
          <w:lang w:val="en-US" w:eastAsia="zh-CN" w:bidi="ar-SA"/>
        </w:rPr>
        <w:t>套；抗洪抢险</w:t>
      </w:r>
      <w:r>
        <w:rPr>
          <w:rFonts w:hint="eastAsia" w:eastAsia="仿宋_GB2312" w:cs="Times New Roman"/>
          <w:kern w:val="2"/>
          <w:sz w:val="32"/>
          <w:szCs w:val="32"/>
          <w:lang w:val="en-US" w:eastAsia="zh-CN" w:bidi="ar-SA"/>
        </w:rPr>
        <w:t>46</w:t>
      </w:r>
      <w:r>
        <w:rPr>
          <w:rFonts w:hint="eastAsia" w:ascii="Times New Roman" w:hAnsi="Times New Roman" w:eastAsia="仿宋_GB2312" w:cs="Times New Roman"/>
          <w:kern w:val="2"/>
          <w:sz w:val="32"/>
          <w:szCs w:val="32"/>
          <w:lang w:val="en-US" w:eastAsia="zh-CN" w:bidi="ar-SA"/>
        </w:rPr>
        <w:t>套；水域救援</w:t>
      </w:r>
      <w:r>
        <w:rPr>
          <w:rFonts w:hint="eastAsia" w:eastAsia="仿宋_GB2312" w:cs="Times New Roman"/>
          <w:kern w:val="2"/>
          <w:sz w:val="32"/>
          <w:szCs w:val="32"/>
          <w:lang w:val="en-US" w:eastAsia="zh-CN" w:bidi="ar-SA"/>
        </w:rPr>
        <w:t>21</w:t>
      </w:r>
      <w:r>
        <w:rPr>
          <w:rFonts w:hint="eastAsia" w:ascii="Times New Roman" w:hAnsi="Times New Roman" w:eastAsia="仿宋_GB2312" w:cs="Times New Roman"/>
          <w:kern w:val="2"/>
          <w:sz w:val="32"/>
          <w:szCs w:val="32"/>
          <w:lang w:val="en-US" w:eastAsia="zh-CN" w:bidi="ar-SA"/>
        </w:rPr>
        <w:t>套；地震地质灾害救援</w:t>
      </w:r>
      <w:r>
        <w:rPr>
          <w:rFonts w:hint="eastAsia" w:eastAsia="仿宋_GB2312" w:cs="Times New Roman"/>
          <w:kern w:val="2"/>
          <w:sz w:val="32"/>
          <w:szCs w:val="32"/>
          <w:lang w:val="en-US" w:eastAsia="zh-CN" w:bidi="ar-SA"/>
        </w:rPr>
        <w:t>6</w:t>
      </w:r>
      <w:r>
        <w:rPr>
          <w:rFonts w:hint="eastAsia" w:ascii="Times New Roman" w:hAnsi="Times New Roman" w:eastAsia="仿宋_GB2312" w:cs="Times New Roman"/>
          <w:kern w:val="2"/>
          <w:sz w:val="32"/>
          <w:szCs w:val="32"/>
          <w:lang w:val="en-US" w:eastAsia="zh-CN" w:bidi="ar-SA"/>
        </w:rPr>
        <w:t>套；综合保障</w:t>
      </w:r>
      <w:r>
        <w:rPr>
          <w:rFonts w:hint="eastAsia" w:eastAsia="仿宋_GB2312" w:cs="Times New Roman"/>
          <w:kern w:val="2"/>
          <w:sz w:val="32"/>
          <w:szCs w:val="32"/>
          <w:lang w:val="en-US" w:eastAsia="zh-CN" w:bidi="ar-SA"/>
        </w:rPr>
        <w:t>8</w:t>
      </w:r>
      <w:r>
        <w:rPr>
          <w:rFonts w:hint="eastAsia" w:ascii="Times New Roman" w:hAnsi="Times New Roman" w:eastAsia="仿宋_GB2312" w:cs="Times New Roman"/>
          <w:kern w:val="2"/>
          <w:sz w:val="32"/>
          <w:szCs w:val="32"/>
          <w:lang w:val="en-US" w:eastAsia="zh-CN" w:bidi="ar-SA"/>
        </w:rPr>
        <w:t>套，提升自然灾害应对处置能力。</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1.绩效评价完整性</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在评价指标体系的构建上，充分考虑了项目的性质、目标以及预期成果，选取了具有代表性和可衡量性的关键指标，涵盖了经济效益、社会效益、</w:t>
      </w:r>
      <w:r>
        <w:rPr>
          <w:rFonts w:hint="eastAsia" w:ascii="Times New Roman" w:hAnsi="Times New Roman" w:eastAsia="仿宋_GB2312" w:cs="Times New Roman"/>
          <w:b w:val="0"/>
          <w:bCs w:val="0"/>
          <w:kern w:val="2"/>
          <w:sz w:val="32"/>
          <w:szCs w:val="32"/>
          <w:lang w:val="en-US" w:eastAsia="zh-CN" w:bidi="ar-SA"/>
        </w:rPr>
        <w:t>生态</w:t>
      </w:r>
      <w:r>
        <w:rPr>
          <w:rFonts w:hint="default" w:ascii="Times New Roman" w:hAnsi="Times New Roman" w:eastAsia="仿宋_GB2312" w:cs="Times New Roman"/>
          <w:b w:val="0"/>
          <w:bCs w:val="0"/>
          <w:kern w:val="2"/>
          <w:sz w:val="32"/>
          <w:szCs w:val="32"/>
          <w:lang w:val="en-US" w:eastAsia="zh-CN" w:bidi="ar-SA"/>
        </w:rPr>
        <w:t>效益（根据项目实际情况选填）等多个维度，力求全方位反映项目的绩效状况。同时，对于每个指标的评价标准和数据来源均进行了明确说明，确保评价结果的客观性和可追溯性。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（1）评估项目实施效果</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通过对项目预算执行情况及各项绩效目标达成程度的系统性分析，全面、客观地评估项目在预定周期内的实施效果，包括</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数量指标、质量指标、时效指标、经济成本指标和社会效益</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多维度指标，为项目后续的改进与优化提供科学依据。</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（2）提升资源利用效率</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（3）强化项目管理责任</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（4）为决策提供支持</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（5）促进项目持续改进</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numPr>
          <w:ilvl w:val="0"/>
          <w:numId w:val="0"/>
        </w:numPr>
        <w:spacing w:line="560" w:lineRule="exact"/>
        <w:ind w:firstLine="640" w:firstLineChars="200"/>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本项目预算绩效评价报告的评价对象是自然灾害应急能力提升工程基层防灾项目及其预算执行情况。该项目由项目责任单位负责实施，旨在</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完成了2024年支付伊犁哈萨克自治州应急管理局配套资金89.80万元，森林（草原）火灾扑救36套；抗洪抢险91套；水域救援42套；地震地质灾害救援11套；综合保障16套，提升自然灾害应对处置能力。</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项目预算涵盖从</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2024年5月10日</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至</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2024年12月25日</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的全部资金投入与支出，涉及资金总额为</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89.80</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万元。</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本项目预算绩效评价报告的评价范围广泛而全面，涵盖了从项目立项至评价时点期间的所有关键预算活动和财务流程。具体而言，评价范围包括但不限于以下几个方面：</w:t>
      </w:r>
    </w:p>
    <w:p>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项目预算编制与执行：全面审视项目预算的编制依据、合理性、科学性以及实际执行情况，包括预算调整的原因和效果。</w:t>
      </w:r>
    </w:p>
    <w:p>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资金管理：深入分析项目资金的分配、使用和监管情况，确保资金使用的合规性、高效性和透明度。</w:t>
      </w:r>
    </w:p>
    <w:p>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项目实施进度与产出：评估项目是否按照既定计划顺利推进，各项任务是否按时完成，以及项目产出的数量、质量和时效性是否符合预期。</w:t>
      </w:r>
    </w:p>
    <w:p>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社会</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生态</w:t>
      </w:r>
      <w:r>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t>等</w:t>
      </w:r>
      <w:r>
        <w:rPr>
          <w:rFonts w:hint="default" w:ascii="Times New Roman" w:hAnsi="Times New Roman" w:eastAsia="仿宋_GB2312" w:cs="Times New Roman"/>
          <w:b w:val="0"/>
          <w:bCs w:val="0"/>
          <w:color w:val="000000" w:themeColor="text1"/>
          <w:highlight w:val="none"/>
          <w14:textFill>
            <w14:solidFill>
              <w14:schemeClr w14:val="tx1"/>
            </w14:solidFill>
          </w14:textFill>
        </w:rPr>
        <w:t>影响：考察项目对社会等方面的综合影响。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（1）确定评价指标</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（2）确定权重</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（3）确定指标标准值</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绩效评价总分值100分，根据综合评分结果，90（含）-100分为优、80（含）-90分为良、60（含）-80分为中、60分以下为差。</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具体评价指标体系详情见附件1</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3.绩效评价方法</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一</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）因素分析法。是指综合分析影响绩效目标实现、实施效果的内外部因素的方法。</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主要是可以深入分析经济现象或结果背后的原因，明确哪些因素对特定变量产生影响，以及影响的方向和程度，帮助研究或决策者理解事物发展变化的内在机制。</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1"/>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自然灾害应急能力提升工程基层防灾项目在自然灾害应对处置能力、综合保障套数等方面表现出色，达到了预期的标准与要求。同时，项目也在</w:t>
      </w:r>
      <w:r>
        <w:rPr>
          <w:rFonts w:hint="eastAsia" w:ascii="Times New Roman" w:hAnsi="Times New Roman" w:eastAsia="仿宋_GB2312" w:cs="Times New Roman"/>
          <w:b w:val="0"/>
          <w:bCs w:val="0"/>
          <w:kern w:val="28"/>
          <w:sz w:val="32"/>
          <w:szCs w:val="32"/>
          <w:lang w:val="en-US" w:eastAsia="zh-CN" w:bidi="ar-SA"/>
        </w:rPr>
        <w:t>购买装备</w:t>
      </w:r>
      <w:r>
        <w:rPr>
          <w:rFonts w:hint="default" w:ascii="Times New Roman" w:hAnsi="Times New Roman" w:eastAsia="仿宋_GB2312" w:cs="Times New Roman"/>
          <w:b w:val="0"/>
          <w:bCs w:val="0"/>
          <w:kern w:val="28"/>
          <w:sz w:val="32"/>
          <w:szCs w:val="32"/>
          <w:lang w:val="en-US" w:eastAsia="zh-CN" w:bidi="ar-SA"/>
        </w:rPr>
        <w:t>取得了显著的成效，如自然灾害应对处置能力</w:t>
      </w:r>
      <w:r>
        <w:rPr>
          <w:rFonts w:hint="eastAsia" w:ascii="Times New Roman" w:hAnsi="Times New Roman" w:eastAsia="仿宋_GB2312" w:cs="Times New Roman"/>
          <w:b w:val="0"/>
          <w:bCs w:val="0"/>
          <w:kern w:val="28"/>
          <w:sz w:val="32"/>
          <w:szCs w:val="32"/>
          <w:lang w:val="en-US" w:eastAsia="zh-CN" w:bidi="ar-SA"/>
        </w:rPr>
        <w:t>有效提高</w:t>
      </w:r>
      <w:r>
        <w:rPr>
          <w:rFonts w:hint="default" w:ascii="Times New Roman" w:hAnsi="Times New Roman" w:eastAsia="仿宋_GB2312" w:cs="Times New Roman"/>
          <w:b w:val="0"/>
          <w:bCs w:val="0"/>
          <w:kern w:val="28"/>
          <w:sz w:val="32"/>
          <w:szCs w:val="32"/>
          <w:lang w:val="en-US" w:eastAsia="zh-CN" w:bidi="ar-SA"/>
        </w:rPr>
        <w:t>、综合保障套数</w:t>
      </w:r>
      <w:r>
        <w:rPr>
          <w:rFonts w:hint="eastAsia" w:ascii="Times New Roman" w:hAnsi="Times New Roman" w:eastAsia="仿宋_GB2312" w:cs="Times New Roman"/>
          <w:b w:val="0"/>
          <w:bCs w:val="0"/>
          <w:kern w:val="28"/>
          <w:sz w:val="32"/>
          <w:szCs w:val="32"/>
          <w:lang w:val="en-US" w:eastAsia="zh-CN" w:bidi="ar-SA"/>
        </w:rPr>
        <w:t>到位</w:t>
      </w:r>
      <w:r>
        <w:rPr>
          <w:rFonts w:hint="default" w:ascii="Times New Roman" w:hAnsi="Times New Roman" w:eastAsia="仿宋_GB2312" w:cs="Times New Roman"/>
          <w:b w:val="0"/>
          <w:bCs w:val="0"/>
          <w:kern w:val="28"/>
          <w:sz w:val="32"/>
          <w:szCs w:val="32"/>
          <w:lang w:val="en-US" w:eastAsia="zh-CN" w:bidi="ar-SA"/>
        </w:rPr>
        <w:t>。</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特克斯县应急管理局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default" w:ascii="Times New Roman" w:hAnsi="Times New Roman" w:eastAsia="仿宋_GB2312" w:cs="Times New Roman"/>
          <w:sz w:val="32"/>
          <w:szCs w:val="32"/>
          <w:highlight w:val="none"/>
          <w:lang w:val="en-US" w:eastAsia="zh-CN"/>
        </w:rPr>
        <w:t>自然灾害应急能力提升工程</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综合保障套数</w:t>
      </w:r>
      <w:r>
        <w:rPr>
          <w:rFonts w:hint="default" w:ascii="Times New Roman" w:hAnsi="Times New Roman" w:eastAsia="仿宋_GB2312" w:cs="Times New Roman"/>
          <w:sz w:val="32"/>
          <w:szCs w:val="32"/>
          <w:highlight w:val="none"/>
        </w:rPr>
        <w:t>等方面的提升，为项目的利益相关者带来了实实在在的利益。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综上所述，自然灾害应急能力提升工程基层防灾项目在绩效评价中表现出色，达到了项目的预期目标，并在多个方面取得了显著的成效。</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（一）项目决策情况</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lang w:val="en-US" w:eastAsia="zh-CN"/>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1"/>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个三级指标构成，权重分为40分，实际得分</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指标1：森林（草原）火灾扑救套数，指标值：&gt;=36套，实际完成值：</w:t>
      </w:r>
      <w:r>
        <w:rPr>
          <w:rFonts w:hint="eastAsia" w:eastAsia="仿宋_GB2312" w:cs="Times New Roman"/>
          <w:sz w:val="32"/>
          <w:szCs w:val="32"/>
          <w:highlight w:val="none"/>
          <w:lang w:val="en-US" w:eastAsia="zh-CN"/>
        </w:rPr>
        <w:t>36套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：火灾扑套数，指标值：&gt;=36套，实际完成值：</w:t>
      </w:r>
      <w:r>
        <w:rPr>
          <w:rFonts w:hint="eastAsia" w:eastAsia="仿宋_GB2312" w:cs="Times New Roman"/>
          <w:sz w:val="32"/>
          <w:szCs w:val="32"/>
          <w:highlight w:val="none"/>
          <w:lang w:val="en-US" w:eastAsia="zh-CN"/>
        </w:rPr>
        <w:t>36套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：水域救援套数，指标值：&gt;=</w:t>
      </w:r>
      <w:r>
        <w:rPr>
          <w:rFonts w:hint="eastAsia" w:eastAsia="仿宋_GB2312" w:cs="Times New Roman"/>
          <w:sz w:val="32"/>
          <w:szCs w:val="32"/>
          <w:highlight w:val="none"/>
          <w:lang w:val="en-US" w:eastAsia="zh-CN"/>
        </w:rPr>
        <w:t>42</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42套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：地震地质灾害救援套数，指标值：&gt;=</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11套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：综合保障套数，指标值：&gt;=</w:t>
      </w:r>
      <w:r>
        <w:rPr>
          <w:rFonts w:hint="eastAsia" w:eastAsia="仿宋_GB2312" w:cs="Times New Roman"/>
          <w:sz w:val="32"/>
          <w:szCs w:val="32"/>
          <w:highlight w:val="none"/>
          <w:lang w:val="en-US" w:eastAsia="zh-CN"/>
        </w:rPr>
        <w:t>16</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16套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cs="Times New Roman"/>
          <w:sz w:val="32"/>
          <w:szCs w:val="32"/>
          <w:highlight w:val="none"/>
          <w:lang w:eastAsia="zh-CN"/>
        </w:rPr>
      </w:pPr>
      <w:r>
        <w:rPr>
          <w:rFonts w:hint="eastAsia"/>
          <w:lang w:val="en-US" w:eastAsia="zh-CN"/>
        </w:rPr>
        <w:t xml:space="preserve">      </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：抗洪抢险套数，指标值：&gt;=</w:t>
      </w:r>
      <w:r>
        <w:rPr>
          <w:rFonts w:hint="eastAsia" w:eastAsia="仿宋_GB2312" w:cs="Times New Roman"/>
          <w:sz w:val="32"/>
          <w:szCs w:val="32"/>
          <w:highlight w:val="none"/>
          <w:lang w:val="en-US" w:eastAsia="zh-CN"/>
        </w:rPr>
        <w:t>91</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91套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：验收合格率，指标值：=100%，实际完成值：</w:t>
      </w:r>
      <w:r>
        <w:rPr>
          <w:rFonts w:hint="eastAsia" w:eastAsia="仿宋_GB2312" w:cs="Times New Roman"/>
          <w:sz w:val="32"/>
          <w:szCs w:val="32"/>
          <w:highlight w:val="none"/>
          <w:lang w:val="en-US" w:eastAsia="zh-CN"/>
        </w:rPr>
        <w:t>100套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指标1：采购物资应急装备完成时间，指标值：2024年9月30日，实际完成值：2024年9月30日，指标完成率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pStyle w:val="13"/>
        <w:numPr>
          <w:ilvl w:val="0"/>
          <w:numId w:val="0"/>
        </w:num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指标1：县级资金承担比列，指标值：&lt;=19.97%，实际完成值：19.97%，指标完成率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3"/>
        <w:numPr>
          <w:ilvl w:val="0"/>
          <w:numId w:val="5"/>
        </w:numPr>
        <w:spacing w:line="560" w:lineRule="exact"/>
        <w:ind w:firstLine="643"/>
        <w:rPr>
          <w:rFonts w:hint="default" w:eastAsia="仿宋_GB2312" w:cs="Times New Roman"/>
          <w:sz w:val="32"/>
          <w:szCs w:val="32"/>
          <w:highlight w:val="none"/>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个三级指标构成，权重分为20分，实际得分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pPr>
        <w:numPr>
          <w:ilvl w:val="0"/>
          <w:numId w:val="0"/>
        </w:numPr>
        <w:shd w:val="clear"/>
        <w:spacing w:line="240" w:lineRule="auto"/>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指标1：自然灾害应对处置能力，指标值：有效提高，实际完成值：有效提高，指标完成率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0"/>
        <w:spacing w:line="560" w:lineRule="exact"/>
        <w:ind w:firstLine="64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自然灾害应急能力提升工程基层防灾项目项目年初预算</w:t>
      </w:r>
      <w:r>
        <w:rPr>
          <w:rFonts w:hint="eastAsia" w:ascii="Times New Roman" w:hAnsi="Times New Roman" w:eastAsia="仿宋_GB2312" w:cs="Times New Roman"/>
          <w:kern w:val="2"/>
          <w:sz w:val="32"/>
          <w:szCs w:val="32"/>
          <w:lang w:val="en-US" w:eastAsia="zh-CN" w:bidi="ar-SA"/>
        </w:rPr>
        <w:t>89.80</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89.80</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89.80</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bookmarkStart w:id="4" w:name="_GoBack"/>
      <w:bookmarkEnd w:id="4"/>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pPr>
        <w:pStyle w:val="14"/>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2" w:name="_Toc30064_WPSOffice_Level1"/>
      <w:bookmarkStart w:id="3" w:name="_Toc26499_WPSOffice_Level2"/>
      <w:r>
        <w:rPr>
          <w:rFonts w:hint="eastAsia" w:ascii="仿宋_GB2312" w:hAnsi="仿宋_GB2312" w:eastAsia="仿宋_GB2312" w:cs="仿宋_GB2312"/>
          <w:b/>
          <w:bCs/>
          <w:sz w:val="28"/>
          <w:szCs w:val="40"/>
          <w:lang w:val="en-US" w:eastAsia="zh-CN"/>
        </w:rPr>
        <w:t>自然灾害应急能力提升工程基层防灾</w:t>
      </w:r>
      <w:r>
        <w:rPr>
          <w:rFonts w:hint="eastAsia" w:ascii="仿宋_GB2312" w:hAnsi="仿宋_GB2312" w:eastAsia="仿宋_GB2312" w:cs="仿宋_GB2312"/>
          <w:b/>
          <w:bCs/>
          <w:sz w:val="28"/>
          <w:szCs w:val="40"/>
        </w:rPr>
        <w:t>项目绩效评价指标体系及综合评分表</w:t>
      </w:r>
      <w:bookmarkEnd w:id="2"/>
      <w:bookmarkEnd w:id="3"/>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ind w:firstLine="542" w:firstLineChars="300"/>
              <w:jc w:val="both"/>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tbl>
      <w:tblPr>
        <w:tblStyle w:val="15"/>
        <w:tblW w:w="145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5"/>
        <w:gridCol w:w="960"/>
        <w:gridCol w:w="1080"/>
        <w:gridCol w:w="1545"/>
        <w:gridCol w:w="1080"/>
        <w:gridCol w:w="1080"/>
        <w:gridCol w:w="870"/>
        <w:gridCol w:w="915"/>
        <w:gridCol w:w="1080"/>
        <w:gridCol w:w="1080"/>
        <w:gridCol w:w="1080"/>
        <w:gridCol w:w="885"/>
        <w:gridCol w:w="88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4595" w:type="dxa"/>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附件2项目支出绩效自评表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w:t>
            </w:r>
            <w:r>
              <w:rPr>
                <w:rStyle w:val="25"/>
                <w:rFonts w:eastAsia="仿宋_GB2312"/>
                <w:lang w:val="en-US" w:eastAsia="zh-CN" w:bidi="ar"/>
              </w:rPr>
              <w:t xml:space="preserve"> 2024</w:t>
            </w:r>
            <w:r>
              <w:rPr>
                <w:rStyle w:val="26"/>
                <w:rFonts w:hAnsi="宋体"/>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项目名称</w:t>
            </w:r>
          </w:p>
        </w:tc>
        <w:tc>
          <w:tcPr>
            <w:tcW w:w="12660" w:type="dxa"/>
            <w:gridSpan w:val="1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自然灾害应急能力提升工程基层防灾项目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主管部门</w:t>
            </w:r>
          </w:p>
        </w:tc>
        <w:tc>
          <w:tcPr>
            <w:tcW w:w="5655" w:type="dxa"/>
            <w:gridSpan w:val="5"/>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995"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实施单位</w:t>
            </w:r>
          </w:p>
        </w:tc>
        <w:tc>
          <w:tcPr>
            <w:tcW w:w="5010" w:type="dxa"/>
            <w:gridSpan w:val="5"/>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项目资金</w:t>
            </w:r>
            <w:r>
              <w:rPr>
                <w:rFonts w:hint="eastAsia" w:ascii="仿宋_GB2312" w:hAnsi="宋体" w:eastAsia="仿宋_GB2312" w:cs="仿宋_GB2312"/>
                <w:i w:val="0"/>
                <w:iCs w:val="0"/>
                <w:color w:val="000000"/>
                <w:kern w:val="0"/>
                <w:sz w:val="18"/>
                <w:szCs w:val="18"/>
                <w:u w:val="none"/>
                <w:lang w:val="en-US" w:eastAsia="zh-CN" w:bidi="ar"/>
              </w:rPr>
              <w:br w:type="textWrapping"/>
            </w:r>
            <w:r>
              <w:rPr>
                <w:rFonts w:hint="eastAsia" w:ascii="仿宋_GB2312" w:hAnsi="宋体" w:eastAsia="仿宋_GB2312" w:cs="仿宋_GB2312"/>
                <w:i w:val="0"/>
                <w:iCs w:val="0"/>
                <w:color w:val="000000"/>
                <w:kern w:val="0"/>
                <w:sz w:val="18"/>
                <w:szCs w:val="18"/>
                <w:u w:val="none"/>
                <w:lang w:val="en-US" w:eastAsia="zh-CN" w:bidi="ar"/>
              </w:rPr>
              <w:t>（万元）</w:t>
            </w:r>
          </w:p>
        </w:tc>
        <w:tc>
          <w:tcPr>
            <w:tcW w:w="262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资金来源</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年初预算数</w:t>
            </w:r>
          </w:p>
        </w:tc>
        <w:tc>
          <w:tcPr>
            <w:tcW w:w="195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全年预算数</w:t>
            </w:r>
          </w:p>
        </w:tc>
        <w:tc>
          <w:tcPr>
            <w:tcW w:w="1995"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全年执行数</w:t>
            </w:r>
          </w:p>
        </w:tc>
        <w:tc>
          <w:tcPr>
            <w:tcW w:w="2160"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分值权重</w:t>
            </w:r>
          </w:p>
        </w:tc>
        <w:tc>
          <w:tcPr>
            <w:tcW w:w="1770"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执行率</w:t>
            </w:r>
          </w:p>
        </w:tc>
        <w:tc>
          <w:tcPr>
            <w:tcW w:w="108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62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年度资金总额</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89.80 </w:t>
            </w:r>
          </w:p>
        </w:tc>
        <w:tc>
          <w:tcPr>
            <w:tcW w:w="195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89.80 </w:t>
            </w:r>
          </w:p>
        </w:tc>
        <w:tc>
          <w:tcPr>
            <w:tcW w:w="199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89.80 </w:t>
            </w:r>
          </w:p>
        </w:tc>
        <w:tc>
          <w:tcPr>
            <w:tcW w:w="216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c>
          <w:tcPr>
            <w:tcW w:w="177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62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其中：当年财政拨款</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89.80 </w:t>
            </w:r>
          </w:p>
        </w:tc>
        <w:tc>
          <w:tcPr>
            <w:tcW w:w="195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89.80 </w:t>
            </w:r>
          </w:p>
        </w:tc>
        <w:tc>
          <w:tcPr>
            <w:tcW w:w="1995"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160"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770"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625" w:type="dxa"/>
            <w:gridSpan w:val="2"/>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其他资金</w:t>
            </w:r>
          </w:p>
        </w:tc>
        <w:tc>
          <w:tcPr>
            <w:tcW w:w="1080"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w:t>
            </w:r>
          </w:p>
        </w:tc>
        <w:tc>
          <w:tcPr>
            <w:tcW w:w="1950" w:type="dxa"/>
            <w:gridSpan w:val="2"/>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w:t>
            </w:r>
          </w:p>
        </w:tc>
        <w:tc>
          <w:tcPr>
            <w:tcW w:w="1995" w:type="dxa"/>
            <w:gridSpan w:val="2"/>
            <w:tcBorders>
              <w:top w:val="nil"/>
              <w:left w:val="nil"/>
              <w:bottom w:val="nil"/>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160"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770"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975"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年度总体目标</w:t>
            </w:r>
          </w:p>
        </w:tc>
        <w:tc>
          <w:tcPr>
            <w:tcW w:w="8610" w:type="dxa"/>
            <w:gridSpan w:val="8"/>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总体目标</w:t>
            </w:r>
          </w:p>
        </w:tc>
        <w:tc>
          <w:tcPr>
            <w:tcW w:w="5010" w:type="dxa"/>
            <w:gridSpan w:val="5"/>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9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610" w:type="dxa"/>
            <w:gridSpan w:val="8"/>
            <w:tcBorders>
              <w:top w:val="nil"/>
              <w:left w:val="nil"/>
              <w:bottom w:val="nil"/>
              <w:right w:val="single" w:color="000000" w:sz="8" w:space="0"/>
            </w:tcBorders>
            <w:shd w:val="clear" w:color="auto" w:fill="auto"/>
            <w:vAlign w:val="top"/>
          </w:tcPr>
          <w:p>
            <w:pPr>
              <w:keepNext w:val="0"/>
              <w:keepLines w:val="0"/>
              <w:widowControl/>
              <w:suppressLineNumbers w:val="0"/>
              <w:jc w:val="left"/>
              <w:textAlignment w:val="top"/>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通过2024年全国应急管理工作会议部署，自然灾害应急能力提升工程基层防灾项目为本县应急救援配备专业队伍，配备综合保障物资装备：森林（草原）火灾扑救36套；抗洪抢险91套；水域救援42套；地震地质灾害救援11套；综合保障16套，提升自然灾害应对处置能力。</w:t>
            </w:r>
          </w:p>
        </w:tc>
        <w:tc>
          <w:tcPr>
            <w:tcW w:w="5010" w:type="dxa"/>
            <w:gridSpan w:val="5"/>
            <w:tcBorders>
              <w:top w:val="nil"/>
              <w:left w:val="nil"/>
              <w:bottom w:val="nil"/>
              <w:right w:val="single" w:color="000000" w:sz="8" w:space="0"/>
            </w:tcBorders>
            <w:shd w:val="clear" w:color="auto" w:fill="auto"/>
            <w:vAlign w:val="top"/>
          </w:tcPr>
          <w:p>
            <w:pPr>
              <w:keepNext w:val="0"/>
              <w:keepLines w:val="0"/>
              <w:widowControl/>
              <w:suppressLineNumbers w:val="0"/>
              <w:jc w:val="left"/>
              <w:textAlignment w:val="top"/>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完成了2024年支付伊犁哈萨克自治州应急管理局配套资金89.80万元，森林（草原）火灾扑救36套；抗洪抢险91套；水域救援42套；地震地质灾害救援11套；综合保障16套，提升自然灾害应对处置能力。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绩效指标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二级指标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指标值设置依据</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上年完成值</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指标分值权重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指标赋分规则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佐证资料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指标实际完成值</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完成率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森林（草原）火灾扑救套数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&gt;=36套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火灾扑套数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&gt;=36套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水域救援套数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&gt;=42套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地震地质灾害救援套数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&gt;=11套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&gt;=11套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综合保障套数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&gt;=16套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抗洪抢险套数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&gt;=91套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&gt;=91套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验收合格率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采购物资应急装备完成时间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2024年9月30日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2024年9月30日</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县级资金承担比列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&lt;=19.97%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&lt;=19.97%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自然灾害应对处置能力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按评判等级赋分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4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总分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b/>
                <w:bCs/>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329F8E0F"/>
    <w:multiLevelType w:val="singleLevel"/>
    <w:tmpl w:val="329F8E0F"/>
    <w:lvl w:ilvl="0" w:tentative="0">
      <w:start w:val="2"/>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YjkzMmY1NTQ0MWUyMjFkNTMwNjc0Y2Q1ZTI4NzQifQ=="/>
  </w:docVars>
  <w:rsids>
    <w:rsidRoot w:val="FF6C4049"/>
    <w:rsid w:val="00501EE6"/>
    <w:rsid w:val="006F7242"/>
    <w:rsid w:val="007B168A"/>
    <w:rsid w:val="008B2CFE"/>
    <w:rsid w:val="00F26FF6"/>
    <w:rsid w:val="01610122"/>
    <w:rsid w:val="02510197"/>
    <w:rsid w:val="03EC461B"/>
    <w:rsid w:val="042969E4"/>
    <w:rsid w:val="04380F52"/>
    <w:rsid w:val="058F1551"/>
    <w:rsid w:val="07397B77"/>
    <w:rsid w:val="0ABB6AF5"/>
    <w:rsid w:val="0AD007F3"/>
    <w:rsid w:val="0B8D2240"/>
    <w:rsid w:val="0C1E60B7"/>
    <w:rsid w:val="0D712EFF"/>
    <w:rsid w:val="0DA97128"/>
    <w:rsid w:val="0E3C619F"/>
    <w:rsid w:val="0EA946B4"/>
    <w:rsid w:val="0ED12683"/>
    <w:rsid w:val="100F38EC"/>
    <w:rsid w:val="11170296"/>
    <w:rsid w:val="11AC53EA"/>
    <w:rsid w:val="11EB5F12"/>
    <w:rsid w:val="1202325C"/>
    <w:rsid w:val="12C66037"/>
    <w:rsid w:val="12CD1ABC"/>
    <w:rsid w:val="13471461"/>
    <w:rsid w:val="13B90F01"/>
    <w:rsid w:val="144573F9"/>
    <w:rsid w:val="155E4C4D"/>
    <w:rsid w:val="16762871"/>
    <w:rsid w:val="1780534F"/>
    <w:rsid w:val="17B31280"/>
    <w:rsid w:val="17DA4A5F"/>
    <w:rsid w:val="181066D2"/>
    <w:rsid w:val="1890511D"/>
    <w:rsid w:val="19036239"/>
    <w:rsid w:val="1B754A9E"/>
    <w:rsid w:val="1C671E73"/>
    <w:rsid w:val="1D322C47"/>
    <w:rsid w:val="1D6B6159"/>
    <w:rsid w:val="1D7F02DF"/>
    <w:rsid w:val="1DF644C2"/>
    <w:rsid w:val="1ECC4093"/>
    <w:rsid w:val="1F662349"/>
    <w:rsid w:val="20E56222"/>
    <w:rsid w:val="23616034"/>
    <w:rsid w:val="23696C97"/>
    <w:rsid w:val="23C13E08"/>
    <w:rsid w:val="23D9206E"/>
    <w:rsid w:val="24480FA2"/>
    <w:rsid w:val="25227A45"/>
    <w:rsid w:val="25496E57"/>
    <w:rsid w:val="258204E4"/>
    <w:rsid w:val="25E043CA"/>
    <w:rsid w:val="264D464E"/>
    <w:rsid w:val="26AC3A6A"/>
    <w:rsid w:val="2896327B"/>
    <w:rsid w:val="2A6D2476"/>
    <w:rsid w:val="2AD76BDC"/>
    <w:rsid w:val="2B9D7E25"/>
    <w:rsid w:val="2BBB4CC7"/>
    <w:rsid w:val="2C7C7A3B"/>
    <w:rsid w:val="2D617CE9"/>
    <w:rsid w:val="2EFC1C57"/>
    <w:rsid w:val="2F1845F3"/>
    <w:rsid w:val="2F364819"/>
    <w:rsid w:val="2FD63906"/>
    <w:rsid w:val="301E34D9"/>
    <w:rsid w:val="308C66BA"/>
    <w:rsid w:val="31F12C79"/>
    <w:rsid w:val="325A78AC"/>
    <w:rsid w:val="329A4CFF"/>
    <w:rsid w:val="34277536"/>
    <w:rsid w:val="344C288A"/>
    <w:rsid w:val="35DD16D9"/>
    <w:rsid w:val="36C941C4"/>
    <w:rsid w:val="37215DAE"/>
    <w:rsid w:val="373B4954"/>
    <w:rsid w:val="38CA40DD"/>
    <w:rsid w:val="395F2B56"/>
    <w:rsid w:val="3B0540DA"/>
    <w:rsid w:val="3B37645F"/>
    <w:rsid w:val="3B672905"/>
    <w:rsid w:val="3BBA0580"/>
    <w:rsid w:val="3BECE841"/>
    <w:rsid w:val="3CDE204C"/>
    <w:rsid w:val="3CE13E3B"/>
    <w:rsid w:val="3D0A1093"/>
    <w:rsid w:val="3D363C36"/>
    <w:rsid w:val="3DEF0992"/>
    <w:rsid w:val="3E561688"/>
    <w:rsid w:val="3E9C3F6D"/>
    <w:rsid w:val="3EEC5154"/>
    <w:rsid w:val="3F017A57"/>
    <w:rsid w:val="3F125FDD"/>
    <w:rsid w:val="3F4316B2"/>
    <w:rsid w:val="3FF7797D"/>
    <w:rsid w:val="3FFF40D7"/>
    <w:rsid w:val="41E77BCB"/>
    <w:rsid w:val="429346C1"/>
    <w:rsid w:val="447A6AFE"/>
    <w:rsid w:val="44823C05"/>
    <w:rsid w:val="46690BD8"/>
    <w:rsid w:val="471D19C3"/>
    <w:rsid w:val="48290E0C"/>
    <w:rsid w:val="48826B4D"/>
    <w:rsid w:val="49F70BF1"/>
    <w:rsid w:val="4AB80380"/>
    <w:rsid w:val="4B4340EE"/>
    <w:rsid w:val="4E7B7794"/>
    <w:rsid w:val="503D507A"/>
    <w:rsid w:val="513B5A9E"/>
    <w:rsid w:val="514E0F17"/>
    <w:rsid w:val="51FA74D0"/>
    <w:rsid w:val="52AA4A52"/>
    <w:rsid w:val="52CC6FE0"/>
    <w:rsid w:val="53EE28BC"/>
    <w:rsid w:val="54BC38DA"/>
    <w:rsid w:val="54E8067B"/>
    <w:rsid w:val="555D5E18"/>
    <w:rsid w:val="56EF33A1"/>
    <w:rsid w:val="5794513B"/>
    <w:rsid w:val="58555460"/>
    <w:rsid w:val="58D327E6"/>
    <w:rsid w:val="58DF11CE"/>
    <w:rsid w:val="5976568E"/>
    <w:rsid w:val="59943D66"/>
    <w:rsid w:val="59E051FD"/>
    <w:rsid w:val="59E6355E"/>
    <w:rsid w:val="59EF3692"/>
    <w:rsid w:val="5A2A16C4"/>
    <w:rsid w:val="5B821531"/>
    <w:rsid w:val="5BFF6039"/>
    <w:rsid w:val="5D76A616"/>
    <w:rsid w:val="5D7F20B9"/>
    <w:rsid w:val="5D7F6ADB"/>
    <w:rsid w:val="5DAC7D0E"/>
    <w:rsid w:val="5E2F629B"/>
    <w:rsid w:val="5F98B5AF"/>
    <w:rsid w:val="5FFE8511"/>
    <w:rsid w:val="5FFEACE2"/>
    <w:rsid w:val="609D5BF6"/>
    <w:rsid w:val="60CC64DC"/>
    <w:rsid w:val="61073070"/>
    <w:rsid w:val="6143402F"/>
    <w:rsid w:val="61B9080E"/>
    <w:rsid w:val="61DF3FED"/>
    <w:rsid w:val="626369CC"/>
    <w:rsid w:val="62EB1C4F"/>
    <w:rsid w:val="62FD3437"/>
    <w:rsid w:val="642B176B"/>
    <w:rsid w:val="643EE26D"/>
    <w:rsid w:val="64714079"/>
    <w:rsid w:val="647924D6"/>
    <w:rsid w:val="64EC0EFA"/>
    <w:rsid w:val="656019A0"/>
    <w:rsid w:val="65F242EE"/>
    <w:rsid w:val="666D7E19"/>
    <w:rsid w:val="66C739CD"/>
    <w:rsid w:val="66D24B00"/>
    <w:rsid w:val="674E1526"/>
    <w:rsid w:val="67564D51"/>
    <w:rsid w:val="68376930"/>
    <w:rsid w:val="68930513"/>
    <w:rsid w:val="68F91E38"/>
    <w:rsid w:val="69267B32"/>
    <w:rsid w:val="699A4DD3"/>
    <w:rsid w:val="6B3158B9"/>
    <w:rsid w:val="6B901209"/>
    <w:rsid w:val="6BA02A3F"/>
    <w:rsid w:val="6C1E5A53"/>
    <w:rsid w:val="6D5B64B3"/>
    <w:rsid w:val="6EBE56B6"/>
    <w:rsid w:val="6F5C41AC"/>
    <w:rsid w:val="6FAF6C78"/>
    <w:rsid w:val="70774DD9"/>
    <w:rsid w:val="70BB4E3C"/>
    <w:rsid w:val="716167CC"/>
    <w:rsid w:val="718A7AD1"/>
    <w:rsid w:val="72A44BC2"/>
    <w:rsid w:val="72BB2F5C"/>
    <w:rsid w:val="72DD6326"/>
    <w:rsid w:val="7317C656"/>
    <w:rsid w:val="734ED73F"/>
    <w:rsid w:val="73C82B32"/>
    <w:rsid w:val="73F94DAE"/>
    <w:rsid w:val="74220495"/>
    <w:rsid w:val="74462CF0"/>
    <w:rsid w:val="747D1B6F"/>
    <w:rsid w:val="749E5641"/>
    <w:rsid w:val="74E92E7A"/>
    <w:rsid w:val="76271066"/>
    <w:rsid w:val="769036A0"/>
    <w:rsid w:val="769D2054"/>
    <w:rsid w:val="76B05560"/>
    <w:rsid w:val="771D13D6"/>
    <w:rsid w:val="77CE623E"/>
    <w:rsid w:val="77FD8BE9"/>
    <w:rsid w:val="78000AED"/>
    <w:rsid w:val="79A9BD3F"/>
    <w:rsid w:val="79B264E3"/>
    <w:rsid w:val="7A04063C"/>
    <w:rsid w:val="7A4C6309"/>
    <w:rsid w:val="7A552C46"/>
    <w:rsid w:val="7B0E7F5C"/>
    <w:rsid w:val="7B776F12"/>
    <w:rsid w:val="7BBB10FB"/>
    <w:rsid w:val="7BFFFDD0"/>
    <w:rsid w:val="7C336E5F"/>
    <w:rsid w:val="7C8D4919"/>
    <w:rsid w:val="7D200B23"/>
    <w:rsid w:val="7D7A5F86"/>
    <w:rsid w:val="7DE1316F"/>
    <w:rsid w:val="7DE20C95"/>
    <w:rsid w:val="7E192908"/>
    <w:rsid w:val="7E4B683A"/>
    <w:rsid w:val="7E5E656D"/>
    <w:rsid w:val="7E8F2BCB"/>
    <w:rsid w:val="7EDA2345"/>
    <w:rsid w:val="7F1016A1"/>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5">
    <w:name w:val="annotation text"/>
    <w:basedOn w:val="1"/>
    <w:link w:val="23"/>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 w:type="character" w:customStyle="1" w:styleId="25">
    <w:name w:val="font61"/>
    <w:basedOn w:val="16"/>
    <w:qFormat/>
    <w:uiPriority w:val="0"/>
    <w:rPr>
      <w:rFonts w:hint="default" w:ascii="Times New Roman" w:hAnsi="Times New Roman" w:cs="Times New Roman"/>
      <w:b/>
      <w:bCs/>
      <w:color w:val="000000"/>
      <w:sz w:val="22"/>
      <w:szCs w:val="22"/>
      <w:u w:val="none"/>
    </w:rPr>
  </w:style>
  <w:style w:type="character" w:customStyle="1" w:styleId="26">
    <w:name w:val="font31"/>
    <w:basedOn w:val="16"/>
    <w:qFormat/>
    <w:uiPriority w:val="0"/>
    <w:rPr>
      <w:rFonts w:hint="eastAsia"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12472</Words>
  <Characters>12954</Characters>
  <Lines>58</Lines>
  <Paragraphs>16</Paragraphs>
  <TotalTime>6</TotalTime>
  <ScaleCrop>false</ScaleCrop>
  <LinksUpToDate>false</LinksUpToDate>
  <CharactersWithSpaces>12980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2025-07-22T13:21:45Z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7A2E3CE8BD1641DF84F2F7048EECBE4A</vt:lpwstr>
  </property>
  <property fmtid="{D5CDD505-2E9C-101B-9397-08002B2CF9AE}" pid="4" name="KSOTemplateDocerSaveRecord">
    <vt:lpwstr>eyJoZGlkIjoiM2QyNTVlMjA1MzU0ZmE2ZGVjNjEzNjExZjg0MmQ1MzciLCJ1c2VySWQiOiIyMjk4MzUzNDIifQ==</vt:lpwstr>
  </property>
</Properties>
</file>