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2024年中央现代职业教育提升计划资金（第二批）评价报告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3"/>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left="2878" w:leftChars="304" w:hanging="2240" w:hangingChars="7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项目名称：2024年中央现代职业教育提升计划资金</w:t>
      </w:r>
    </w:p>
    <w:p>
      <w:pPr>
        <w:spacing w:line="700" w:lineRule="exact"/>
        <w:ind w:firstLine="2240" w:firstLineChars="700"/>
        <w:jc w:val="both"/>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（第二批）</w:t>
      </w:r>
    </w:p>
    <w:p>
      <w:pPr>
        <w:spacing w:line="700" w:lineRule="exact"/>
        <w:ind w:firstLine="640" w:firstLineChars="200"/>
        <w:jc w:val="both"/>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eastAsia="仿宋_GB2312"/>
          <w:kern w:val="0"/>
          <w:sz w:val="32"/>
          <w:szCs w:val="32"/>
          <w:lang w:val="en-US" w:eastAsia="zh-CN"/>
        </w:rPr>
        <w:t>特克斯县职业技术学校</w:t>
      </w:r>
    </w:p>
    <w:p>
      <w:pPr>
        <w:spacing w:line="700" w:lineRule="exact"/>
        <w:ind w:firstLine="640" w:firstLineChars="200"/>
        <w:jc w:val="both"/>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主管部门（公章）：</w:t>
      </w:r>
      <w:r>
        <w:rPr>
          <w:rFonts w:hint="eastAsia" w:eastAsia="仿宋_GB2312"/>
          <w:kern w:val="0"/>
          <w:sz w:val="32"/>
          <w:szCs w:val="32"/>
          <w:lang w:val="en-US" w:eastAsia="zh-CN"/>
        </w:rPr>
        <w:t>特克斯县职业技术学校</w:t>
      </w: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任大勇</w:t>
      </w: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19</w:t>
      </w:r>
      <w:r>
        <w:rPr>
          <w:rFonts w:hint="default" w:ascii="Times New Roman" w:hAnsi="Times New Roman" w:eastAsia="仿宋_GB2312" w:cs="Times New Roman"/>
          <w:kern w:val="0"/>
          <w:sz w:val="32"/>
          <w:szCs w:val="32"/>
        </w:rPr>
        <w:t>日</w:t>
      </w:r>
    </w:p>
    <w:p>
      <w:pPr>
        <w:spacing w:line="540" w:lineRule="exact"/>
        <w:rPr>
          <w:rStyle w:val="18"/>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3"/>
        <w:numPr>
          <w:ilvl w:val="0"/>
          <w:numId w:val="0"/>
        </w:numPr>
        <w:spacing w:before="0" w:after="0" w:line="560" w:lineRule="exact"/>
        <w:ind w:firstLine="600" w:firstLineChars="200"/>
        <w:jc w:val="both"/>
        <w:rPr>
          <w:rFonts w:hint="eastAsia" w:ascii="Times New Roman" w:hAnsi="Times New Roman" w:eastAsia="仿宋_GB2312" w:cs="Times New Roman"/>
          <w:b w:val="0"/>
          <w:bCs w:val="0"/>
          <w:kern w:val="2"/>
          <w:sz w:val="30"/>
          <w:szCs w:val="30"/>
          <w:highlight w:val="none"/>
          <w:lang w:val="en-US" w:eastAsia="zh-CN" w:bidi="ar-SA"/>
        </w:rPr>
      </w:pPr>
      <w:r>
        <w:rPr>
          <w:rFonts w:hint="eastAsia" w:ascii="Times New Roman" w:hAnsi="Times New Roman" w:eastAsia="仿宋_GB2312" w:cs="Times New Roman"/>
          <w:b w:val="0"/>
          <w:bCs w:val="0"/>
          <w:kern w:val="2"/>
          <w:sz w:val="30"/>
          <w:szCs w:val="30"/>
          <w:highlight w:val="none"/>
          <w:lang w:val="en-US" w:eastAsia="zh-CN" w:bidi="ar-SA"/>
        </w:rPr>
        <w:t>特克斯县职业技术学校作为新建院校，搬迁新校区后存在无图书馆场地、图书资源不足且未编目、缺乏借阅及电子设备等问题，严重制约师生知识拓展与学校教育发展。为贯彻落实国家及自治区职业教育发展政策，满足办学条件达标要求，同时顺应教育信息化趋势，学校规划在教学楼五楼500平方米区域建设现代智慧图书馆，旨在打造集资源借阅、信息服务、学习研讨于一体的综合性文化空间，为多层次教育、专业人才培养及校园文化建设提供有力支撑。</w:t>
      </w:r>
    </w:p>
    <w:p>
      <w:pPr>
        <w:pStyle w:val="13"/>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Style w:val="18"/>
          <w:rFonts w:hint="eastAsia" w:ascii="仿宋_GB2312" w:hAnsi="仿宋_GB2312" w:eastAsia="仿宋_GB2312" w:cs="仿宋_GB2312"/>
          <w:b w:val="0"/>
          <w:bCs/>
          <w:spacing w:val="-4"/>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项目主要内容：</w:t>
      </w:r>
      <w:r>
        <w:rPr>
          <w:rStyle w:val="18"/>
          <w:rFonts w:hint="eastAsia" w:ascii="仿宋_GB2312" w:hAnsi="仿宋_GB2312" w:eastAsia="仿宋_GB2312" w:cs="仿宋_GB2312"/>
          <w:b w:val="0"/>
          <w:bCs/>
          <w:spacing w:val="-4"/>
          <w:sz w:val="32"/>
          <w:szCs w:val="32"/>
          <w:highlight w:val="none"/>
          <w:lang w:val="en-US" w:eastAsia="zh-CN"/>
        </w:rPr>
        <w:t>项目涵盖基础建设、资源建设、智慧化设备配置及人员培训四大核心板块。基础建设上，科学划分图书馆功能区域，完成场地装修与基础设备配置；资源建设方面，补充纸质图书至满足生均30册标准，采购丰富电子资源并完成全部图书编目；智慧化建设引入智能借阅、、一卡通等系统，配备电子阅览终端与管理平台；同时开展馆员专业培训，提升服务能力。</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项目实施情况：</w:t>
      </w:r>
      <w:r>
        <w:rPr>
          <w:rStyle w:val="18"/>
          <w:rFonts w:hint="eastAsia" w:ascii="仿宋_GB2312" w:hAnsi="仿宋_GB2312" w:eastAsia="仿宋_GB2312" w:cs="仿宋_GB2312"/>
          <w:b w:val="0"/>
          <w:bCs/>
          <w:spacing w:val="-4"/>
          <w:sz w:val="32"/>
          <w:szCs w:val="32"/>
          <w:highlight w:val="none"/>
        </w:rPr>
        <w:t>该项目于202</w:t>
      </w:r>
      <w:r>
        <w:rPr>
          <w:rStyle w:val="18"/>
          <w:rFonts w:hint="eastAsia" w:ascii="仿宋_GB2312" w:hAnsi="仿宋_GB2312" w:eastAsia="仿宋_GB2312" w:cs="仿宋_GB2312"/>
          <w:b w:val="0"/>
          <w:bCs/>
          <w:spacing w:val="-4"/>
          <w:sz w:val="32"/>
          <w:szCs w:val="32"/>
          <w:highlight w:val="none"/>
          <w:lang w:val="en-US" w:eastAsia="zh-CN"/>
        </w:rPr>
        <w:t>4</w:t>
      </w:r>
      <w:r>
        <w:rPr>
          <w:rStyle w:val="18"/>
          <w:rFonts w:hint="eastAsia" w:ascii="仿宋_GB2312" w:hAnsi="仿宋_GB2312" w:eastAsia="仿宋_GB2312" w:cs="仿宋_GB2312"/>
          <w:b w:val="0"/>
          <w:bCs/>
          <w:spacing w:val="-4"/>
          <w:sz w:val="32"/>
          <w:szCs w:val="32"/>
          <w:highlight w:val="none"/>
        </w:rPr>
        <w:t>年执行，严格遵循规划有序推进，前期完成场地规划、方案制定与预算申报；建设阶段高效开展场地改造、资源采购、设备安装调试；试运行期间广泛收集师生反馈优化系统，目前项目已全面竣工并正式开放，运行稳定。</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119.61</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59.80</w:t>
      </w:r>
      <w:r>
        <w:rPr>
          <w:rFonts w:hint="default" w:ascii="Times New Roman" w:hAnsi="Times New Roman" w:eastAsia="仿宋_GB2312" w:cs="Times New Roman"/>
          <w:sz w:val="32"/>
          <w:szCs w:val="32"/>
          <w:highlight w:val="none"/>
          <w:lang w:val="en-US" w:eastAsia="zh-CN"/>
        </w:rPr>
        <w:t>%，主要用于：</w:t>
      </w:r>
      <w:r>
        <w:rPr>
          <w:rFonts w:hint="eastAsia" w:eastAsia="仿宋_GB2312" w:cs="Times New Roman"/>
          <w:sz w:val="32"/>
          <w:szCs w:val="32"/>
          <w:highlight w:val="none"/>
          <w:lang w:val="en-US" w:eastAsia="zh-CN"/>
        </w:rPr>
        <w:t>图书馆改造、</w:t>
      </w:r>
      <w:r>
        <w:rPr>
          <w:rFonts w:hint="default" w:ascii="Times New Roman" w:hAnsi="Times New Roman" w:eastAsia="仿宋_GB2312" w:cs="Times New Roman"/>
          <w:sz w:val="32"/>
          <w:szCs w:val="32"/>
          <w:highlight w:val="none"/>
          <w:lang w:val="en-US" w:eastAsia="zh-CN"/>
        </w:rPr>
        <w:t>仪器设备及图书资料等购置等。</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1.总体目标</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2024年投入200万元用于图书室的建设，建设一间500平方米，拥有3万册图书的智慧图书室。建设图书馆自动化管理系统1套，购置图书1批，购置数字图书配套设施1套。通过智慧图书室的建设为本校学生提供阅览场地，保证了学生顺利完成学习，扩大知识面。同时也保证本校学生的专业要求，提高了学生的学习积极性。</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2.阶段性目标</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第一季度（1-3月）：完成智慧图书室建设场地的规划与设计，确定功能分区布局；完成图书馆自动化管理系统、数字图书配套设施的市场调研与选型；制定图书采购清单与招标方案，启动图书供应商遴选工作；完成项目预算细化与资金筹备工作，确保后续建设顺利开展。</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第二季度（4-6月）：启动500平方米场地改造工程，完成墙面装修、电路铺设、照明及空调等基础设施安装；完成图书馆自动化管理系统及数字图书配套设备的采购与合同签订；完成首批图书采购招标工作，开展图书编目准备工作；组织图书馆管理人员参加系统操作与图书管理培训。</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第三季度（7-9月）：完成场地改造与设备安装调试，包括书架、桌椅等基础家具的摆放；完成3万册纸质图书的采购、到货验收及编目上架；图书馆自动化管理系统正式上线试运行，进行系统功能优化与漏洞修复；开展师生对智慧图书室使用的宣传与引导工作。</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第四季度（10-12月）：完成智慧图书室全面验收工作，根据试运行反馈完善细节；正式开放智慧图书室，提供常态化借阅、电子阅览等服务；建立图书馆资源使用反馈机制，定期收集师生需求，动态更新图书与数字资源；总结项目建设经验，制定下一年度图书馆运营与优化计划。</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本项目预算绩效评价报告的评价对象是[2024年中央现代职业教育提升计划资金（第二批）项目]及其预算执行情况。该项目由[</w:t>
      </w:r>
      <w:r>
        <w:rPr>
          <w:rFonts w:hint="eastAsia" w:ascii="Times New Roman" w:hAnsi="Times New Roman" w:eastAsia="仿宋_GB2312" w:cs="Times New Roman"/>
          <w:b w:val="0"/>
          <w:bCs w:val="0"/>
          <w:highlight w:val="none"/>
          <w:lang w:val="en-US" w:eastAsia="zh-CN"/>
        </w:rPr>
        <w:t>特克斯县职业技术学校</w:t>
      </w:r>
      <w:r>
        <w:rPr>
          <w:rFonts w:hint="default" w:ascii="Times New Roman" w:hAnsi="Times New Roman" w:eastAsia="仿宋_GB2312" w:cs="Times New Roman"/>
          <w:b w:val="0"/>
          <w:bCs w:val="0"/>
          <w:highlight w:val="none"/>
        </w:rPr>
        <w:t>]负责实施，旨在建成500平方米的智慧图书室，配备3万册图书、1套图书馆自动化管理系统及数字图书配套设施，为师生提供现代化阅览环境，满足教学科研与专业学习需求，提升学生知识素养与学习积极性。]。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社会影响：考察项目对社会</w:t>
      </w:r>
      <w:r>
        <w:rPr>
          <w:rFonts w:hint="eastAsia" w:ascii="Times New Roman" w:hAnsi="Times New Roman" w:eastAsia="仿宋_GB2312" w:cs="Times New Roman"/>
          <w:b w:val="0"/>
          <w:bCs w:val="0"/>
          <w:highlight w:val="none"/>
          <w:lang w:val="en-US" w:eastAsia="zh-CN"/>
        </w:rPr>
        <w:t>效益</w:t>
      </w:r>
      <w:r>
        <w:rPr>
          <w:rFonts w:hint="default" w:ascii="Times New Roman" w:hAnsi="Times New Roman" w:eastAsia="仿宋_GB2312" w:cs="Times New Roman"/>
          <w:b w:val="0"/>
          <w:bCs w:val="0"/>
          <w:highlight w:val="none"/>
        </w:rPr>
        <w:t>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本次项目绩效评价遵循以下基本原则：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2</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eastAsia="zh-CN"/>
        </w:rPr>
        <w:t>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（1）确定评价指标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（2）确定权重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确定各个指标相对于项目总体绩效的权重分值。在绩效评价指标体系中，项目决策权重为20分，项目过程权重为20分，项目产出权重为40分，项目效益权重为20分。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绩效评价总分值100分，根据综合评分结果，90（含）-100分为优、80（含）-90分为良、60（含）-80分为中、60分以下为差。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具体评价指标体系详情见附件1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eastAsia="zh-CN"/>
        </w:rPr>
        <w:t>绩效评价方法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绩效评价从项目决策、项目过程、项目产出、项目效益四个维度进行评价。评价对象为项目目标实施情况，  评价核心为资金的支出完成情况和项目的产出效益。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（一）成本效益分析法。是指将投入与产出、效益进行关联性分析的方法。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）因素分析法。是指综合分析影响绩效目标实现、实施效果的内外部因素的方法。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4</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eastAsia="zh-CN"/>
        </w:rPr>
        <w:t>评价标准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sz w:val="32"/>
          <w:szCs w:val="32"/>
          <w:highlight w:val="none"/>
          <w:lang w:val="en-US" w:eastAsia="zh-CN"/>
        </w:rPr>
        <w:t>计划</w:t>
      </w:r>
      <w:r>
        <w:rPr>
          <w:rFonts w:hint="default" w:ascii="Times New Roman" w:hAnsi="Times New Roman" w:eastAsia="仿宋_GB2312" w:cs="Times New Roman"/>
          <w:sz w:val="32"/>
          <w:szCs w:val="32"/>
          <w:highlight w:val="none"/>
          <w:lang w:eastAsia="zh-CN"/>
        </w:rPr>
        <w:t>标准。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）计划标准。指以预先制定的目标、计划、预算、定额等作为评价标准。</w:t>
      </w:r>
    </w:p>
    <w:p>
      <w:pPr>
        <w:pStyle w:val="13"/>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2024年中央现代职业教育提升计划资金（第二批）</w:t>
      </w:r>
      <w:r>
        <w:rPr>
          <w:rFonts w:hint="default" w:ascii="Times New Roman" w:hAnsi="Times New Roman" w:eastAsia="仿宋_GB2312" w:cs="Times New Roman"/>
          <w:color w:val="auto"/>
          <w:sz w:val="32"/>
          <w:szCs w:val="32"/>
          <w:highlight w:val="none"/>
        </w:rPr>
        <w:t>项目]</w:t>
      </w:r>
      <w:r>
        <w:rPr>
          <w:rFonts w:hint="default" w:ascii="Times New Roman" w:hAnsi="Times New Roman" w:eastAsia="仿宋_GB2312" w:cs="Times New Roman"/>
          <w:sz w:val="32"/>
          <w:szCs w:val="32"/>
          <w:highlight w:val="none"/>
        </w:rPr>
        <w:t>在[建成500平方米智慧图书室、完成3万册图书采购及自动化管理系统部署]等方面表现出色，达到了预期的标准与要求。同时，项目也在</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资源服务与教学支持领域</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取得了显著的成效，如[实现图书自助借还、电子资源全覆盖，日均服务师生超200人次、助力教师开展信息化教学，提升学生专业课程成绩]、等。在项目管理方面，[</w:t>
      </w:r>
      <w:r>
        <w:rPr>
          <w:rFonts w:hint="eastAsia" w:eastAsia="仿宋_GB2312" w:cs="Times New Roman"/>
          <w:sz w:val="32"/>
          <w:szCs w:val="32"/>
          <w:highlight w:val="none"/>
          <w:lang w:val="en-US" w:eastAsia="zh-CN"/>
        </w:rPr>
        <w:t>特克斯县职业技术学校</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（选填）</w:t>
      </w:r>
      <w:r>
        <w:rPr>
          <w:rFonts w:hint="default" w:ascii="Times New Roman" w:hAnsi="Times New Roman" w:eastAsia="仿宋_GB2312" w:cs="Times New Roman"/>
          <w:sz w:val="32"/>
          <w:szCs w:val="32"/>
          <w:highlight w:val="none"/>
        </w:rPr>
        <w:t>等方面产生了积极的影响。具体而言，</w:t>
      </w:r>
      <w:r>
        <w:rPr>
          <w:rFonts w:hint="eastAsia" w:eastAsia="仿宋_GB2312" w:cs="Times New Roman"/>
          <w:sz w:val="32"/>
          <w:szCs w:val="32"/>
          <w:highlight w:val="none"/>
          <w:lang w:val="en-US" w:eastAsia="zh-CN"/>
        </w:rPr>
        <w:t>为师生提供了现代化阅读与学习空间，显著提升校园文化氛围、通过数字化资源共享，推动区域职业教育资源均衡发展</w:t>
      </w:r>
      <w:r>
        <w:rPr>
          <w:rFonts w:hint="default" w:ascii="Times New Roman" w:hAnsi="Times New Roman" w:eastAsia="仿宋_GB2312" w:cs="Times New Roman"/>
          <w:sz w:val="32"/>
          <w:szCs w:val="32"/>
          <w:highlight w:val="none"/>
        </w:rPr>
        <w:t>等方面的提升，为项目的利益相关者带来了实实在在的利益。</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sz w:val="32"/>
          <w:szCs w:val="32"/>
          <w:highlight w:val="none"/>
        </w:rPr>
        <w:t>2024年中央现代职业教育提升计划资金（第二批）</w:t>
      </w:r>
      <w:r>
        <w:rPr>
          <w:rFonts w:hint="default" w:ascii="Times New Roman" w:hAnsi="Times New Roman" w:eastAsia="仿宋_GB2312" w:cs="Times New Roman"/>
          <w:color w:val="auto"/>
          <w:sz w:val="32"/>
          <w:szCs w:val="32"/>
          <w:highlight w:val="none"/>
        </w:rPr>
        <w:t>项目]</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12</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60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3"/>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FF0000"/>
                <w:sz w:val="21"/>
                <w:szCs w:val="21"/>
                <w:lang w:val="en-US" w:eastAsia="zh-CN"/>
              </w:rPr>
              <w:t>92</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3"/>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w:t>
      </w:r>
      <w:r>
        <w:rPr>
          <w:rFonts w:hint="default" w:ascii="Times New Roman" w:hAnsi="Times New Roman" w:eastAsia="仿宋_GB2312" w:cs="Times New Roman"/>
          <w:sz w:val="32"/>
          <w:szCs w:val="32"/>
          <w:highlight w:val="none"/>
          <w:lang w:val="en-US" w:eastAsia="zh-CN"/>
        </w:rPr>
        <w:t>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3"/>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119.61</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59.80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5"/>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、产出成本</w:t>
      </w:r>
      <w:r>
        <w:rPr>
          <w:rFonts w:hint="default" w:ascii="Times New Roman" w:hAnsi="Times New Roman" w:eastAsia="仿宋_GB2312" w:cs="Times New Roman"/>
          <w:sz w:val="32"/>
          <w:szCs w:val="32"/>
          <w:lang w:val="en-US" w:eastAsia="zh-CN"/>
        </w:rPr>
        <w:t>四方面的内容，由</w:t>
      </w:r>
      <w:r>
        <w:rPr>
          <w:rFonts w:hint="eastAsia" w:ascii="Times New Roman" w:hAnsi="Times New Roman"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ascii="Times New Roman" w:hAnsi="Times New Roman"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w:t>
      </w:r>
      <w:r>
        <w:rPr>
          <w:rFonts w:hint="default" w:ascii="Times New Roman" w:hAnsi="Times New Roman" w:eastAsia="仿宋_GB2312" w:cs="Times New Roman"/>
          <w:sz w:val="32"/>
          <w:szCs w:val="32"/>
          <w:lang w:val="en-US" w:eastAsia="zh-CN"/>
        </w:rPr>
        <w:t>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rPr>
        <w:t>建设图书室数量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1间</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1间</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建设图书馆自动化管理系统</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w:t>
      </w:r>
      <w:r>
        <w:rPr>
          <w:rFonts w:hint="eastAsia" w:eastAsia="仿宋_GB2312" w:cs="Times New Roman"/>
          <w:sz w:val="32"/>
          <w:szCs w:val="32"/>
          <w:highlight w:val="none"/>
          <w:lang w:val="en-US" w:eastAsia="zh-CN"/>
        </w:rPr>
        <w:t>套</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1套</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购置图书数量</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1批</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1批</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购置数字图书配套设施</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1套</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1套</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支持1+x证书制度试点学校建设</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0所</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0所</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支持职业学校改善办学条件和实训基地建设</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1所</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1所</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rPr>
        <w:t>购置图书达标率</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&gt;=95%</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购置教学仪器设备质量达标率</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教师素质培训合格率</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rPr>
        <w:t>按时下达资金</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ascii="Times New Roman" w:hAnsi="Times New Roman" w:eastAsia="仿宋_GB2312" w:cs="Times New Roman"/>
          <w:sz w:val="32"/>
          <w:szCs w:val="32"/>
          <w:highlight w:val="none"/>
        </w:rPr>
        <w:t>采购图书系统</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19.61万元/套</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11.7万元/套</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偏差原因：项目完成后未及时支付款项。</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采购图书</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95.97万元/批</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57.5万元/批</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偏差原因：项目完成后未及时支付款项。</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采购配套设施</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64.49万元/批</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38.6万元/批</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偏差原因：项目完成后未及时支付款项。</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图书室改造规模</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19.80万元</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11.8万元</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60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偏差原因：项目完成后未及时支付款项。</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rPr>
        <w:t>奖补资金规模</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0万元</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0万元</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pStyle w:val="15"/>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ascii="Times New Roman" w:hAnsi="Times New Roman"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6"/>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社会效益指标：</w:t>
      </w:r>
    </w:p>
    <w:p>
      <w:pPr>
        <w:pageBreakBefore w:val="0"/>
        <w:widowControl w:val="0"/>
        <w:numPr>
          <w:ilvl w:val="0"/>
          <w:numId w:val="0"/>
        </w:numPr>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服务建设现代化经济体系和更高质量更充分就业需要，重点支持一批优质中、高职学校和专业率先发展。引领职业教育服务国家战略、融入区域发展、促进产业升级。</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持续提高</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持续提高，</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ageBreakBefore w:val="0"/>
        <w:widowControl w:val="0"/>
        <w:numPr>
          <w:ilvl w:val="0"/>
          <w:numId w:val="0"/>
        </w:numPr>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通过实施1+x证书试点工作，推进校企合作，调动社会力量参与职业教育的积极性。</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ageBreakBefore w:val="0"/>
        <w:widowControl w:val="0"/>
        <w:numPr>
          <w:ilvl w:val="0"/>
          <w:numId w:val="0"/>
        </w:numPr>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校企合作、服务发展水平、学校治理水平、信息化水平、国际化水平。</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持续提高</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持续提高，</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ageBreakBefore w:val="0"/>
        <w:widowControl w:val="0"/>
        <w:numPr>
          <w:ilvl w:val="0"/>
          <w:numId w:val="0"/>
        </w:numPr>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职业院校教师队伍建设情况。</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持续提高</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持续提高，</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2"/>
        <w:rPr>
          <w:rFonts w:hint="eastAsia"/>
        </w:rPr>
      </w:pP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w:t>
      </w:r>
      <w:r>
        <w:rPr>
          <w:rFonts w:hint="eastAsia" w:ascii="仿宋_GB2312" w:hAnsi="仿宋_GB2312" w:cs="仿宋_GB2312"/>
          <w:color w:val="auto"/>
          <w:sz w:val="32"/>
          <w:szCs w:val="32"/>
          <w:lang w:val="en-US" w:eastAsia="zh-CN"/>
        </w:rPr>
        <w:t>学生、家长</w:t>
      </w:r>
      <w:r>
        <w:rPr>
          <w:rFonts w:hint="eastAsia" w:ascii="仿宋_GB2312" w:hAnsi="仿宋_GB2312" w:eastAsia="仿宋_GB2312" w:cs="仿宋_GB2312"/>
          <w:color w:val="auto"/>
          <w:sz w:val="32"/>
          <w:szCs w:val="32"/>
          <w:lang w:eastAsia="zh-CN"/>
        </w:rPr>
        <w:t>满意度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85%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86%，</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教师</w:t>
      </w:r>
      <w:r>
        <w:rPr>
          <w:rFonts w:hint="eastAsia" w:ascii="仿宋_GB2312" w:hAnsi="仿宋_GB2312" w:eastAsia="仿宋_GB2312" w:cs="仿宋_GB2312"/>
          <w:color w:val="auto"/>
          <w:sz w:val="32"/>
          <w:szCs w:val="32"/>
          <w:lang w:eastAsia="zh-CN"/>
        </w:rPr>
        <w:t>满意度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85%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86%，</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2"/>
        <w:ind w:left="0" w:leftChars="0" w:firstLine="640" w:firstLineChars="200"/>
        <w:rPr>
          <w:rFonts w:hint="eastAsia"/>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社会公众满意度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85%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86%，</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101</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1"/>
        <w:spacing w:line="560" w:lineRule="exact"/>
        <w:ind w:firstLine="640"/>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kern w:val="2"/>
          <w:sz w:val="32"/>
          <w:szCs w:val="32"/>
          <w:lang w:val="en-US" w:eastAsia="zh-CN" w:bidi="ar-SA"/>
        </w:rPr>
        <w:t>2024年中央现代职业教育提升计划资金（第二批）项目年初预算</w:t>
      </w:r>
      <w:r>
        <w:rPr>
          <w:rFonts w:hint="eastAsia" w:ascii="Times New Roman" w:hAnsi="Times New Roman" w:eastAsia="仿宋_GB2312" w:cs="Times New Roman"/>
          <w:kern w:val="2"/>
          <w:sz w:val="32"/>
          <w:szCs w:val="32"/>
          <w:lang w:val="en-US" w:eastAsia="zh-CN" w:bidi="ar-SA"/>
        </w:rPr>
        <w:t>200</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200</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119.61</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59.8</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80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20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系项目完工后，因合同约定付款周期、验收结算流程耗时等因素，部分款项未及时支付。</w:t>
      </w:r>
      <w:r>
        <w:rPr>
          <w:rFonts w:hint="default" w:ascii="Times New Roman" w:hAnsi="Times New Roman" w:eastAsia="仿宋_GB2312" w:cs="Times New Roman"/>
          <w:kern w:val="2"/>
          <w:sz w:val="32"/>
          <w:szCs w:val="32"/>
          <w:lang w:val="en-US" w:eastAsia="zh-Han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鉴于绩效目标已全面达成且无重大执行风险，结合项目实际情况，暂无需调整实施计划，后续将严格依照合同条款推进尾款支付，强化资金支付进度动态监控，确保财政资金使用效益充分发挥</w:t>
      </w:r>
      <w:r>
        <w:rPr>
          <w:rFonts w:hint="default" w:ascii="Times New Roman" w:hAnsi="Times New Roman" w:eastAsia="仿宋_GB2312" w:cs="Times New Roman"/>
          <w:kern w:val="2"/>
          <w:sz w:val="32"/>
          <w:szCs w:val="32"/>
          <w:lang w:val="en-US" w:eastAsia="zh-CN" w:bidi="ar-SA"/>
        </w:rPr>
        <w:t>。</w:t>
      </w:r>
    </w:p>
    <w:p>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3"/>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640"/>
        <w:rPr>
          <w:rFonts w:hint="default" w:ascii="Times New Roman" w:hAnsi="Times New Roman" w:eastAsia="仿宋_GB2312" w:cs="Times New Roman"/>
          <w:sz w:val="32"/>
          <w:szCs w:val="32"/>
        </w:rPr>
      </w:pPr>
    </w:p>
    <w:p>
      <w:pPr>
        <w:pStyle w:val="2"/>
        <w:spacing w:after="0" w:line="560" w:lineRule="exact"/>
        <w:ind w:left="0" w:leftChars="0" w:firstLine="640"/>
        <w:rPr>
          <w:rFonts w:hint="default" w:ascii="Times New Roman" w:hAnsi="Times New Roman" w:eastAsia="仿宋_GB2312" w:cs="Times New Roman"/>
          <w:sz w:val="32"/>
          <w:szCs w:val="32"/>
        </w:rPr>
      </w:pP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bookmarkStart w:id="3" w:name="_GoBack"/>
      <w:bookmarkEnd w:id="3"/>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1"/>
        <w:ind w:firstLine="562"/>
        <w:jc w:val="center"/>
        <w:rPr>
          <w:rFonts w:hint="eastAsia" w:ascii="仿宋_GB2312" w:hAnsi="仿宋_GB2312" w:eastAsia="仿宋_GB2312" w:cs="仿宋_GB2312"/>
          <w:sz w:val="28"/>
          <w:szCs w:val="40"/>
          <w:highlight w:val="none"/>
        </w:rPr>
      </w:pPr>
      <w:bookmarkStart w:id="1" w:name="_Toc26499_WPSOffice_Level2"/>
      <w:bookmarkStart w:id="2" w:name="_Toc30064_WPSOffice_Level1"/>
      <w:r>
        <w:rPr>
          <w:rFonts w:hint="default" w:ascii="仿宋_GB2312" w:hAnsi="仿宋_GB2312" w:eastAsia="仿宋_GB2312" w:cs="仿宋_GB2312"/>
          <w:b/>
          <w:bCs/>
          <w:sz w:val="28"/>
          <w:szCs w:val="40"/>
          <w:highlight w:val="none"/>
        </w:rPr>
        <w:t>2024年中央现代职业教育提升计划资金（第二批）项目</w:t>
      </w:r>
      <w:r>
        <w:rPr>
          <w:rFonts w:hint="eastAsia" w:ascii="仿宋_GB2312" w:hAnsi="仿宋_GB2312" w:eastAsia="仿宋_GB2312" w:cs="仿宋_GB2312"/>
          <w:b/>
          <w:bCs/>
          <w:sz w:val="28"/>
          <w:szCs w:val="40"/>
          <w:highlight w:val="none"/>
        </w:rPr>
        <w:t>绩效评价指标体系及综合评分表</w:t>
      </w:r>
      <w:bookmarkEnd w:id="1"/>
      <w:bookmarkEnd w:id="2"/>
    </w:p>
    <w:tbl>
      <w:tblPr>
        <w:tblStyle w:val="16"/>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019"/>
        <w:gridCol w:w="1125"/>
        <w:gridCol w:w="1149"/>
        <w:gridCol w:w="912"/>
        <w:gridCol w:w="826"/>
        <w:gridCol w:w="871"/>
        <w:gridCol w:w="767"/>
        <w:gridCol w:w="1019"/>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2024年中央现代职业教育提升计划资金（第二批）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特克斯县职业技术学校</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特克斯县职业技术学校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119.61</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59.8%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200</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投入200万元用于图书室的建设，建设一间500平方米，拥有3万册图书的智慧图书室。建设图书馆自动化管理系统1套，购置图书1批，购置数字图书配套设施1套。通过智慧图书室的建设为本校学生提供阅览场地，保证了学生顺利完成学习，扩大知识面。同时也保证本校学生的专业要求，提高了学生的学习积极性。</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建设了一间500平方米，拥有3万册图书的智慧图书室。建设图书馆自动化管理系统1套，购置图书1批，购置数字图书配套设施1套。通过智慧图书室的建设为本校学生提供阅览场地，保证了学生顺利完成学习，扩大知识面。同时也保证本校学生的专业要求，提高了学生的学习积极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建设图书室数量</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=1间</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1间</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建设图书馆自动化管理系统</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=1套</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1套</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购置图书数量</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=1批</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1批</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购置数字图书配套设施</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&lt;=1套</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1套</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支持1+x证书制度试点学校建设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=0所</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直接赋分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0所</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支持职业学校改善办学条件和实训基地建设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=1所</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直接赋分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1所</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购置图书达标率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购置教学仪器设备质量达标率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教师素质培训合格率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按时下达资金</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采购图书系统</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&lt;=19.61万元/套</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直接赋分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11.7万元/套</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60%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项目完成后未及时支付款项。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采购图书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&lt;=95.97万元/批</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直接赋分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57.5万元/批</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60%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项目完成后未及时支付款项。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采购配套设施</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&lt;=64.49万元/批</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直接赋分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38.6万元/批</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60%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项目完成后未及时支付款项。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图书室改造规模</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&lt;=19.80万元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直接赋分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11.8万元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60%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项目完成后未及时支付款项。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奖补资金规模</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直接赋分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服务建设现代化经济体系和更高质量更充分就业需要，重点支持一批优质中、高职学校和专业率先发展。引领职业教育服务国家战略、融入区域发展、促进产业升级。</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持续提高</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通过实施1+x证书试点工作，推进校企合作，调动社会力量参与职业教育的积极性。</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直接赋分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服务建设现代化经济体系和更高素质充分就业需要。</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持续提高</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462" w:type="pct"/>
            <w:tcBorders>
              <w:top w:val="single" w:color="000000"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校企合作、服务发展水平、学校治理水平、信息化水平、国际化水平</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持续提高</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职业院校教师队伍建设情况</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持续提高</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说明材料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持续提高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rPr>
            </w:pPr>
          </w:p>
          <w:p>
            <w:pPr>
              <w:bidi w:val="0"/>
              <w:jc w:val="center"/>
              <w:rPr>
                <w:rFonts w:hint="default" w:ascii="Times New Roman" w:hAnsi="Times New Roman" w:eastAsia="宋体" w:cs="Times New Roman"/>
                <w:kern w:val="2"/>
                <w:sz w:val="21"/>
                <w:szCs w:val="24"/>
                <w:lang w:val="en-US" w:eastAsia="zh-CN" w:bidi="ar-SA"/>
              </w:rPr>
            </w:pPr>
            <w:r>
              <w:rPr>
                <w:rFonts w:hint="eastAsia" w:cs="Times New Roman"/>
                <w:kern w:val="2"/>
                <w:sz w:val="21"/>
                <w:szCs w:val="24"/>
                <w:lang w:val="en-US" w:eastAsia="zh-CN" w:bidi="ar-SA"/>
              </w:rPr>
              <w:t>满意度指标</w:t>
            </w:r>
          </w:p>
        </w:tc>
        <w:tc>
          <w:tcPr>
            <w:tcW w:w="46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学生、家长满意度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&gt;=85%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86%</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101%</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图书室的建设为本校师生提供阅览场地，学生、家长满意度提高。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bidi w:val="0"/>
              <w:jc w:val="center"/>
              <w:rPr>
                <w:rFonts w:hint="default" w:ascii="Times New Roman" w:hAnsi="Times New Roman" w:eastAsia="宋体" w:cs="Times New Roman"/>
                <w:kern w:val="2"/>
                <w:sz w:val="21"/>
                <w:szCs w:val="24"/>
                <w:lang w:val="en-US" w:eastAsia="zh-CN" w:bidi="ar-SA"/>
              </w:rPr>
            </w:pPr>
          </w:p>
        </w:tc>
        <w:tc>
          <w:tcPr>
            <w:tcW w:w="46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教师满意度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&gt;=85%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86%</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101%</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3</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图书室的建设为本校师生提供阅览场地，教师满意度提高。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社会公众满意度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&gt;=85%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4</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86%</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101%</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4</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图书室的建设为本校师生提供阅览场地，社会公众满意度提高。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82</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p>
      <w:pPr>
        <w:rPr>
          <w:rFonts w:hint="default" w:ascii="Times New Roman" w:hAnsi="Times New Roman" w:cs="Times New Roman"/>
        </w:rPr>
      </w:pPr>
    </w:p>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10"/>
          <w:jc w:val="center"/>
        </w:pPr>
        <w:r>
          <w:fldChar w:fldCharType="begin"/>
        </w:r>
        <w:r>
          <w:instrText xml:space="preserve">PAGE   \* MERGEFORMAT</w:instrText>
        </w:r>
        <w:r>
          <w:fldChar w:fldCharType="separate"/>
        </w:r>
        <w:r>
          <w:rPr>
            <w:lang w:val="zh-CN"/>
          </w:rPr>
          <w:t>13</w:t>
        </w:r>
        <w:r>
          <w:fldChar w:fldCharType="end"/>
        </w:r>
      </w:p>
    </w:sdtContent>
  </w:sdt>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15D002D1"/>
    <w:multiLevelType w:val="singleLevel"/>
    <w:tmpl w:val="15D002D1"/>
    <w:lvl w:ilvl="0" w:tentative="0">
      <w:start w:val="1"/>
      <w:numFmt w:val="decimal"/>
      <w:lvlText w:val="%1."/>
      <w:lvlJc w:val="left"/>
      <w:pPr>
        <w:tabs>
          <w:tab w:val="left" w:pos="312"/>
        </w:tabs>
      </w:p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30838B2"/>
    <w:multiLevelType w:val="singleLevel"/>
    <w:tmpl w:val="630838B2"/>
    <w:lvl w:ilvl="0" w:tentative="0">
      <w:start w:val="1"/>
      <w:numFmt w:val="decimal"/>
      <w:pStyle w:val="5"/>
      <w:lvlText w:val="%1."/>
      <w:lvlJc w:val="left"/>
      <w:pPr>
        <w:tabs>
          <w:tab w:val="left" w:pos="2040"/>
        </w:tabs>
        <w:ind w:left="2040" w:hanging="360"/>
      </w:p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5"/>
  </w:num>
  <w:num w:numId="2">
    <w:abstractNumId w:val="0"/>
  </w:num>
  <w:num w:numId="3">
    <w:abstractNumId w:val="4"/>
  </w:num>
  <w:num w:numId="4">
    <w:abstractNumId w:val="2"/>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wMGY2YTQ1OWZiOWY4MDI5OWUwMGMwNzFiNDc5NzYifQ=="/>
  </w:docVars>
  <w:rsids>
    <w:rsidRoot w:val="FF6C4049"/>
    <w:rsid w:val="006F7242"/>
    <w:rsid w:val="007B168A"/>
    <w:rsid w:val="008B2CFE"/>
    <w:rsid w:val="00F26FF6"/>
    <w:rsid w:val="01610122"/>
    <w:rsid w:val="02510197"/>
    <w:rsid w:val="03EC461B"/>
    <w:rsid w:val="04D13182"/>
    <w:rsid w:val="07397B77"/>
    <w:rsid w:val="0AD007F3"/>
    <w:rsid w:val="0E3C619F"/>
    <w:rsid w:val="100F38EC"/>
    <w:rsid w:val="11170296"/>
    <w:rsid w:val="12C66037"/>
    <w:rsid w:val="12CD1ABC"/>
    <w:rsid w:val="13471461"/>
    <w:rsid w:val="13B90F01"/>
    <w:rsid w:val="155E4C4D"/>
    <w:rsid w:val="181066D2"/>
    <w:rsid w:val="1C671E73"/>
    <w:rsid w:val="1D322C47"/>
    <w:rsid w:val="1D520F3A"/>
    <w:rsid w:val="23616034"/>
    <w:rsid w:val="23696C97"/>
    <w:rsid w:val="24480FA2"/>
    <w:rsid w:val="25227A45"/>
    <w:rsid w:val="26617E4F"/>
    <w:rsid w:val="26AC3A6A"/>
    <w:rsid w:val="27A7331C"/>
    <w:rsid w:val="29490D47"/>
    <w:rsid w:val="2B9D7E25"/>
    <w:rsid w:val="2C7C7A3B"/>
    <w:rsid w:val="2F364819"/>
    <w:rsid w:val="2FD63906"/>
    <w:rsid w:val="37215DAE"/>
    <w:rsid w:val="38CA40DD"/>
    <w:rsid w:val="395F2B56"/>
    <w:rsid w:val="3A243B34"/>
    <w:rsid w:val="3BBA0580"/>
    <w:rsid w:val="3BECE841"/>
    <w:rsid w:val="3CDE204C"/>
    <w:rsid w:val="3D363C36"/>
    <w:rsid w:val="3E9C3F6D"/>
    <w:rsid w:val="3FD339BE"/>
    <w:rsid w:val="3FF7797D"/>
    <w:rsid w:val="45A439DC"/>
    <w:rsid w:val="46690BD8"/>
    <w:rsid w:val="49F70BF1"/>
    <w:rsid w:val="4B4340EE"/>
    <w:rsid w:val="503D507A"/>
    <w:rsid w:val="51FA74D0"/>
    <w:rsid w:val="52AA4A52"/>
    <w:rsid w:val="52FC76C7"/>
    <w:rsid w:val="552B1893"/>
    <w:rsid w:val="57E97063"/>
    <w:rsid w:val="59943D66"/>
    <w:rsid w:val="59E051FD"/>
    <w:rsid w:val="59E6355E"/>
    <w:rsid w:val="5B821531"/>
    <w:rsid w:val="5BFF6039"/>
    <w:rsid w:val="5D76A616"/>
    <w:rsid w:val="5D7F20B9"/>
    <w:rsid w:val="5DAC7D0E"/>
    <w:rsid w:val="5E3A6979"/>
    <w:rsid w:val="5F98B5AF"/>
    <w:rsid w:val="5FFE8511"/>
    <w:rsid w:val="5FFEACE2"/>
    <w:rsid w:val="609D5BF6"/>
    <w:rsid w:val="61073070"/>
    <w:rsid w:val="61B9080E"/>
    <w:rsid w:val="61DF3FED"/>
    <w:rsid w:val="642B176B"/>
    <w:rsid w:val="643EE26D"/>
    <w:rsid w:val="656019A0"/>
    <w:rsid w:val="658C123F"/>
    <w:rsid w:val="65F242EE"/>
    <w:rsid w:val="666D7E19"/>
    <w:rsid w:val="68376930"/>
    <w:rsid w:val="68F91E38"/>
    <w:rsid w:val="69A83C67"/>
    <w:rsid w:val="6A73064A"/>
    <w:rsid w:val="6B3158B9"/>
    <w:rsid w:val="6BA02A3F"/>
    <w:rsid w:val="6C1E5A53"/>
    <w:rsid w:val="6CCD7863"/>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A9BD3F"/>
    <w:rsid w:val="7B776F12"/>
    <w:rsid w:val="7BFFFDD0"/>
    <w:rsid w:val="7C336E5F"/>
    <w:rsid w:val="7C8D4919"/>
    <w:rsid w:val="7D7A5F86"/>
    <w:rsid w:val="7E4B683A"/>
    <w:rsid w:val="7E5E656D"/>
    <w:rsid w:val="7E8F2BCB"/>
    <w:rsid w:val="7F37BB4E"/>
    <w:rsid w:val="7FAD2A1F"/>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2"/>
    <w:qFormat/>
    <w:uiPriority w:val="0"/>
    <w:pPr>
      <w:spacing w:after="120"/>
      <w:ind w:left="420" w:leftChars="200"/>
    </w:pPr>
    <w:rPr>
      <w:rFonts w:ascii="Calibri" w:hAnsi="Calibri"/>
    </w:rPr>
  </w:style>
  <w:style w:type="paragraph" w:styleId="4">
    <w:name w:val="Plain Text"/>
    <w:basedOn w:val="1"/>
    <w:next w:val="5"/>
    <w:qFormat/>
    <w:uiPriority w:val="0"/>
    <w:rPr>
      <w:rFonts w:ascii="宋体" w:hAnsi="Courier New"/>
    </w:rPr>
  </w:style>
  <w:style w:type="paragraph" w:styleId="5">
    <w:name w:val="List Number 5"/>
    <w:basedOn w:val="1"/>
    <w:qFormat/>
    <w:uiPriority w:val="0"/>
    <w:pPr>
      <w:numPr>
        <w:ilvl w:val="0"/>
        <w:numId w:val="1"/>
      </w:numPr>
    </w:pPr>
  </w:style>
  <w:style w:type="paragraph" w:styleId="7">
    <w:name w:val="annotation text"/>
    <w:basedOn w:val="1"/>
    <w:link w:val="24"/>
    <w:qFormat/>
    <w:uiPriority w:val="0"/>
    <w:pPr>
      <w:jc w:val="left"/>
    </w:pPr>
  </w:style>
  <w:style w:type="paragraph" w:styleId="8">
    <w:name w:val="Body Text"/>
    <w:basedOn w:val="1"/>
    <w:qFormat/>
    <w:uiPriority w:val="0"/>
    <w:pPr>
      <w:spacing w:after="120"/>
    </w:pPr>
  </w:style>
  <w:style w:type="paragraph" w:styleId="9">
    <w:name w:val="Balloon Text"/>
    <w:basedOn w:val="1"/>
    <w:link w:val="22"/>
    <w:qFormat/>
    <w:uiPriority w:val="0"/>
    <w:rPr>
      <w:sz w:val="18"/>
      <w:szCs w:val="18"/>
    </w:rPr>
  </w:style>
  <w:style w:type="paragraph" w:styleId="10">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1">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4">
    <w:name w:val="annotation subject"/>
    <w:basedOn w:val="7"/>
    <w:next w:val="7"/>
    <w:link w:val="25"/>
    <w:qFormat/>
    <w:uiPriority w:val="0"/>
    <w:rPr>
      <w:b/>
      <w:bCs/>
    </w:rPr>
  </w:style>
  <w:style w:type="paragraph" w:styleId="15">
    <w:name w:val="Body Text First Indent"/>
    <w:basedOn w:val="8"/>
    <w:qFormat/>
    <w:uiPriority w:val="0"/>
    <w:pPr>
      <w:spacing w:after="0"/>
      <w:ind w:firstLine="200" w:firstLineChars="200"/>
    </w:p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7"/>
    <w:link w:val="9"/>
    <w:qFormat/>
    <w:uiPriority w:val="0"/>
    <w:rPr>
      <w:rFonts w:ascii="Times New Roman" w:hAnsi="Times New Roman" w:eastAsia="宋体" w:cs="Times New Roman"/>
      <w:kern w:val="2"/>
      <w:sz w:val="18"/>
      <w:szCs w:val="18"/>
    </w:rPr>
  </w:style>
  <w:style w:type="character" w:customStyle="1" w:styleId="23">
    <w:name w:val="页眉 字符"/>
    <w:basedOn w:val="17"/>
    <w:link w:val="11"/>
    <w:qFormat/>
    <w:uiPriority w:val="0"/>
    <w:rPr>
      <w:rFonts w:ascii="Times New Roman" w:hAnsi="Times New Roman" w:eastAsia="宋体" w:cs="Times New Roman"/>
      <w:kern w:val="2"/>
      <w:sz w:val="18"/>
      <w:szCs w:val="18"/>
    </w:rPr>
  </w:style>
  <w:style w:type="character" w:customStyle="1" w:styleId="24">
    <w:name w:val="批注文字 字符"/>
    <w:basedOn w:val="17"/>
    <w:link w:val="7"/>
    <w:qFormat/>
    <w:uiPriority w:val="0"/>
    <w:rPr>
      <w:rFonts w:ascii="Times New Roman" w:hAnsi="Times New Roman" w:eastAsia="宋体" w:cs="Times New Roman"/>
      <w:kern w:val="2"/>
      <w:sz w:val="21"/>
      <w:szCs w:val="24"/>
    </w:rPr>
  </w:style>
  <w:style w:type="character" w:customStyle="1" w:styleId="25">
    <w:name w:val="批注主题 字符"/>
    <w:basedOn w:val="24"/>
    <w:link w:val="14"/>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14151</Words>
  <Characters>14712</Characters>
  <Lines>58</Lines>
  <Paragraphs>16</Paragraphs>
  <TotalTime>61</TotalTime>
  <ScaleCrop>false</ScaleCrop>
  <LinksUpToDate>false</LinksUpToDate>
  <CharactersWithSpaces>14878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2025-07-21T08:52:53Z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eyJoZGlkIjoiYjNhZmM2ZGI3N2IzYjQ2ZmE3YjEwMWI2MTJkYzJlMzkifQ==</vt:lpwstr>
  </property>
</Properties>
</file>