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D479C">
      <w:pPr>
        <w:spacing w:line="540" w:lineRule="exact"/>
        <w:jc w:val="center"/>
        <w:rPr>
          <w:rFonts w:hint="default" w:ascii="Times New Roman" w:hAnsi="Times New Roman" w:eastAsia="华文中宋" w:cs="Times New Roman"/>
          <w:b/>
          <w:kern w:val="0"/>
          <w:sz w:val="52"/>
          <w:szCs w:val="52"/>
        </w:rPr>
      </w:pPr>
    </w:p>
    <w:p w14:paraId="7CF53B10">
      <w:pPr>
        <w:spacing w:line="540" w:lineRule="exact"/>
        <w:rPr>
          <w:rFonts w:hint="default" w:ascii="Times New Roman" w:hAnsi="Times New Roman" w:eastAsia="华文中宋" w:cs="Times New Roman"/>
          <w:b/>
          <w:kern w:val="0"/>
          <w:sz w:val="52"/>
          <w:szCs w:val="52"/>
        </w:rPr>
      </w:pPr>
    </w:p>
    <w:p w14:paraId="7465461C">
      <w:pPr>
        <w:spacing w:line="540" w:lineRule="exact"/>
        <w:jc w:val="center"/>
        <w:rPr>
          <w:rFonts w:hint="default" w:ascii="Times New Roman" w:hAnsi="Times New Roman" w:eastAsia="华文中宋" w:cs="Times New Roman"/>
          <w:b/>
          <w:kern w:val="0"/>
          <w:sz w:val="52"/>
          <w:szCs w:val="52"/>
        </w:rPr>
      </w:pPr>
    </w:p>
    <w:p w14:paraId="47204D13">
      <w:pPr>
        <w:spacing w:line="540" w:lineRule="exact"/>
        <w:jc w:val="center"/>
        <w:rPr>
          <w:rFonts w:hint="default" w:ascii="Times New Roman" w:hAnsi="Times New Roman" w:eastAsia="华文中宋" w:cs="Times New Roman"/>
          <w:b/>
          <w:kern w:val="0"/>
          <w:sz w:val="52"/>
          <w:szCs w:val="52"/>
        </w:rPr>
      </w:pPr>
    </w:p>
    <w:p w14:paraId="6829EC57">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收回伊犁汇通矿业发展有限公司特克斯县青布拉克铜镍矿补偿款项目支出</w:t>
      </w:r>
    </w:p>
    <w:p w14:paraId="2A66E519">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绩效评价报告</w:t>
      </w:r>
    </w:p>
    <w:p w14:paraId="3435F33D">
      <w:pPr>
        <w:spacing w:line="540" w:lineRule="exact"/>
        <w:jc w:val="center"/>
        <w:rPr>
          <w:rFonts w:hint="default" w:ascii="Times New Roman" w:hAnsi="Times New Roman" w:eastAsia="华文中宋" w:cs="Times New Roman"/>
          <w:b/>
          <w:kern w:val="0"/>
          <w:sz w:val="52"/>
          <w:szCs w:val="52"/>
        </w:rPr>
      </w:pPr>
    </w:p>
    <w:p w14:paraId="2C28A452">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1BF12FF7">
      <w:pPr>
        <w:spacing w:line="540" w:lineRule="exact"/>
        <w:jc w:val="center"/>
        <w:rPr>
          <w:rFonts w:hint="default" w:ascii="Times New Roman" w:hAnsi="Times New Roman" w:eastAsia="仿宋_GB2312" w:cs="Times New Roman"/>
          <w:kern w:val="0"/>
          <w:sz w:val="30"/>
          <w:szCs w:val="30"/>
        </w:rPr>
      </w:pPr>
    </w:p>
    <w:p w14:paraId="24846776">
      <w:pPr>
        <w:spacing w:line="540" w:lineRule="exact"/>
        <w:jc w:val="center"/>
        <w:rPr>
          <w:rFonts w:hint="default" w:ascii="Times New Roman" w:hAnsi="Times New Roman" w:eastAsia="仿宋_GB2312" w:cs="Times New Roman"/>
          <w:kern w:val="0"/>
          <w:sz w:val="30"/>
          <w:szCs w:val="30"/>
        </w:rPr>
      </w:pPr>
    </w:p>
    <w:p w14:paraId="58C16714">
      <w:pPr>
        <w:spacing w:line="540" w:lineRule="exact"/>
        <w:jc w:val="center"/>
        <w:rPr>
          <w:rFonts w:hint="default" w:ascii="Times New Roman" w:hAnsi="Times New Roman" w:eastAsia="仿宋_GB2312" w:cs="Times New Roman"/>
          <w:kern w:val="0"/>
          <w:sz w:val="30"/>
          <w:szCs w:val="30"/>
        </w:rPr>
      </w:pPr>
    </w:p>
    <w:p w14:paraId="141D8E8F">
      <w:pPr>
        <w:pStyle w:val="11"/>
        <w:rPr>
          <w:rFonts w:hint="default" w:ascii="Times New Roman" w:hAnsi="Times New Roman" w:cs="Times New Roman"/>
        </w:rPr>
      </w:pPr>
    </w:p>
    <w:p w14:paraId="02360C14">
      <w:pPr>
        <w:spacing w:line="540" w:lineRule="exact"/>
        <w:jc w:val="center"/>
        <w:rPr>
          <w:rFonts w:hint="default" w:ascii="Times New Roman" w:hAnsi="Times New Roman" w:eastAsia="仿宋_GB2312" w:cs="Times New Roman"/>
          <w:kern w:val="0"/>
          <w:sz w:val="30"/>
          <w:szCs w:val="30"/>
        </w:rPr>
      </w:pPr>
    </w:p>
    <w:p w14:paraId="13AA2476">
      <w:pPr>
        <w:spacing w:line="540" w:lineRule="exact"/>
        <w:rPr>
          <w:rFonts w:hint="default" w:ascii="Times New Roman" w:hAnsi="Times New Roman" w:eastAsia="仿宋_GB2312" w:cs="Times New Roman"/>
          <w:kern w:val="0"/>
          <w:sz w:val="30"/>
          <w:szCs w:val="30"/>
        </w:rPr>
      </w:pPr>
    </w:p>
    <w:p w14:paraId="3D18CF03">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项目名称：收回伊犁汇通矿业发展有限公司</w:t>
      </w:r>
    </w:p>
    <w:p w14:paraId="2634DF05">
      <w:pPr>
        <w:spacing w:line="700" w:lineRule="exact"/>
        <w:ind w:firstLine="3240" w:firstLineChars="9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特克斯县青布拉克铜镍矿补偿款</w:t>
      </w:r>
    </w:p>
    <w:p w14:paraId="6CF1E51E">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实施单位（公章）：特克斯县自然资源局</w:t>
      </w:r>
    </w:p>
    <w:p w14:paraId="5B928C7A">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主管部门（公章）：特克斯县自然资源局</w:t>
      </w:r>
    </w:p>
    <w:p w14:paraId="232611FB">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袁帅</w:t>
      </w:r>
    </w:p>
    <w:p w14:paraId="04A3D850">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eastAsia"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5</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19</w:t>
      </w:r>
      <w:r>
        <w:rPr>
          <w:rFonts w:hint="default" w:ascii="Times New Roman" w:hAnsi="Times New Roman" w:eastAsia="仿宋_GB2312" w:cs="Times New Roman"/>
          <w:kern w:val="0"/>
          <w:sz w:val="36"/>
          <w:szCs w:val="36"/>
        </w:rPr>
        <w:t>日</w:t>
      </w:r>
    </w:p>
    <w:p w14:paraId="17A69604">
      <w:pPr>
        <w:spacing w:line="540" w:lineRule="exact"/>
        <w:jc w:val="center"/>
        <w:rPr>
          <w:rFonts w:hint="default" w:ascii="Times New Roman" w:hAnsi="Times New Roman" w:eastAsia="仿宋_GB2312" w:cs="Times New Roman"/>
          <w:kern w:val="0"/>
          <w:sz w:val="30"/>
          <w:szCs w:val="30"/>
        </w:rPr>
      </w:pPr>
    </w:p>
    <w:p w14:paraId="7DC9BDB4">
      <w:pPr>
        <w:spacing w:line="540" w:lineRule="exact"/>
        <w:rPr>
          <w:rStyle w:val="17"/>
          <w:rFonts w:hint="default" w:ascii="Times New Roman" w:hAnsi="Times New Roman" w:eastAsia="黑体" w:cs="Times New Roman"/>
          <w:b w:val="0"/>
          <w:spacing w:val="-4"/>
          <w:sz w:val="32"/>
          <w:szCs w:val="32"/>
        </w:rPr>
      </w:pPr>
    </w:p>
    <w:p w14:paraId="16E59755">
      <w:pPr>
        <w:spacing w:line="560" w:lineRule="exact"/>
        <w:ind w:firstLine="640" w:firstLineChars="200"/>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14:paraId="69756A28">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1B940412">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5D721A80">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69563B72">
      <w:pPr>
        <w:pStyle w:val="11"/>
        <w:numPr>
          <w:ilvl w:val="0"/>
          <w:numId w:val="0"/>
        </w:numPr>
        <w:spacing w:before="0" w:after="0" w:line="560" w:lineRule="exact"/>
        <w:ind w:firstLine="640" w:firstLineChars="200"/>
        <w:jc w:val="both"/>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因伊犁汇通矿业发展有限公司的特克斯县青布拉克铜镍矿选矿厂分布于天山自然遗产禁建区和重要景观区内，为落实生态保护政策、优化区域发展布局，政府决定对该选矿厂进行关停，并对其土地使用权和选矿权进行经济补偿，特克斯县自然资源局负责实施该补偿项目。</w:t>
      </w:r>
    </w:p>
    <w:p w14:paraId="1BC871C8">
      <w:pPr>
        <w:pStyle w:val="11"/>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348B970A">
      <w:pPr>
        <w:pStyle w:val="11"/>
        <w:numPr>
          <w:ilvl w:val="0"/>
          <w:numId w:val="0"/>
        </w:numPr>
        <w:spacing w:before="0" w:after="0" w:line="560" w:lineRule="exact"/>
        <w:ind w:firstLine="640" w:firstLineChars="200"/>
        <w:jc w:val="both"/>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项目主要内容：本项目主要对伊犁汇通矿业关停的青布拉克铜镍矿选矿厂及周边区域的土地使用权和选矿权开展经济补偿工作，包括确定补偿标准、核算补偿金额、完成资金支付等具体工作。</w:t>
      </w:r>
    </w:p>
    <w:p w14:paraId="69A4441B">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项目实施情况：2024年，特克斯县自然资源局</w:t>
      </w:r>
      <w:r>
        <w:rPr>
          <w:rFonts w:hint="eastAsia" w:eastAsia="仿宋_GB2312" w:cs="Times New Roman"/>
          <w:sz w:val="32"/>
          <w:szCs w:val="32"/>
          <w:lang w:val="en-US" w:eastAsia="zh-CN"/>
        </w:rPr>
        <w:t>依据</w:t>
      </w:r>
      <w:r>
        <w:rPr>
          <w:rFonts w:hint="default" w:ascii="Times New Roman" w:hAnsi="Times New Roman" w:eastAsia="仿宋_GB2312" w:cs="Times New Roman"/>
          <w:sz w:val="32"/>
          <w:szCs w:val="32"/>
        </w:rPr>
        <w:t>政府批复推进补偿工作，经专业评估确定补偿金额，经多轮协商与企业签约，严格按流程发放849.87万元补偿款，支付及发放及时率均达95%，完成选矿权收回及档案归档。同时，联合生态部门开展生态修复，已完成场地清理和植被恢复；补偿资金助力周边道路修缮、水电管网优化等基础设施改造，有效改善辖区基础配套。</w:t>
      </w:r>
    </w:p>
    <w:p w14:paraId="7330649E">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64B8E369">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3794F20B">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849.87</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849.87</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0493974A">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0457426D">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849.87</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849.87</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ascii="Times New Roman" w:hAnsi="Times New Roman" w:eastAsia="仿宋_GB2312" w:cs="Times New Roman"/>
          <w:sz w:val="32"/>
          <w:szCs w:val="32"/>
          <w:highlight w:val="none"/>
          <w:lang w:val="en-US" w:eastAsia="zh-CN"/>
        </w:rPr>
        <w:t>849.87</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%，主要用于：支付伊犁汇通矿业发展有限公司的土地使用权和选矿权补偿款，确保专款专用。</w:t>
      </w:r>
    </w:p>
    <w:p w14:paraId="46100D4F">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648A60AB">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总体目标</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对伊犁汇通矿业发展有限公司，因分布于天山自然遗产禁建区和重要景观区内而被政府关停的特克斯县青布拉克铜镍矿选矿厂及周边区域的土地使用权和选矿权进行经济补偿。</w:t>
      </w:r>
    </w:p>
    <w:p w14:paraId="1CE64E41">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sz w:val="32"/>
          <w:szCs w:val="32"/>
          <w:highlight w:val="none"/>
        </w:rPr>
        <w:t>阶段性目标</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2024年度</w:t>
      </w:r>
      <w:r>
        <w:rPr>
          <w:rFonts w:hint="eastAsia" w:eastAsia="仿宋_GB2312" w:cs="Times New Roman"/>
          <w:sz w:val="32"/>
          <w:szCs w:val="32"/>
          <w:highlight w:val="none"/>
          <w:lang w:val="en-US" w:eastAsia="zh-CN"/>
        </w:rPr>
        <w:t>上半年</w:t>
      </w:r>
      <w:r>
        <w:rPr>
          <w:rFonts w:hint="default" w:ascii="Times New Roman" w:hAnsi="Times New Roman" w:eastAsia="仿宋_GB2312" w:cs="Times New Roman"/>
          <w:sz w:val="32"/>
          <w:szCs w:val="32"/>
          <w:highlight w:val="none"/>
        </w:rPr>
        <w:t>完成补偿方案制定、资金核算、补偿协议签订</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资金支付</w:t>
      </w:r>
      <w:r>
        <w:rPr>
          <w:rFonts w:hint="eastAsia" w:eastAsia="仿宋_GB2312" w:cs="Times New Roman"/>
          <w:sz w:val="32"/>
          <w:szCs w:val="32"/>
          <w:highlight w:val="none"/>
          <w:lang w:val="en-US" w:eastAsia="zh-CN"/>
        </w:rPr>
        <w:t>500万元</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2024年下半年完成资金支付349.875万元，</w:t>
      </w:r>
      <w:r>
        <w:rPr>
          <w:rFonts w:hint="default" w:ascii="Times New Roman" w:hAnsi="Times New Roman" w:eastAsia="仿宋_GB2312" w:cs="Times New Roman"/>
          <w:sz w:val="32"/>
          <w:szCs w:val="32"/>
          <w:highlight w:val="none"/>
        </w:rPr>
        <w:t>确保收回1个选矿权，补偿资金支付完成率、发放及时率均达到95%以上，受补偿对象满意度达到95%以上。</w:t>
      </w:r>
    </w:p>
    <w:p w14:paraId="4219CEBC">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二、绩效评价工作开展情况</w:t>
      </w:r>
    </w:p>
    <w:p w14:paraId="25D15507">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5F8BEEC9">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val="en-US" w:eastAsia="zh-CN"/>
        </w:rPr>
      </w:pPr>
      <w:r>
        <w:rPr>
          <w:rFonts w:hint="default" w:ascii="Times New Roman" w:hAnsi="Times New Roman" w:eastAsia="仿宋_GB2312" w:cs="Times New Roman"/>
          <w:b w:val="0"/>
          <w:bCs w:val="0"/>
          <w:color w:val="auto"/>
          <w:highlight w:val="none"/>
          <w:lang w:val="en-US" w:eastAsia="zh-CN"/>
        </w:rPr>
        <w:t>1.绩效评价完整性</w:t>
      </w:r>
    </w:p>
    <w:p w14:paraId="4E57CD83">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51F6FBE0">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在评价指标体系的构建上，充分考虑了项目的性质、目标以及预期成果，选取了具有代表性和可衡量性的关键指标，涵盖了社会效益、</w:t>
      </w:r>
      <w:r>
        <w:rPr>
          <w:rFonts w:hint="eastAsia" w:eastAsia="仿宋_GB2312" w:cs="Times New Roman"/>
          <w:color w:val="auto"/>
          <w:sz w:val="32"/>
          <w:szCs w:val="32"/>
          <w:highlight w:val="none"/>
          <w:lang w:val="en-US" w:eastAsia="zh-CN"/>
        </w:rPr>
        <w:t>生态</w:t>
      </w:r>
      <w:r>
        <w:rPr>
          <w:rFonts w:hint="default" w:ascii="Times New Roman" w:hAnsi="Times New Roman" w:eastAsia="仿宋_GB2312" w:cs="Times New Roman"/>
          <w:color w:val="auto"/>
          <w:sz w:val="32"/>
          <w:szCs w:val="32"/>
          <w:highlight w:val="none"/>
          <w:lang w:val="en-US" w:eastAsia="zh-CN"/>
        </w:rPr>
        <w:t>效益等多个维度，力求全方位反映项目的绩效状况。同时，对于每个指标的评价标准和数据来源均进行了明确说明，确保评价结果的客观性和可追溯性。</w:t>
      </w:r>
    </w:p>
    <w:p w14:paraId="6E47BAB8">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30060005">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73017763">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56FD6481">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4A05E6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3187A1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效益等多维度指标，为项目后续的改进与优化提供科学依据。</w:t>
      </w:r>
    </w:p>
    <w:p w14:paraId="2F4473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753B14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5F51AD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4D9115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03AE9C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6E4343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09067A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211041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522829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w:t>
      </w:r>
      <w:r>
        <w:rPr>
          <w:rFonts w:hint="eastAsia" w:eastAsia="仿宋_GB2312" w:cs="Times New Roman"/>
          <w:sz w:val="32"/>
          <w:szCs w:val="32"/>
          <w:highlight w:val="none"/>
          <w:lang w:val="en-US" w:eastAsia="zh-CN"/>
        </w:rPr>
        <w:t>生态效益</w:t>
      </w:r>
      <w:r>
        <w:rPr>
          <w:rFonts w:hint="default" w:ascii="Times New Roman" w:hAnsi="Times New Roman" w:eastAsia="仿宋_GB2312" w:cs="Times New Roman"/>
          <w:sz w:val="32"/>
          <w:szCs w:val="32"/>
          <w:highlight w:val="none"/>
        </w:rPr>
        <w:t>与社会效益。</w:t>
      </w:r>
    </w:p>
    <w:p w14:paraId="0C61BE65">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64E69A45">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本项目预算绩效评价报告的评价对象是收回伊犁汇通矿业发展有限公司特克斯县青布拉克铜镍矿补偿款及其预算执行情况。该项目由</w:t>
      </w:r>
      <w:r>
        <w:rPr>
          <w:rFonts w:hint="eastAsia" w:ascii="Times New Roman" w:hAnsi="Times New Roman" w:eastAsia="仿宋_GB2312" w:cs="Times New Roman"/>
          <w:b w:val="0"/>
          <w:bCs w:val="0"/>
          <w:highlight w:val="none"/>
          <w:lang w:val="en-US" w:eastAsia="zh-CN"/>
        </w:rPr>
        <w:t>袁帅</w:t>
      </w:r>
      <w:r>
        <w:rPr>
          <w:rFonts w:hint="default" w:ascii="Times New Roman" w:hAnsi="Times New Roman" w:eastAsia="仿宋_GB2312" w:cs="Times New Roman"/>
          <w:b w:val="0"/>
          <w:bCs w:val="0"/>
          <w:highlight w:val="none"/>
        </w:rPr>
        <w:t>负责实施，旨在对伊犁汇通矿业发展有限公司，因分布于天山自然遗产禁建区和重要景观区内而被政府关停的特克斯县青布拉克铜镍矿选矿厂及周边区域的土地使用权和选矿权进行经济补偿</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资金合理投入，改善辖区基础配套与生态，助力可持续发展</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2024年2月7日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2024年12月25日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849.87</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324B40BD">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3F83EA6E">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19EB23D8">
      <w:pPr>
        <w:pStyle w:val="11"/>
        <w:widowControl w:val="0"/>
        <w:numPr>
          <w:ilvl w:val="0"/>
          <w:numId w:val="1"/>
        </w:numPr>
        <w:spacing w:before="0" w:after="0" w:line="560" w:lineRule="exact"/>
        <w:ind w:left="-10" w:leftChars="0" w:firstLine="640" w:firstLineChars="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267E8AEF">
      <w:pPr>
        <w:pStyle w:val="11"/>
        <w:widowControl w:val="0"/>
        <w:numPr>
          <w:ilvl w:val="0"/>
          <w:numId w:val="1"/>
        </w:numPr>
        <w:spacing w:before="0" w:after="0" w:line="560" w:lineRule="exact"/>
        <w:ind w:left="-10" w:leftChars="0" w:firstLine="640" w:firstLineChars="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19E01CD2">
      <w:pPr>
        <w:pStyle w:val="11"/>
        <w:widowControl w:val="0"/>
        <w:numPr>
          <w:ilvl w:val="0"/>
          <w:numId w:val="1"/>
        </w:numPr>
        <w:spacing w:before="0" w:after="0" w:line="560" w:lineRule="exact"/>
        <w:ind w:left="-10" w:leftChars="0" w:firstLine="640" w:firstLineChars="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1E59BB39">
      <w:pPr>
        <w:pStyle w:val="11"/>
        <w:widowControl w:val="0"/>
        <w:numPr>
          <w:ilvl w:val="0"/>
          <w:numId w:val="1"/>
        </w:numPr>
        <w:spacing w:before="0" w:after="0" w:line="560" w:lineRule="exact"/>
        <w:ind w:left="-10" w:leftChars="0" w:firstLine="640" w:firstLineChars="0"/>
        <w:jc w:val="both"/>
        <w:outlineLvl w:val="9"/>
        <w:rPr>
          <w:rFonts w:hint="default" w:ascii="Times New Roman" w:hAnsi="Times New Roman" w:eastAsia="仿宋_GB2312" w:cs="Times New Roman"/>
          <w:b w:val="0"/>
          <w:bCs w:val="0"/>
          <w:highlight w:val="none"/>
          <w:lang w:eastAsia="zh-CN"/>
        </w:rPr>
      </w:pPr>
      <w:bookmarkStart w:id="3" w:name="_GoBack"/>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rPr>
        <w:t>等方面的综合影响。</w:t>
      </w:r>
      <w:r>
        <w:rPr>
          <w:rFonts w:hint="eastAsia" w:ascii="Times New Roman" w:hAnsi="Times New Roman" w:eastAsia="仿宋_GB2312" w:cs="Times New Roman"/>
          <w:b w:val="0"/>
          <w:bCs w:val="0"/>
          <w:highlight w:val="none"/>
          <w:lang w:val="en-US" w:eastAsia="zh-CN"/>
        </w:rPr>
        <w:t>对</w:t>
      </w:r>
      <w:r>
        <w:rPr>
          <w:rFonts w:hint="default" w:ascii="Times New Roman" w:hAnsi="Times New Roman" w:eastAsia="仿宋_GB2312" w:cs="Times New Roman"/>
          <w:b w:val="0"/>
          <w:bCs w:val="0"/>
          <w:highlight w:val="none"/>
        </w:rPr>
        <w:t>周边道路修缮，提升</w:t>
      </w:r>
      <w:r>
        <w:rPr>
          <w:rFonts w:hint="eastAsia" w:ascii="Times New Roman" w:hAnsi="Times New Roman" w:eastAsia="仿宋_GB2312" w:cs="Times New Roman"/>
          <w:b w:val="0"/>
          <w:bCs w:val="0"/>
          <w:highlight w:val="none"/>
          <w:lang w:val="en-US" w:eastAsia="zh-CN"/>
        </w:rPr>
        <w:t>了</w:t>
      </w:r>
      <w:r>
        <w:rPr>
          <w:rFonts w:hint="default" w:ascii="Times New Roman" w:hAnsi="Times New Roman" w:eastAsia="仿宋_GB2312" w:cs="Times New Roman"/>
          <w:b w:val="0"/>
          <w:bCs w:val="0"/>
          <w:highlight w:val="none"/>
        </w:rPr>
        <w:t>区域生产生活条件</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lang w:val="en-US" w:eastAsia="zh-CN"/>
        </w:rPr>
        <w:t>种植耐旱植被，植被覆盖率提升。</w:t>
      </w:r>
    </w:p>
    <w:bookmarkEnd w:id="3"/>
    <w:p w14:paraId="07793574">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48E398F4">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5AC985B3">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3321091D">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6E20F725">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16346F89">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5CDA7C09">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34D246A9">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3AE91BB1">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1D02F596">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3EC09052">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ADEEF27">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74E07D02">
      <w:pPr>
        <w:spacing w:line="560" w:lineRule="exact"/>
        <w:ind w:firstLine="708" w:firstLineChars="200"/>
        <w:rPr>
          <w:rFonts w:hint="default" w:ascii="Times New Roman" w:hAnsi="Times New Roman" w:eastAsia="仿宋_GB2312" w:cs="Times New Roman"/>
          <w:color w:val="auto"/>
          <w:spacing w:val="17"/>
          <w:sz w:val="32"/>
          <w:szCs w:val="32"/>
          <w:lang w:eastAsia="zh-CN"/>
        </w:rPr>
      </w:pPr>
      <w:r>
        <w:rPr>
          <w:rFonts w:hint="default" w:ascii="Times New Roman" w:hAnsi="Times New Roman" w:eastAsia="仿宋_GB2312" w:cs="Times New Roman"/>
          <w:color w:val="auto"/>
          <w:spacing w:val="17"/>
          <w:sz w:val="32"/>
          <w:szCs w:val="32"/>
        </w:rPr>
        <w:t>确定各个指标相对于项目总体绩效的权重分值。在绩效评价指标体系中，项目决策权重为20分，项目过程权重为20分，项目产出权重为40分，项目效益权重为20分。</w:t>
      </w:r>
    </w:p>
    <w:p w14:paraId="6FA1C4A1">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7CBC3BBF">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23FDC03B">
      <w:pPr>
        <w:pStyle w:val="11"/>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18CE842B">
      <w:pPr>
        <w:pStyle w:val="11"/>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2C736C5E">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4EF86CD3">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绩效评价从项目决策、项目过程、项目产出、项目效益四个维度进行评价。评价对象为项目目标实施情况，评价核心为资金的支出完成情况和项目的产出效益。</w:t>
      </w:r>
    </w:p>
    <w:p w14:paraId="4D549DA7">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比较法、因素分析法等，将项目实际完成情况与绩效目标进行对比分析，综合考量各项影响因素，具体评价方法如下：</w:t>
      </w:r>
    </w:p>
    <w:p w14:paraId="4440403D">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（一）比较法。是指将实施情况与绩效目标、历史情况、不同部门和地区同类支出情况进行比较的方法。</w:t>
      </w:r>
    </w:p>
    <w:p w14:paraId="6AFCA546">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val="en-US" w:eastAsia="zh-CN"/>
        </w:rPr>
        <w:t>二</w:t>
      </w:r>
      <w:r>
        <w:rPr>
          <w:rFonts w:hint="default" w:ascii="Times New Roman" w:hAnsi="Times New Roman" w:eastAsia="仿宋_GB2312" w:cs="Times New Roman"/>
          <w:color w:val="000000"/>
          <w:spacing w:val="17"/>
          <w:sz w:val="32"/>
          <w:szCs w:val="32"/>
          <w:highlight w:val="none"/>
        </w:rPr>
        <w:t>）因素分析法。是指综合分析影响绩效目标实现、实施效果的内外部因素的方法。</w:t>
      </w:r>
    </w:p>
    <w:p w14:paraId="57286475">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7355B2F0">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w:t>
      </w:r>
    </w:p>
    <w:p w14:paraId="22653DC3">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16A6311D">
      <w:pPr>
        <w:pStyle w:val="11"/>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5C2BE5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31FCAA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3AA1B9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42502E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10D600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5A220F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264616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51CCA7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709F91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68B781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4EFAD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5BD08F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6AC202C">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7B419597">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71000528">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收回伊犁汇通矿业发展有限公司特克斯县青布拉克铜镍矿补偿款</w:t>
      </w:r>
      <w:r>
        <w:rPr>
          <w:rFonts w:hint="eastAsia" w:eastAsia="仿宋_GB2312" w:cs="Times New Roman"/>
          <w:color w:val="auto"/>
          <w:sz w:val="32"/>
          <w:szCs w:val="32"/>
          <w:highlight w:val="none"/>
          <w:lang w:val="en-US" w:eastAsia="zh-CN"/>
        </w:rPr>
        <w:t>项目</w:t>
      </w:r>
      <w:r>
        <w:rPr>
          <w:rFonts w:hint="default" w:ascii="Times New Roman" w:hAnsi="Times New Roman" w:eastAsia="仿宋_GB2312" w:cs="Times New Roman"/>
          <w:sz w:val="32"/>
          <w:szCs w:val="32"/>
          <w:highlight w:val="none"/>
        </w:rPr>
        <w:t>在收回选矿权个数、补偿资金支付完成率、补偿发放及时率等方面表现出色，达到了预期的标准与要求。同时，项目也在</w:t>
      </w:r>
      <w:r>
        <w:rPr>
          <w:rFonts w:hint="default" w:ascii="Times New Roman" w:hAnsi="Times New Roman" w:eastAsia="仿宋_GB2312" w:cs="Times New Roman"/>
          <w:color w:val="auto"/>
          <w:sz w:val="32"/>
          <w:szCs w:val="32"/>
          <w:highlight w:val="none"/>
        </w:rPr>
        <w:t>生态修复与基础设施改善</w:t>
      </w:r>
      <w:r>
        <w:rPr>
          <w:rFonts w:hint="eastAsia" w:eastAsia="仿宋_GB2312" w:cs="Times New Roman"/>
          <w:color w:val="auto"/>
          <w:sz w:val="32"/>
          <w:szCs w:val="32"/>
          <w:highlight w:val="none"/>
          <w:lang w:val="en-US" w:eastAsia="zh-CN"/>
        </w:rPr>
        <w:t>领域</w:t>
      </w:r>
      <w:r>
        <w:rPr>
          <w:rFonts w:hint="default" w:ascii="Times New Roman" w:hAnsi="Times New Roman" w:eastAsia="仿宋_GB2312" w:cs="Times New Roman"/>
          <w:sz w:val="32"/>
          <w:szCs w:val="32"/>
          <w:highlight w:val="none"/>
        </w:rPr>
        <w:t>取得了显著的成效，如成关停选矿厂区域场地清理和植被恢复，启动周边道路修缮及水电管网优化工程等。</w:t>
      </w:r>
    </w:p>
    <w:p w14:paraId="5D343ED6">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在项目管理方面，特克斯县自然资源局通过有效的规划、组织与协调，项目得以顺利实施，并在预算与时间上保持了良好的控制。</w:t>
      </w:r>
    </w:p>
    <w:p w14:paraId="7AA1D552">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效益等方面产生了积极的影响。具体而言，保障了受补偿企业合法权益，促进区域社会稳定；显著优化辖区生态环境，为后续生态产业发展奠定基础，等方面的提升，为项目的利益相关者带来了实实在在的利益。</w:t>
      </w:r>
    </w:p>
    <w:p w14:paraId="65871231">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综上所述，收回伊犁汇通矿业发展有限公司特克斯县青布拉克铜镍矿补偿款项目在绩效评价中表现出色，达到了项目的预期目标，并在多个方面取得了显著的成效。</w:t>
      </w:r>
    </w:p>
    <w:p w14:paraId="54598732">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0AD22873">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0DA8308E">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14:paraId="68E5DEA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3C69E15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274679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5E4DA5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30EFD36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ECC2743">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2BE7F794">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BBDC4C6">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1AE906C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891ECBD">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6671F305">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F78E977">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0433B21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B6ACF1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41CBF47B">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6F3CC7FC">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107401B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5C36318">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2F0F35F0">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776DF05">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6F04D71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34A823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672AFE79">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9441720">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70F62D1C">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50E41E5C">
      <w:pPr>
        <w:pStyle w:val="11"/>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587CC5E6">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D3B82D2">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546A8D9C">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497764CA">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2EDF22C">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6F9EC0D6">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5A9CF6C0">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7050F070">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1B562BB6">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88B39CA">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5B123CDC">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33A11470">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1C019F43">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1892C057">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通过专业评估机构对土地使用权、选矿权价值进行测算，结合生态修复和基础设施改造需求，进行了全面的成本估算，确保849.87万元预算覆盖补偿款、评估费、档案管理等全部费用。同时，预算按实施阶段分解：前期评估占比10%，补偿协议签订及资金支付占比80%，后期生态修复及档案归档占比10%，对不同阶段资金需求进行了详细分析。</w:t>
      </w:r>
    </w:p>
    <w:p w14:paraId="1F64AD4F">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4D66E1C6">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09A0F4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615718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62DC36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76B06F90">
      <w:pPr>
        <w:pStyle w:val="11"/>
        <w:numPr>
          <w:ilvl w:val="0"/>
          <w:numId w:val="4"/>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14:paraId="217CF8C0">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348574CD">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290DB0EB">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7BEFCB07">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849.87</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2DFB9072">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79A1A397">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849.87</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8A681F4">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7F3A7F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718A73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1EEEFF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6A02A652">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26449666">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60CF81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4C6D9D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7AB0C4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63944072">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150E812A">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3C68E4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336D52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5262B9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76389D37">
      <w:pPr>
        <w:pStyle w:val="13"/>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10DDFCB0">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29958EE4">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03DC2D70">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指标1：收回选矿权个数，指标值：=1个，实际完成值：1个，指标完成率100%</w:t>
      </w:r>
      <w:r>
        <w:rPr>
          <w:rFonts w:hint="eastAsia" w:eastAsia="仿宋_GB2312" w:cs="Times New Roman"/>
          <w:sz w:val="32"/>
          <w:szCs w:val="32"/>
          <w:highlight w:val="none"/>
          <w:lang w:val="en-US" w:eastAsia="zh-CN"/>
        </w:rPr>
        <w:t>。</w:t>
      </w:r>
    </w:p>
    <w:p w14:paraId="1694FCFB">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602718CA">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指标1：补偿资金支付完成率，指标值：≥95%，实际完成值：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%，指标完成率10</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偏差原因：资金足额到位，资金支付控制率比预期增加。</w:t>
      </w:r>
    </w:p>
    <w:p w14:paraId="31FEA19F">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42BD6386">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指标1：补偿发放及时率，指标值：≥95%，实际完成值：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%，指标完成率10</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偏差原因：因资金足额到位，资金发放率比预期增加。</w:t>
      </w:r>
    </w:p>
    <w:p w14:paraId="64355250">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7A53EC08">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指标1：补偿款预算控制率，指标值：≥95%，实际完成值：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%，指标完成率1</w:t>
      </w:r>
      <w:r>
        <w:rPr>
          <w:rFonts w:hint="eastAsia" w:eastAsia="仿宋_GB2312" w:cs="Times New Roman"/>
          <w:sz w:val="32"/>
          <w:szCs w:val="32"/>
          <w:highlight w:val="none"/>
          <w:lang w:val="en-US" w:eastAsia="zh-CN"/>
        </w:rPr>
        <w:t>05</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，偏差原因：资因资金足额到位，资金控制率比预期增加。</w:t>
      </w:r>
    </w:p>
    <w:p w14:paraId="030F6C36">
      <w:pPr>
        <w:pStyle w:val="13"/>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1F3F1CD8">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w:t>
      </w:r>
      <w:r>
        <w:rPr>
          <w:rFonts w:hint="default" w:ascii="Times New Roman" w:hAnsi="Times New Roman" w:eastAsia="仿宋_GB2312" w:cs="Times New Roman"/>
          <w:sz w:val="32"/>
          <w:szCs w:val="32"/>
          <w:lang w:val="en-US" w:eastAsia="zh-CN"/>
        </w:rPr>
        <w:t>体效益指标及满意度指标完成情况如下：</w:t>
      </w:r>
    </w:p>
    <w:p w14:paraId="2C7071D7">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241306E7">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16EEF7C2">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：改善辖区设施等基础配套，</w:t>
      </w:r>
      <w:r>
        <w:rPr>
          <w:rFonts w:hint="default" w:ascii="Times New Roman" w:hAnsi="Times New Roman" w:eastAsia="仿宋_GB2312" w:cs="Times New Roman"/>
          <w:sz w:val="32"/>
          <w:szCs w:val="32"/>
          <w:highlight w:val="none"/>
          <w:lang w:val="en-US" w:eastAsia="zh-CN"/>
        </w:rPr>
        <w:t>指标值：</w:t>
      </w:r>
      <w:r>
        <w:rPr>
          <w:rFonts w:hint="default" w:ascii="Times New Roman" w:hAnsi="Times New Roman" w:eastAsia="仿宋_GB2312" w:cs="Times New Roman"/>
          <w:sz w:val="32"/>
          <w:szCs w:val="32"/>
          <w:highlight w:val="none"/>
        </w:rPr>
        <w:t>有效改善，</w:t>
      </w:r>
      <w:r>
        <w:rPr>
          <w:rFonts w:hint="default" w:ascii="Times New Roman" w:hAnsi="Times New Roman" w:eastAsia="仿宋_GB2312" w:cs="Times New Roman"/>
          <w:sz w:val="32"/>
          <w:szCs w:val="32"/>
          <w:highlight w:val="none"/>
          <w:lang w:val="en-US" w:eastAsia="zh-CN"/>
        </w:rPr>
        <w:t>实际完成值：</w:t>
      </w:r>
      <w:r>
        <w:rPr>
          <w:rFonts w:hint="default" w:ascii="Times New Roman" w:hAnsi="Times New Roman" w:eastAsia="仿宋_GB2312" w:cs="Times New Roman"/>
          <w:sz w:val="32"/>
          <w:szCs w:val="32"/>
          <w:highlight w:val="none"/>
        </w:rPr>
        <w:t>有效改善</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具体成果：关停选矿厂后，</w:t>
      </w:r>
      <w:r>
        <w:rPr>
          <w:rFonts w:hint="eastAsia" w:eastAsia="仿宋_GB2312" w:cs="Times New Roman"/>
          <w:sz w:val="32"/>
          <w:szCs w:val="32"/>
          <w:highlight w:val="none"/>
          <w:lang w:val="en-US" w:eastAsia="zh-CN"/>
        </w:rPr>
        <w:t>对</w:t>
      </w:r>
      <w:r>
        <w:rPr>
          <w:rFonts w:hint="default" w:ascii="Times New Roman" w:hAnsi="Times New Roman" w:eastAsia="仿宋_GB2312" w:cs="Times New Roman"/>
          <w:sz w:val="32"/>
          <w:szCs w:val="32"/>
          <w:highlight w:val="none"/>
        </w:rPr>
        <w:t>周边道路修缮，提升</w:t>
      </w:r>
      <w:r>
        <w:rPr>
          <w:rFonts w:hint="eastAsia" w:eastAsia="仿宋_GB2312" w:cs="Times New Roman"/>
          <w:sz w:val="32"/>
          <w:szCs w:val="32"/>
          <w:highlight w:val="none"/>
          <w:lang w:val="en-US" w:eastAsia="zh-CN"/>
        </w:rPr>
        <w:t>了</w:t>
      </w:r>
      <w:r>
        <w:rPr>
          <w:rFonts w:hint="default" w:ascii="Times New Roman" w:hAnsi="Times New Roman" w:eastAsia="仿宋_GB2312" w:cs="Times New Roman"/>
          <w:sz w:val="32"/>
          <w:szCs w:val="32"/>
          <w:highlight w:val="none"/>
        </w:rPr>
        <w:t>区域生产生活条件。</w:t>
      </w:r>
    </w:p>
    <w:p w14:paraId="7AE7C806">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②生态效益指标</w:t>
      </w:r>
      <w:r>
        <w:rPr>
          <w:rFonts w:hint="eastAsia" w:eastAsia="仿宋_GB2312" w:cs="Times New Roman"/>
          <w:sz w:val="32"/>
          <w:szCs w:val="32"/>
          <w:highlight w:val="none"/>
          <w:lang w:val="en-US" w:eastAsia="zh-CN"/>
        </w:rPr>
        <w:t>：</w:t>
      </w:r>
    </w:p>
    <w:p w14:paraId="7541675B">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：优化辖区生态环境，指标值：显著优化</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实际完成值：显著优化</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具体成果：关停选矿厂后，清理场地废渣，种植耐旱植被，植被覆盖率提升。</w:t>
      </w:r>
    </w:p>
    <w:p w14:paraId="7CC00B02">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7AEC1951">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：受补偿对象满意度，指标值：≥95%，实际完成值：100%，</w:t>
      </w:r>
      <w:r>
        <w:rPr>
          <w:rFonts w:hint="eastAsia" w:eastAsia="仿宋_GB2312" w:cs="Times New Roman"/>
          <w:sz w:val="32"/>
          <w:szCs w:val="32"/>
          <w:highlight w:val="none"/>
          <w:lang w:val="en-US" w:eastAsia="zh-CN"/>
        </w:rPr>
        <w:t>完成率105%，偏差原因：因资金足额到位，支付及时，</w:t>
      </w:r>
      <w:r>
        <w:rPr>
          <w:rFonts w:hint="default" w:ascii="Times New Roman" w:hAnsi="Times New Roman" w:eastAsia="仿宋_GB2312" w:cs="Times New Roman"/>
          <w:sz w:val="32"/>
          <w:szCs w:val="32"/>
          <w:highlight w:val="none"/>
          <w:lang w:val="en-US" w:eastAsia="zh-CN"/>
        </w:rPr>
        <w:t>企业反馈“补偿标准合理、流程透明、资金到位及时”，满意度达满分。</w:t>
      </w:r>
    </w:p>
    <w:p w14:paraId="4E8E84AD">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14:paraId="57CD9149">
      <w:pPr>
        <w:pStyle w:val="20"/>
        <w:spacing w:line="560" w:lineRule="exact"/>
        <w:ind w:firstLine="640"/>
        <w:rPr>
          <w:rFonts w:hint="eastAsia" w:ascii="Times New Roman" w:hAnsi="Times New Roman" w:eastAsia="方正仿宋_GBK" w:cs="Times New Roman"/>
          <w:sz w:val="32"/>
          <w:szCs w:val="32"/>
          <w:highlight w:val="none"/>
          <w:lang w:val="en-US" w:eastAsia="zh-CN"/>
        </w:rPr>
      </w:pPr>
      <w:r>
        <w:rPr>
          <w:rFonts w:hint="default" w:ascii="Times New Roman" w:hAnsi="Times New Roman" w:eastAsia="方正仿宋_GBK" w:cs="Times New Roman"/>
          <w:sz w:val="32"/>
          <w:szCs w:val="32"/>
          <w:highlight w:val="none"/>
          <w:lang w:val="en-US" w:eastAsia="zh-CN"/>
        </w:rPr>
        <w:t>收回伊犁汇通矿业发展有限公司特克斯县青布拉克铜镍矿补偿款项目年初预算</w:t>
      </w:r>
      <w:r>
        <w:rPr>
          <w:rFonts w:hint="eastAsia" w:ascii="Times New Roman" w:hAnsi="Times New Roman" w:eastAsia="方正仿宋_GBK" w:cs="Times New Roman"/>
          <w:sz w:val="32"/>
          <w:szCs w:val="32"/>
          <w:highlight w:val="none"/>
          <w:lang w:val="en-US" w:eastAsia="zh-CN"/>
        </w:rPr>
        <w:t>849.87</w:t>
      </w:r>
      <w:r>
        <w:rPr>
          <w:rFonts w:hint="default" w:ascii="Times New Roman" w:hAnsi="Times New Roman" w:eastAsia="方正仿宋_GBK" w:cs="Times New Roman"/>
          <w:sz w:val="32"/>
          <w:szCs w:val="32"/>
          <w:highlight w:val="none"/>
          <w:lang w:val="en-US" w:eastAsia="zh-CN"/>
        </w:rPr>
        <w:t>万元，全年预算</w:t>
      </w:r>
      <w:r>
        <w:rPr>
          <w:rFonts w:hint="eastAsia" w:ascii="Times New Roman" w:hAnsi="Times New Roman" w:eastAsia="方正仿宋_GBK" w:cs="Times New Roman"/>
          <w:sz w:val="32"/>
          <w:szCs w:val="32"/>
          <w:highlight w:val="none"/>
          <w:lang w:val="en-US" w:eastAsia="zh-CN"/>
        </w:rPr>
        <w:t>849.87</w:t>
      </w:r>
      <w:r>
        <w:rPr>
          <w:rFonts w:hint="default" w:ascii="Times New Roman" w:hAnsi="Times New Roman" w:eastAsia="方正仿宋_GBK" w:cs="Times New Roman"/>
          <w:sz w:val="32"/>
          <w:szCs w:val="32"/>
          <w:highlight w:val="none"/>
          <w:lang w:val="en-US" w:eastAsia="zh-CN"/>
        </w:rPr>
        <w:t>万元，实际支出</w:t>
      </w:r>
      <w:r>
        <w:rPr>
          <w:rFonts w:hint="eastAsia" w:ascii="Times New Roman" w:hAnsi="Times New Roman" w:eastAsia="方正仿宋_GBK" w:cs="Times New Roman"/>
          <w:sz w:val="32"/>
          <w:szCs w:val="32"/>
          <w:highlight w:val="none"/>
          <w:lang w:val="en-US" w:eastAsia="zh-CN"/>
        </w:rPr>
        <w:t>849.87</w:t>
      </w:r>
      <w:r>
        <w:rPr>
          <w:rFonts w:hint="default" w:ascii="Times New Roman" w:hAnsi="Times New Roman" w:eastAsia="方正仿宋_GBK" w:cs="Times New Roman"/>
          <w:sz w:val="32"/>
          <w:szCs w:val="32"/>
          <w:highlight w:val="none"/>
          <w:lang w:val="en-US" w:eastAsia="zh-CN"/>
        </w:rPr>
        <w:t>万元，预算执行率为</w:t>
      </w:r>
      <w:r>
        <w:rPr>
          <w:rFonts w:hint="eastAsia" w:ascii="Times New Roman" w:hAnsi="Times New Roman"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lang w:val="en-US" w:eastAsia="zh-CN"/>
        </w:rPr>
        <w:t>%，项目绩效指标总体完成率为</w:t>
      </w:r>
      <w:r>
        <w:rPr>
          <w:rFonts w:hint="eastAsia" w:ascii="Times New Roman" w:hAnsi="Times New Roman" w:eastAsia="方正仿宋_GBK" w:cs="Times New Roman"/>
          <w:sz w:val="32"/>
          <w:szCs w:val="32"/>
          <w:highlight w:val="none"/>
          <w:lang w:val="en-US" w:eastAsia="zh-CN"/>
        </w:rPr>
        <w:t>102</w:t>
      </w:r>
      <w:r>
        <w:rPr>
          <w:rFonts w:hint="default" w:ascii="Times New Roman" w:hAnsi="Times New Roman" w:eastAsia="方正仿宋_GBK" w:cs="Times New Roman"/>
          <w:sz w:val="32"/>
          <w:szCs w:val="32"/>
          <w:highlight w:val="none"/>
          <w:lang w:val="en-US" w:eastAsia="zh-CN"/>
        </w:rPr>
        <w:t>%，</w:t>
      </w:r>
      <w:r>
        <w:rPr>
          <w:rFonts w:hint="default" w:ascii="Times New Roman" w:hAnsi="Times New Roman" w:eastAsia="方正仿宋_GBK" w:cs="Times New Roman"/>
          <w:sz w:val="32"/>
          <w:szCs w:val="32"/>
          <w:highlight w:val="none"/>
          <w:lang w:val="en-US" w:eastAsia="zh-Hans"/>
        </w:rPr>
        <w:t>总体</w:t>
      </w:r>
      <w:r>
        <w:rPr>
          <w:rFonts w:hint="default" w:ascii="Times New Roman" w:hAnsi="Times New Roman" w:eastAsia="方正仿宋_GBK" w:cs="Times New Roman"/>
          <w:sz w:val="32"/>
          <w:szCs w:val="32"/>
          <w:highlight w:val="none"/>
          <w:lang w:val="en-US" w:eastAsia="zh-CN"/>
        </w:rPr>
        <w:t>偏差率为</w:t>
      </w:r>
      <w:r>
        <w:rPr>
          <w:rFonts w:hint="eastAsia" w:ascii="Times New Roman" w:hAnsi="Times New Roman" w:eastAsia="方正仿宋_GBK" w:cs="Times New Roman"/>
          <w:sz w:val="32"/>
          <w:szCs w:val="32"/>
          <w:highlight w:val="none"/>
          <w:lang w:val="en-US" w:eastAsia="zh-CN"/>
        </w:rPr>
        <w:t>2</w:t>
      </w:r>
      <w:r>
        <w:rPr>
          <w:rFonts w:hint="default" w:ascii="Times New Roman" w:hAnsi="Times New Roman" w:eastAsia="方正仿宋_GBK" w:cs="Times New Roman"/>
          <w:sz w:val="32"/>
          <w:szCs w:val="32"/>
          <w:highlight w:val="none"/>
          <w:lang w:val="en-US" w:eastAsia="zh-CN"/>
        </w:rPr>
        <w:t>%</w:t>
      </w:r>
      <w:r>
        <w:rPr>
          <w:rFonts w:hint="eastAsia" w:ascii="Times New Roman" w:hAnsi="Times New Roman" w:eastAsia="方正仿宋_GBK" w:cs="Times New Roman"/>
          <w:sz w:val="32"/>
          <w:szCs w:val="32"/>
          <w:highlight w:val="none"/>
          <w:lang w:val="en-US" w:eastAsia="zh-CN"/>
        </w:rPr>
        <w:t>，偏差原因：满意度指标实际完成值（100%）超出年度指标值（≥95%），且质量、时效、成本指标完成率均优于预期（如补偿资金支付完成率、发放及时率、预算控制率均达100%），综合拉高了绩效指标总体完成率。改进措施：</w:t>
      </w:r>
      <w:r>
        <w:rPr>
          <w:rFonts w:hint="default" w:ascii="Times New Roman" w:hAnsi="Times New Roman" w:eastAsia="方正仿宋_GBK" w:cs="Times New Roman"/>
          <w:sz w:val="32"/>
          <w:szCs w:val="32"/>
          <w:highlight w:val="none"/>
          <w:lang w:val="en-US" w:eastAsia="zh-CN"/>
        </w:rPr>
        <w:t>后续项目设置绩效指标时，结合历史数据与实际情况，合理设定弹性区间，在确保指标科学性的同时，预留持续改进空间，推动项目绩效稳健提升</w:t>
      </w:r>
      <w:r>
        <w:rPr>
          <w:rFonts w:hint="eastAsia" w:ascii="Times New Roman" w:hAnsi="Times New Roman" w:eastAsia="方正仿宋_GBK" w:cs="Times New Roman"/>
          <w:sz w:val="32"/>
          <w:szCs w:val="32"/>
          <w:highlight w:val="none"/>
          <w:lang w:val="en-US" w:eastAsia="zh-CN"/>
        </w:rPr>
        <w:t>。</w:t>
      </w:r>
    </w:p>
    <w:p w14:paraId="5DED8768">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5F9FADCA">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12855639">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全流程精细化管理与多部门协同监督</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项目实施前通过专业评估明确补偿标准，实施中严格按“评估—协商—签约—支付—验收”流程推进，每个环节设定明确时限。政府、财政、生态环境部门全程参与，建立“事前审核补偿方案、事中监控资金流向、事后验收生态修复”的监管链，确保资金安全和工作合规性。例如，财政部门提前介入预算编制，生态环境部门同步指导关停场地的生态修复方案制定。</w:t>
      </w:r>
    </w:p>
    <w:p w14:paraId="02E63F42">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2、主动沟通与满意度提升。</w:t>
      </w:r>
      <w:r>
        <w:rPr>
          <w:rFonts w:hint="default" w:ascii="Times New Roman" w:hAnsi="Times New Roman" w:eastAsia="仿宋_GB2312" w:cs="Times New Roman"/>
          <w:sz w:val="32"/>
          <w:szCs w:val="32"/>
          <w:highlight w:val="none"/>
          <w:lang w:val="en-US" w:eastAsia="zh-CN"/>
        </w:rPr>
        <w:t>与受补偿企业开展协商谈判，充分听取其对补偿标准、支付节点的诉求，最终达成一致并签订书面协议。支付完成后，通过面对面访谈收集企业反馈，针对“流程透明度”“资金到位及时性”等关键点优化服务，推动受偿方满意度从预期的≥95%提升至100%。</w:t>
      </w:r>
    </w:p>
    <w:p w14:paraId="46599967">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3B4663BB">
      <w:pPr>
        <w:numPr>
          <w:ilvl w:val="0"/>
          <w:numId w:val="6"/>
        </w:num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绩效指标设定的科学性不足</w:t>
      </w:r>
      <w:r>
        <w:rPr>
          <w:rFonts w:hint="eastAsia" w:eastAsia="仿宋_GB2312" w:cs="Times New Roman"/>
          <w:sz w:val="32"/>
          <w:szCs w:val="32"/>
          <w:highlight w:val="none"/>
          <w:lang w:val="en-US" w:eastAsia="zh-CN"/>
        </w:rPr>
        <w:t>，质量、时效、成本指标（如补偿资金支付完成率、发放及时率）设定为“≥95%”，但实际完成值均达100%，反映出指标门槛偏低，未充分体现项目实施潜力。</w:t>
      </w:r>
    </w:p>
    <w:p w14:paraId="16E1F37C">
      <w:pPr>
        <w:numPr>
          <w:ilvl w:val="0"/>
          <w:numId w:val="6"/>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生态效益长期跟踪机制缺失</w:t>
      </w:r>
      <w:r>
        <w:rPr>
          <w:rFonts w:hint="eastAsia" w:eastAsia="仿宋_GB2312" w:cs="Times New Roman"/>
          <w:sz w:val="32"/>
          <w:szCs w:val="32"/>
          <w:highlight w:val="none"/>
          <w:lang w:val="en-US" w:eastAsia="zh-CN"/>
        </w:rPr>
        <w:t>，关停场地虽已完成废渣清理和植被种植，但未制定后续3-5年的生态监测计划，难以评估生态修复的持续效果。</w:t>
      </w:r>
    </w:p>
    <w:p w14:paraId="581D1A14">
      <w:pPr>
        <w:numPr>
          <w:ilvl w:val="0"/>
          <w:numId w:val="7"/>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有关建议</w:t>
      </w:r>
    </w:p>
    <w:p w14:paraId="2DEBB56B">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、优化绩效指标设定，增强目标合理性与挑战性。</w:t>
      </w:r>
    </w:p>
    <w:p w14:paraId="342C1E2A">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科学调整指标门槛：结合项目实际执行能力与历史数据，将质量、时效、成本类指标（如补偿资金支付完成率、发放及时率）的目标值从“≥95%”提升至“≥98%”，并新增“资金使用准确率”“流程合规率”等细化指标（目标值100%），避免指标设定过于宽松，充分体现项目实施潜力。</w:t>
      </w:r>
    </w:p>
    <w:p w14:paraId="5E3DE754">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建立动态调整机制：每年绩效评价结束后，根据指标完成情况及行业标准，修订下一年度绩效目标，确保指标既具有可实现性，又能引导项目管理水平提升。</w:t>
      </w:r>
    </w:p>
    <w:p w14:paraId="09F111F7">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2.完善生态效益长期跟踪机制，确保修复效果可持续</w:t>
      </w:r>
    </w:p>
    <w:p w14:paraId="76D336EC">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制定系统化监测方案：联合生态环境部门、专业机构编制《生态修复长效监测计划》，明确监测周期、监测指标（植被覆盖率、土壤质量、生物多样性等）及责任主体，将监测结果纳入项目后续管理考核。</w:t>
      </w:r>
    </w:p>
    <w:p w14:paraId="2BCD44B0">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强化资金与责任保障：从项目预算或生态保护专项资金中预留监测经费，确保后续评估工作落地；建立“自然资源局统筹+第三方机构实施+生态部门监督”的协同机制，避免出现“修复完成、监管缺位”的情况。</w:t>
      </w:r>
    </w:p>
    <w:p w14:paraId="3AB05DC2">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078F1386">
      <w:pPr>
        <w:pStyle w:val="14"/>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14:paraId="20599BD6">
      <w:pPr>
        <w:pStyle w:val="14"/>
        <w:spacing w:after="0" w:line="560" w:lineRule="exact"/>
        <w:ind w:left="0" w:leftChars="0" w:firstLine="640"/>
        <w:rPr>
          <w:rFonts w:hint="eastAsia" w:ascii="Times New Roman" w:hAnsi="Times New Roman" w:eastAsia="仿宋_GB2312" w:cs="Times New Roman"/>
          <w:sz w:val="32"/>
          <w:szCs w:val="32"/>
          <w:lang w:eastAsia="zh-CN"/>
        </w:rPr>
      </w:pPr>
    </w:p>
    <w:p w14:paraId="168A380C">
      <w:pPr>
        <w:pStyle w:val="14"/>
        <w:spacing w:after="0" w:line="560" w:lineRule="exact"/>
        <w:ind w:left="0" w:leftChars="0" w:firstLine="640"/>
        <w:rPr>
          <w:rFonts w:hint="default" w:ascii="Times New Roman" w:hAnsi="Times New Roman" w:eastAsia="仿宋_GB2312" w:cs="Times New Roman"/>
          <w:sz w:val="32"/>
          <w:szCs w:val="32"/>
        </w:rPr>
      </w:pPr>
    </w:p>
    <w:p w14:paraId="5AF7B446">
      <w:pPr>
        <w:pStyle w:val="14"/>
        <w:spacing w:after="0" w:line="560" w:lineRule="exact"/>
        <w:ind w:left="0" w:leftChars="0" w:firstLine="0" w:firstLineChars="0"/>
        <w:rPr>
          <w:rFonts w:hint="default" w:ascii="Times New Roman" w:hAnsi="Times New Roman" w:eastAsia="仿宋_GB2312" w:cs="Times New Roman"/>
          <w:sz w:val="32"/>
          <w:szCs w:val="32"/>
        </w:rPr>
      </w:pPr>
    </w:p>
    <w:p w14:paraId="573D47C3">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14:paraId="3B939547">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14:paraId="4F6B37B4">
      <w:pPr>
        <w:pStyle w:val="20"/>
        <w:ind w:firstLine="562"/>
        <w:jc w:val="center"/>
        <w:rPr>
          <w:rFonts w:hint="eastAsia" w:ascii="仿宋_GB2312" w:hAnsi="仿宋_GB2312" w:eastAsia="仿宋_GB2312" w:cs="仿宋_GB2312"/>
          <w:sz w:val="28"/>
          <w:szCs w:val="40"/>
        </w:rPr>
      </w:pPr>
      <w:bookmarkStart w:id="1" w:name="_Toc26499_WPSOffice_Level2"/>
      <w:bookmarkStart w:id="2" w:name="_Toc30064_WPSOffice_Level1"/>
      <w:r>
        <w:rPr>
          <w:rFonts w:hint="eastAsia" w:ascii="仿宋_GB2312" w:hAnsi="仿宋_GB2312" w:eastAsia="仿宋_GB2312" w:cs="仿宋_GB2312"/>
          <w:b/>
          <w:bCs/>
          <w:sz w:val="28"/>
          <w:szCs w:val="40"/>
          <w:highlight w:val="none"/>
          <w:lang w:val="en-US" w:eastAsia="zh-CN"/>
        </w:rPr>
        <w:t>收回伊犁汇通矿业发展有限公司特克斯县青布拉克铜镍矿补偿款</w:t>
      </w:r>
      <w:r>
        <w:rPr>
          <w:rFonts w:hint="eastAsia" w:ascii="仿宋_GB2312" w:hAnsi="仿宋_GB2312" w:eastAsia="仿宋_GB2312" w:cs="仿宋_GB2312"/>
          <w:b/>
          <w:bCs/>
          <w:sz w:val="28"/>
          <w:szCs w:val="40"/>
          <w:highlight w:val="none"/>
        </w:rPr>
        <w:t>项目绩效</w:t>
      </w:r>
      <w:r>
        <w:rPr>
          <w:rFonts w:hint="eastAsia" w:ascii="仿宋_GB2312" w:hAnsi="仿宋_GB2312" w:eastAsia="仿宋_GB2312" w:cs="仿宋_GB2312"/>
          <w:b/>
          <w:bCs/>
          <w:sz w:val="28"/>
          <w:szCs w:val="40"/>
        </w:rPr>
        <w:t>评价指标体系及综合评分表</w:t>
      </w:r>
      <w:bookmarkEnd w:id="1"/>
      <w:bookmarkEnd w:id="2"/>
    </w:p>
    <w:tbl>
      <w:tblPr>
        <w:tblStyle w:val="15"/>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14:paraId="4F107E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14:paraId="61AA652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14:paraId="3CCC7E8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14:paraId="5EABFBA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14:paraId="5175A39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14:paraId="130905C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14:paraId="4394327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14:paraId="4767584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14:paraId="507B52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14:paraId="30DD2841">
            <w:pPr>
              <w:widowControl/>
              <w:spacing w:line="0" w:lineRule="atLeast"/>
              <w:jc w:val="center"/>
              <w:rPr>
                <w:rFonts w:hint="default" w:ascii="Times New Roman" w:hAnsi="Times New Roman" w:eastAsia="仿宋_GB2312" w:cs="Times New Roman"/>
                <w:color w:val="000000"/>
                <w:kern w:val="0"/>
                <w:sz w:val="18"/>
                <w:szCs w:val="18"/>
              </w:rPr>
            </w:pPr>
          </w:p>
          <w:p w14:paraId="5C999CB4">
            <w:pPr>
              <w:widowControl/>
              <w:spacing w:line="0" w:lineRule="atLeast"/>
              <w:jc w:val="center"/>
              <w:rPr>
                <w:rFonts w:hint="default" w:ascii="Times New Roman" w:hAnsi="Times New Roman" w:eastAsia="仿宋_GB2312" w:cs="Times New Roman"/>
                <w:color w:val="000000"/>
                <w:kern w:val="0"/>
                <w:sz w:val="18"/>
                <w:szCs w:val="18"/>
              </w:rPr>
            </w:pPr>
          </w:p>
          <w:p w14:paraId="5F6B9081">
            <w:pPr>
              <w:widowControl/>
              <w:spacing w:line="0" w:lineRule="atLeast"/>
              <w:jc w:val="center"/>
              <w:rPr>
                <w:rFonts w:hint="default" w:ascii="Times New Roman" w:hAnsi="Times New Roman" w:eastAsia="仿宋_GB2312" w:cs="Times New Roman"/>
                <w:color w:val="000000"/>
                <w:kern w:val="0"/>
                <w:sz w:val="18"/>
                <w:szCs w:val="18"/>
              </w:rPr>
            </w:pPr>
          </w:p>
          <w:p w14:paraId="2928D8E8">
            <w:pPr>
              <w:widowControl/>
              <w:spacing w:line="0" w:lineRule="atLeast"/>
              <w:jc w:val="center"/>
              <w:rPr>
                <w:rFonts w:hint="default" w:ascii="Times New Roman" w:hAnsi="Times New Roman" w:eastAsia="仿宋_GB2312" w:cs="Times New Roman"/>
                <w:color w:val="000000"/>
                <w:kern w:val="0"/>
                <w:sz w:val="18"/>
                <w:szCs w:val="18"/>
              </w:rPr>
            </w:pPr>
          </w:p>
          <w:p w14:paraId="5B7A878C">
            <w:pPr>
              <w:widowControl/>
              <w:spacing w:line="0" w:lineRule="atLeast"/>
              <w:jc w:val="center"/>
              <w:rPr>
                <w:rFonts w:hint="default" w:ascii="Times New Roman" w:hAnsi="Times New Roman" w:eastAsia="仿宋_GB2312" w:cs="Times New Roman"/>
                <w:color w:val="000000"/>
                <w:kern w:val="0"/>
                <w:sz w:val="18"/>
                <w:szCs w:val="18"/>
              </w:rPr>
            </w:pPr>
          </w:p>
          <w:p w14:paraId="785F3821">
            <w:pPr>
              <w:widowControl/>
              <w:spacing w:line="0" w:lineRule="atLeast"/>
              <w:jc w:val="center"/>
              <w:rPr>
                <w:rFonts w:hint="default" w:ascii="Times New Roman" w:hAnsi="Times New Roman" w:eastAsia="仿宋_GB2312" w:cs="Times New Roman"/>
                <w:color w:val="000000"/>
                <w:kern w:val="0"/>
                <w:sz w:val="18"/>
                <w:szCs w:val="18"/>
              </w:rPr>
            </w:pPr>
          </w:p>
          <w:p w14:paraId="59E640C7">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14:paraId="2D23D20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14:paraId="2B8C228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14:paraId="7ECB52F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14:paraId="6F22700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14:paraId="7CA15DF2">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2" w:type="pct"/>
            <w:shd w:val="clear" w:color="auto" w:fill="FFFFFF"/>
            <w:vAlign w:val="center"/>
          </w:tcPr>
          <w:p w14:paraId="5BD2F43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14:paraId="10DEA741">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3</w:t>
            </w:r>
          </w:p>
        </w:tc>
      </w:tr>
      <w:tr w14:paraId="2EDD13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14:paraId="6DAC2A7E">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751F725A">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3969873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14:paraId="5D3E465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14:paraId="7724E69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5" w:type="pct"/>
            <w:shd w:val="clear" w:color="auto" w:fill="FFFFFF"/>
            <w:vAlign w:val="center"/>
          </w:tcPr>
          <w:p w14:paraId="53E8B962">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2" w:type="pct"/>
            <w:shd w:val="clear" w:color="auto" w:fill="FFFFFF"/>
            <w:vAlign w:val="center"/>
          </w:tcPr>
          <w:p w14:paraId="7241452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14:paraId="46BCF098">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3</w:t>
            </w:r>
          </w:p>
        </w:tc>
      </w:tr>
      <w:tr w14:paraId="73B3B7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14:paraId="1ACA9E2A">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14:paraId="75FA35D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14:paraId="5F69D0F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14:paraId="25AD37D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14:paraId="123B668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14:paraId="73286597">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14:paraId="57C3E388">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2" w:type="pct"/>
            <w:shd w:val="clear" w:color="000000" w:fill="FFFFFF"/>
            <w:vAlign w:val="center"/>
          </w:tcPr>
          <w:p w14:paraId="1B7DE25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14:paraId="170418A3">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eastAsia" w:eastAsia="仿宋_GB2312" w:cs="Times New Roman"/>
                <w:b/>
                <w:bCs/>
                <w:color w:val="auto"/>
                <w:kern w:val="0"/>
                <w:sz w:val="18"/>
                <w:szCs w:val="18"/>
                <w:highlight w:val="none"/>
                <w:lang w:val="en-US" w:eastAsia="zh-CN"/>
              </w:rPr>
              <w:t>3</w:t>
            </w:r>
          </w:p>
        </w:tc>
      </w:tr>
      <w:tr w14:paraId="1FED1F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14:paraId="2ED24D4D">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61109314">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4EECA30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14:paraId="5BD192D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14:paraId="791318B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14:paraId="56DCA36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512" w:type="pct"/>
            <w:shd w:val="clear" w:color="000000" w:fill="FFFFFF"/>
            <w:vAlign w:val="center"/>
          </w:tcPr>
          <w:p w14:paraId="1FF2814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14:paraId="51C95082">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14:paraId="43B068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14:paraId="1D1B8680">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14:paraId="785CDAD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14:paraId="01B842D7">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14:paraId="38345BA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14:paraId="523FA00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14:paraId="21B04E7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14:paraId="3349F0B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2" w:type="pct"/>
            <w:shd w:val="clear" w:color="auto" w:fill="FFFFFF"/>
            <w:vAlign w:val="center"/>
          </w:tcPr>
          <w:p w14:paraId="53DE22F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14:paraId="667F1ABA">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450C7C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14:paraId="20E93017">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138AC310">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6566EAE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14:paraId="154FEC3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14:paraId="7C209FC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14:paraId="7C3BF0D9">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2" w:type="pct"/>
            <w:shd w:val="clear" w:color="auto" w:fill="FFFFFF"/>
            <w:vAlign w:val="center"/>
          </w:tcPr>
          <w:p w14:paraId="352AC61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14:paraId="631E537E">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1B6532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14:paraId="5086FA89">
            <w:pPr>
              <w:spacing w:line="0" w:lineRule="atLeast"/>
              <w:jc w:val="center"/>
              <w:rPr>
                <w:rFonts w:hint="default" w:ascii="Times New Roman" w:hAnsi="Times New Roman" w:eastAsia="仿宋_GB2312" w:cs="Times New Roman"/>
                <w:color w:val="000000"/>
                <w:kern w:val="0"/>
                <w:sz w:val="18"/>
                <w:szCs w:val="18"/>
              </w:rPr>
            </w:pPr>
          </w:p>
          <w:p w14:paraId="0EFFCD01">
            <w:pPr>
              <w:spacing w:line="0" w:lineRule="atLeast"/>
              <w:jc w:val="center"/>
              <w:rPr>
                <w:rFonts w:hint="default" w:ascii="Times New Roman" w:hAnsi="Times New Roman" w:eastAsia="仿宋_GB2312" w:cs="Times New Roman"/>
                <w:color w:val="000000"/>
                <w:kern w:val="0"/>
                <w:sz w:val="18"/>
                <w:szCs w:val="18"/>
              </w:rPr>
            </w:pPr>
          </w:p>
          <w:p w14:paraId="351B0E10">
            <w:pPr>
              <w:spacing w:line="0" w:lineRule="atLeast"/>
              <w:jc w:val="center"/>
              <w:rPr>
                <w:rFonts w:hint="default" w:ascii="Times New Roman" w:hAnsi="Times New Roman" w:eastAsia="仿宋_GB2312" w:cs="Times New Roman"/>
                <w:color w:val="000000"/>
                <w:kern w:val="0"/>
                <w:sz w:val="18"/>
                <w:szCs w:val="18"/>
              </w:rPr>
            </w:pPr>
          </w:p>
          <w:p w14:paraId="5CE21D6B">
            <w:pPr>
              <w:spacing w:line="0" w:lineRule="atLeast"/>
              <w:jc w:val="center"/>
              <w:rPr>
                <w:rFonts w:hint="default" w:ascii="Times New Roman" w:hAnsi="Times New Roman" w:eastAsia="仿宋_GB2312" w:cs="Times New Roman"/>
                <w:color w:val="000000"/>
                <w:kern w:val="0"/>
                <w:sz w:val="18"/>
                <w:szCs w:val="18"/>
              </w:rPr>
            </w:pPr>
          </w:p>
          <w:p w14:paraId="12D7E55D">
            <w:pPr>
              <w:spacing w:line="0" w:lineRule="atLeast"/>
              <w:jc w:val="center"/>
              <w:rPr>
                <w:rFonts w:hint="default" w:ascii="Times New Roman" w:hAnsi="Times New Roman" w:eastAsia="仿宋_GB2312" w:cs="Times New Roman"/>
                <w:color w:val="000000"/>
                <w:kern w:val="0"/>
                <w:sz w:val="18"/>
                <w:szCs w:val="18"/>
              </w:rPr>
            </w:pPr>
          </w:p>
          <w:p w14:paraId="696A75A9">
            <w:pPr>
              <w:spacing w:line="0" w:lineRule="atLeast"/>
              <w:jc w:val="center"/>
              <w:rPr>
                <w:rFonts w:hint="default" w:ascii="Times New Roman" w:hAnsi="Times New Roman" w:eastAsia="仿宋_GB2312" w:cs="Times New Roman"/>
                <w:color w:val="000000"/>
                <w:kern w:val="0"/>
                <w:sz w:val="18"/>
                <w:szCs w:val="18"/>
              </w:rPr>
            </w:pPr>
          </w:p>
          <w:p w14:paraId="3E92393A">
            <w:pPr>
              <w:spacing w:line="0" w:lineRule="atLeast"/>
              <w:jc w:val="center"/>
              <w:rPr>
                <w:rFonts w:hint="default" w:ascii="Times New Roman" w:hAnsi="Times New Roman" w:eastAsia="仿宋_GB2312" w:cs="Times New Roman"/>
                <w:color w:val="000000"/>
                <w:kern w:val="0"/>
                <w:sz w:val="18"/>
                <w:szCs w:val="18"/>
              </w:rPr>
            </w:pPr>
          </w:p>
          <w:p w14:paraId="73153ECE">
            <w:pPr>
              <w:spacing w:line="0" w:lineRule="atLeast"/>
              <w:jc w:val="center"/>
              <w:rPr>
                <w:rFonts w:hint="default" w:ascii="Times New Roman" w:hAnsi="Times New Roman" w:eastAsia="仿宋_GB2312" w:cs="Times New Roman"/>
                <w:color w:val="000000"/>
                <w:kern w:val="0"/>
                <w:sz w:val="18"/>
                <w:szCs w:val="18"/>
              </w:rPr>
            </w:pPr>
          </w:p>
          <w:p w14:paraId="715295EE">
            <w:pPr>
              <w:spacing w:line="0" w:lineRule="atLeast"/>
              <w:jc w:val="center"/>
              <w:rPr>
                <w:rFonts w:hint="default" w:ascii="Times New Roman" w:hAnsi="Times New Roman" w:eastAsia="仿宋_GB2312" w:cs="Times New Roman"/>
                <w:color w:val="000000"/>
                <w:kern w:val="0"/>
                <w:sz w:val="18"/>
                <w:szCs w:val="18"/>
              </w:rPr>
            </w:pPr>
          </w:p>
          <w:p w14:paraId="57A1AECE">
            <w:pPr>
              <w:spacing w:line="0" w:lineRule="atLeast"/>
              <w:jc w:val="center"/>
              <w:rPr>
                <w:rFonts w:hint="default" w:ascii="Times New Roman" w:hAnsi="Times New Roman" w:eastAsia="仿宋_GB2312" w:cs="Times New Roman"/>
                <w:color w:val="000000"/>
                <w:kern w:val="0"/>
                <w:sz w:val="18"/>
                <w:szCs w:val="18"/>
              </w:rPr>
            </w:pPr>
          </w:p>
          <w:p w14:paraId="0BC307E9">
            <w:pPr>
              <w:spacing w:line="0" w:lineRule="atLeast"/>
              <w:jc w:val="center"/>
              <w:rPr>
                <w:rFonts w:hint="default" w:ascii="Times New Roman" w:hAnsi="Times New Roman" w:eastAsia="仿宋_GB2312" w:cs="Times New Roman"/>
                <w:color w:val="000000"/>
                <w:kern w:val="0"/>
                <w:sz w:val="18"/>
                <w:szCs w:val="18"/>
              </w:rPr>
            </w:pPr>
          </w:p>
          <w:p w14:paraId="307AE745">
            <w:pPr>
              <w:spacing w:line="0" w:lineRule="atLeast"/>
              <w:jc w:val="center"/>
              <w:rPr>
                <w:rFonts w:hint="default" w:ascii="Times New Roman" w:hAnsi="Times New Roman" w:eastAsia="仿宋_GB2312" w:cs="Times New Roman"/>
                <w:color w:val="000000"/>
                <w:kern w:val="0"/>
                <w:sz w:val="18"/>
                <w:szCs w:val="18"/>
              </w:rPr>
            </w:pPr>
          </w:p>
          <w:p w14:paraId="620C70B1">
            <w:pPr>
              <w:spacing w:line="0" w:lineRule="atLeast"/>
              <w:jc w:val="center"/>
              <w:rPr>
                <w:rFonts w:hint="default" w:ascii="Times New Roman" w:hAnsi="Times New Roman" w:eastAsia="仿宋_GB2312" w:cs="Times New Roman"/>
                <w:color w:val="000000"/>
                <w:kern w:val="0"/>
                <w:sz w:val="18"/>
                <w:szCs w:val="18"/>
              </w:rPr>
            </w:pPr>
          </w:p>
          <w:p w14:paraId="5945B673">
            <w:pPr>
              <w:spacing w:line="0" w:lineRule="atLeast"/>
              <w:jc w:val="center"/>
              <w:rPr>
                <w:rFonts w:hint="default" w:ascii="Times New Roman" w:hAnsi="Times New Roman" w:eastAsia="仿宋_GB2312" w:cs="Times New Roman"/>
                <w:color w:val="000000"/>
                <w:kern w:val="0"/>
                <w:sz w:val="18"/>
                <w:szCs w:val="18"/>
              </w:rPr>
            </w:pPr>
          </w:p>
          <w:p w14:paraId="6AC00744">
            <w:pPr>
              <w:spacing w:line="0" w:lineRule="atLeast"/>
              <w:jc w:val="center"/>
              <w:rPr>
                <w:rFonts w:hint="default" w:ascii="Times New Roman" w:hAnsi="Times New Roman" w:eastAsia="仿宋_GB2312" w:cs="Times New Roman"/>
                <w:color w:val="000000"/>
                <w:kern w:val="0"/>
                <w:sz w:val="18"/>
                <w:szCs w:val="18"/>
              </w:rPr>
            </w:pPr>
          </w:p>
          <w:p w14:paraId="4A359D7C">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14:paraId="6062CAA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14:paraId="7892CED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14:paraId="574EAE1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14:paraId="59E8DB5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14:paraId="0B93489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14:paraId="29283E9B">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14:paraId="7800605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2" w:type="pct"/>
            <w:shd w:val="clear" w:color="000000" w:fill="FFFFFF"/>
            <w:vAlign w:val="center"/>
          </w:tcPr>
          <w:p w14:paraId="3228ACE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7217C38F">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53A456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14:paraId="402EF96D">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2BA5293B">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6D40755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14:paraId="6DF35DE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5" w:type="pct"/>
            <w:shd w:val="clear" w:color="auto" w:fill="FFFFFF"/>
            <w:vAlign w:val="center"/>
          </w:tcPr>
          <w:p w14:paraId="35021E1A">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2" w:type="pct"/>
            <w:shd w:val="clear" w:color="auto" w:fill="FFFFFF"/>
            <w:vAlign w:val="center"/>
          </w:tcPr>
          <w:p w14:paraId="52B8CC4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14:paraId="484B400F">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4B490B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14:paraId="2869390A">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7CC51FF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14:paraId="670AE4C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14:paraId="7975A12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14:paraId="069274A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14:paraId="49620DF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2" w:type="pct"/>
            <w:shd w:val="clear" w:color="000000" w:fill="FFFFFF"/>
            <w:vAlign w:val="center"/>
          </w:tcPr>
          <w:p w14:paraId="0BA0E7B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5E002BFD">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265461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14:paraId="7F0405EC">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14:paraId="50D4377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14:paraId="2C974B31">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14:paraId="085DC7D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14:paraId="103AEC3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14:paraId="412502E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14:paraId="7155D4FB">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2" w:type="pct"/>
            <w:shd w:val="clear" w:color="000000" w:fill="FFFFFF"/>
            <w:vAlign w:val="center"/>
          </w:tcPr>
          <w:p w14:paraId="1746194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44EE3A3D">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7FBD3B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14:paraId="57B7FCD1">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213D0B13">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5A773C7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14:paraId="2979A86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14:paraId="433DAEB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5" w:type="pct"/>
            <w:shd w:val="clear" w:color="000000" w:fill="FFFFFF"/>
            <w:vAlign w:val="center"/>
          </w:tcPr>
          <w:p w14:paraId="100C31E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2" w:type="pct"/>
            <w:shd w:val="clear" w:color="000000" w:fill="FFFFFF"/>
            <w:vAlign w:val="center"/>
          </w:tcPr>
          <w:p w14:paraId="44473D5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60E30355">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2E6475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14:paraId="776E2C5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14:paraId="13C7B96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14:paraId="1792043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14:paraId="1A4BCC2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14:paraId="766B5F2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14:paraId="7A502BD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3205D485">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793EFB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14:paraId="07FF60FF">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6C3B563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14:paraId="6DC841ED">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14:paraId="61CF5FD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14:paraId="5D596361">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14:paraId="7C3CBBD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19C6B3B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76196158">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2B6006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14:paraId="27B1A842">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27A049C5">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14:paraId="5574CF4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14:paraId="3B490CE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14:paraId="31F6D27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2" w:type="pct"/>
            <w:shd w:val="clear" w:color="000000" w:fill="FFFFFF"/>
            <w:vAlign w:val="center"/>
          </w:tcPr>
          <w:p w14:paraId="7CE7449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41DAC46F">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55C1B6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14:paraId="79782184">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6333D6A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14:paraId="617EB94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14:paraId="088B19F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14:paraId="58A313F5">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2" w:type="pct"/>
            <w:shd w:val="clear" w:color="000000" w:fill="FFFFFF"/>
            <w:vAlign w:val="center"/>
          </w:tcPr>
          <w:p w14:paraId="1AA6671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5AA989E3">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2D57DB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14:paraId="407A843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14:paraId="21FCFCD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14:paraId="6E48256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14:paraId="795E0B36">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5" w:type="pct"/>
            <w:shd w:val="clear" w:color="auto" w:fill="FFFFFF"/>
            <w:vAlign w:val="center"/>
          </w:tcPr>
          <w:p w14:paraId="153D9E8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14:paraId="7EAE660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auto" w:fill="FFFFFF"/>
            <w:vAlign w:val="center"/>
          </w:tcPr>
          <w:p w14:paraId="0267F851">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0CDD7A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14:paraId="6122E626">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4981F3CC">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44F2D30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680" w:type="pct"/>
            <w:shd w:val="clear" w:color="000000" w:fill="FFFFFF"/>
            <w:vAlign w:val="center"/>
          </w:tcPr>
          <w:p w14:paraId="47FAA55F">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5" w:type="pct"/>
            <w:shd w:val="clear" w:color="000000" w:fill="FFFFFF"/>
            <w:vAlign w:val="center"/>
          </w:tcPr>
          <w:p w14:paraId="00C88B8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14:paraId="40EDE37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6EF7EC98">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14:paraId="2F8D9986">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14:paraId="32B738EE">
      <w:pPr>
        <w:spacing w:line="600" w:lineRule="exact"/>
        <w:rPr>
          <w:rFonts w:hint="eastAsia" w:eastAsia="黑体" w:cs="Times New Roman"/>
          <w:sz w:val="32"/>
          <w:szCs w:val="32"/>
          <w:lang w:val="en-US" w:eastAsia="zh-CN"/>
        </w:rPr>
      </w:pPr>
      <w:r>
        <w:drawing>
          <wp:anchor distT="0" distB="0" distL="114300" distR="114300" simplePos="0" relativeHeight="251659264" behindDoc="1" locked="0" layoutInCell="1" allowOverlap="1">
            <wp:simplePos x="0" y="0"/>
            <wp:positionH relativeFrom="column">
              <wp:posOffset>33020</wp:posOffset>
            </wp:positionH>
            <wp:positionV relativeFrom="paragraph">
              <wp:posOffset>60960</wp:posOffset>
            </wp:positionV>
            <wp:extent cx="8669020" cy="5539740"/>
            <wp:effectExtent l="0" t="0" r="2540" b="762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8669020" cy="5539740"/>
                    </a:xfrm>
                    <a:prstGeom prst="rect">
                      <a:avLst/>
                    </a:prstGeom>
                    <a:noFill/>
                    <a:ln>
                      <a:noFill/>
                    </a:ln>
                  </pic:spPr>
                </pic:pic>
              </a:graphicData>
            </a:graphic>
          </wp:anchor>
        </w:drawing>
      </w: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14:paraId="22593E3A">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1657D75-AB35-47FE-833C-762BCDD0A5C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A053D011-038A-48E0-B9A1-190CD1590019}"/>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embedRegular r:id="rId3" w:fontKey="{B82C66F4-16C5-427B-ABF1-0AB7E4B2DF6A}"/>
  </w:font>
  <w:font w:name="方正小标宋_GBK">
    <w:panose1 w:val="03000509000000000000"/>
    <w:charset w:val="86"/>
    <w:family w:val="script"/>
    <w:pitch w:val="default"/>
    <w:sig w:usb0="00000001" w:usb1="080E0000" w:usb2="00000000" w:usb3="00000000" w:csb0="00040000" w:csb1="00000000"/>
    <w:embedRegular r:id="rId4" w:fontKey="{1C9DE41E-7769-436C-920F-2A7B3A7C5EC9}"/>
  </w:font>
  <w:font w:name="楷体_GB2312">
    <w:panose1 w:val="02010609030101010101"/>
    <w:charset w:val="86"/>
    <w:family w:val="auto"/>
    <w:pitch w:val="default"/>
    <w:sig w:usb0="00000001" w:usb1="080E0000" w:usb2="00000000" w:usb3="00000000" w:csb0="00040000" w:csb1="00000000"/>
    <w:embedRegular r:id="rId5" w:fontKey="{47D8F207-763C-4A1B-A4DF-FEC059DF82F0}"/>
  </w:font>
  <w:font w:name="方正仿宋_GBK">
    <w:panose1 w:val="02000000000000000000"/>
    <w:charset w:val="86"/>
    <w:family w:val="auto"/>
    <w:pitch w:val="default"/>
    <w:sig w:usb0="A00002BF" w:usb1="38CF7CFA" w:usb2="00082016" w:usb3="00000000" w:csb0="00040001" w:csb1="00000000"/>
    <w:embedRegular r:id="rId6" w:fontKey="{6A0CC4E6-39C8-4989-9B46-7A5C8777AB74}"/>
  </w:font>
  <w:font w:name="楷体">
    <w:panose1 w:val="02010609060101010101"/>
    <w:charset w:val="86"/>
    <w:family w:val="modern"/>
    <w:pitch w:val="default"/>
    <w:sig w:usb0="800002BF" w:usb1="38CF7CFA" w:usb2="00000016" w:usb3="00000000" w:csb0="00040001" w:csb1="00000000"/>
    <w:embedRegular r:id="rId7" w:fontKey="{55D0C455-D54A-4A9B-A0E0-EE249DC8DE1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6E9D485D">
        <w:pPr>
          <w:pStyle w:val="8"/>
          <w:jc w:val="center"/>
        </w:pPr>
        <w:r>
          <w:fldChar w:fldCharType="begin"/>
        </w:r>
        <w:r>
          <w:instrText xml:space="preserve">PAGE   \* MERGEFORMAT</w:instrText>
        </w:r>
        <w:r>
          <w:fldChar w:fldCharType="separate"/>
        </w:r>
        <w:r>
          <w:rPr>
            <w:lang w:val="zh-CN"/>
          </w:rPr>
          <w:t>13</w:t>
        </w:r>
        <w:r>
          <w:fldChar w:fldCharType="end"/>
        </w:r>
      </w:p>
    </w:sdtContent>
  </w:sdt>
  <w:p w14:paraId="049FE444">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EF6285"/>
    <w:multiLevelType w:val="singleLevel"/>
    <w:tmpl w:val="84EF6285"/>
    <w:lvl w:ilvl="0" w:tentative="0">
      <w:start w:val="1"/>
      <w:numFmt w:val="decimal"/>
      <w:lvlText w:val="%1."/>
      <w:lvlJc w:val="left"/>
      <w:pPr>
        <w:tabs>
          <w:tab w:val="left" w:pos="312"/>
        </w:tabs>
      </w:pPr>
    </w:lvl>
  </w:abstractNum>
  <w:abstractNum w:abstractNumId="1">
    <w:nsid w:val="9D1BD4E0"/>
    <w:multiLevelType w:val="singleLevel"/>
    <w:tmpl w:val="9D1BD4E0"/>
    <w:lvl w:ilvl="0" w:tentative="0">
      <w:start w:val="6"/>
      <w:numFmt w:val="chineseCounting"/>
      <w:lvlText w:val="%1."/>
      <w:lvlJc w:val="left"/>
      <w:pPr>
        <w:tabs>
          <w:tab w:val="left" w:pos="312"/>
        </w:tabs>
      </w:pPr>
      <w:rPr>
        <w:rFonts w:hint="eastAsia"/>
      </w:rPr>
    </w:lvl>
  </w:abstractNum>
  <w:abstractNum w:abstractNumId="2">
    <w:nsid w:val="F4CD2B0F"/>
    <w:multiLevelType w:val="singleLevel"/>
    <w:tmpl w:val="F4CD2B0F"/>
    <w:lvl w:ilvl="0" w:tentative="0">
      <w:start w:val="1"/>
      <w:numFmt w:val="decimal"/>
      <w:suff w:val="nothing"/>
      <w:lvlText w:val="（%1）"/>
      <w:lvlJc w:val="left"/>
      <w:pPr>
        <w:ind w:left="-10"/>
      </w:pPr>
    </w:lvl>
  </w:abstractNum>
  <w:abstractNum w:abstractNumId="3">
    <w:nsid w:val="FF9379A8"/>
    <w:multiLevelType w:val="singleLevel"/>
    <w:tmpl w:val="FF9379A8"/>
    <w:lvl w:ilvl="0" w:tentative="0">
      <w:start w:val="2"/>
      <w:numFmt w:val="chineseCounting"/>
      <w:suff w:val="nothing"/>
      <w:lvlText w:val="（%1）"/>
      <w:lvlJc w:val="left"/>
      <w:rPr>
        <w:rFonts w:hint="eastAsia"/>
      </w:rPr>
    </w:lvl>
  </w:abstractNum>
  <w:abstractNum w:abstractNumId="4">
    <w:nsid w:val="116B29BF"/>
    <w:multiLevelType w:val="singleLevel"/>
    <w:tmpl w:val="116B29BF"/>
    <w:lvl w:ilvl="0" w:tentative="0">
      <w:start w:val="3"/>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6FAA0AB1"/>
    <w:multiLevelType w:val="singleLevel"/>
    <w:tmpl w:val="6FAA0AB1"/>
    <w:lvl w:ilvl="0" w:tentative="0">
      <w:start w:val="2"/>
      <w:numFmt w:val="chineseCounting"/>
      <w:suff w:val="nothing"/>
      <w:lvlText w:val="（%1）"/>
      <w:lvlJc w:val="left"/>
      <w:rPr>
        <w:rFonts w:hint="eastAsia"/>
      </w:rPr>
    </w:lvl>
  </w:abstractNum>
  <w:num w:numId="1">
    <w:abstractNumId w:val="2"/>
  </w:num>
  <w:num w:numId="2">
    <w:abstractNumId w:val="5"/>
  </w:num>
  <w:num w:numId="3">
    <w:abstractNumId w:val="4"/>
  </w:num>
  <w:num w:numId="4">
    <w:abstractNumId w:val="6"/>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4107C8"/>
    <w:rsid w:val="00595BCF"/>
    <w:rsid w:val="006F7242"/>
    <w:rsid w:val="007B168A"/>
    <w:rsid w:val="008B2CFE"/>
    <w:rsid w:val="00CF3752"/>
    <w:rsid w:val="00D743B5"/>
    <w:rsid w:val="00F26FF6"/>
    <w:rsid w:val="014063FE"/>
    <w:rsid w:val="01610122"/>
    <w:rsid w:val="017B5688"/>
    <w:rsid w:val="01967DCC"/>
    <w:rsid w:val="01EC0334"/>
    <w:rsid w:val="02510197"/>
    <w:rsid w:val="027029E7"/>
    <w:rsid w:val="032F672A"/>
    <w:rsid w:val="03EC461B"/>
    <w:rsid w:val="046D6A8F"/>
    <w:rsid w:val="04B73D05"/>
    <w:rsid w:val="04CB4231"/>
    <w:rsid w:val="05191440"/>
    <w:rsid w:val="063C038A"/>
    <w:rsid w:val="06F7130D"/>
    <w:rsid w:val="071C2DA7"/>
    <w:rsid w:val="07397B77"/>
    <w:rsid w:val="07603356"/>
    <w:rsid w:val="07A73637"/>
    <w:rsid w:val="08DB0B60"/>
    <w:rsid w:val="08FD4BD5"/>
    <w:rsid w:val="091931DC"/>
    <w:rsid w:val="097F1A8E"/>
    <w:rsid w:val="09B94F9F"/>
    <w:rsid w:val="09E244F6"/>
    <w:rsid w:val="09EA33AB"/>
    <w:rsid w:val="09F71624"/>
    <w:rsid w:val="0A0744E4"/>
    <w:rsid w:val="0AD007F3"/>
    <w:rsid w:val="0B380146"/>
    <w:rsid w:val="0B745622"/>
    <w:rsid w:val="0B995089"/>
    <w:rsid w:val="0BC1698C"/>
    <w:rsid w:val="0CD327D4"/>
    <w:rsid w:val="0D020A0B"/>
    <w:rsid w:val="0D216AEF"/>
    <w:rsid w:val="0D222E5C"/>
    <w:rsid w:val="0D766D04"/>
    <w:rsid w:val="0E121122"/>
    <w:rsid w:val="0E3C619F"/>
    <w:rsid w:val="0F5E06D2"/>
    <w:rsid w:val="0F7E074E"/>
    <w:rsid w:val="100F38EC"/>
    <w:rsid w:val="103B4960"/>
    <w:rsid w:val="10477352"/>
    <w:rsid w:val="10611EED"/>
    <w:rsid w:val="10C2298C"/>
    <w:rsid w:val="10E4453C"/>
    <w:rsid w:val="10E70644"/>
    <w:rsid w:val="10ED552F"/>
    <w:rsid w:val="10F90377"/>
    <w:rsid w:val="11170296"/>
    <w:rsid w:val="1134315E"/>
    <w:rsid w:val="1182211B"/>
    <w:rsid w:val="119D6F55"/>
    <w:rsid w:val="11A7181E"/>
    <w:rsid w:val="12C66037"/>
    <w:rsid w:val="12CD1ABC"/>
    <w:rsid w:val="132B4159"/>
    <w:rsid w:val="13471461"/>
    <w:rsid w:val="13B90F01"/>
    <w:rsid w:val="13D11138"/>
    <w:rsid w:val="14873966"/>
    <w:rsid w:val="155E4C4D"/>
    <w:rsid w:val="15C4191C"/>
    <w:rsid w:val="15CD6BAA"/>
    <w:rsid w:val="16266269"/>
    <w:rsid w:val="16D53429"/>
    <w:rsid w:val="171E4694"/>
    <w:rsid w:val="181066D2"/>
    <w:rsid w:val="1901426D"/>
    <w:rsid w:val="19355CC5"/>
    <w:rsid w:val="19397AAF"/>
    <w:rsid w:val="19570331"/>
    <w:rsid w:val="1A4C59BC"/>
    <w:rsid w:val="1AB53561"/>
    <w:rsid w:val="1AD5150D"/>
    <w:rsid w:val="1AD8273C"/>
    <w:rsid w:val="1BE7599C"/>
    <w:rsid w:val="1C671E73"/>
    <w:rsid w:val="1CA143AE"/>
    <w:rsid w:val="1CD06430"/>
    <w:rsid w:val="1D322C47"/>
    <w:rsid w:val="1D4D182F"/>
    <w:rsid w:val="1DCB4E4A"/>
    <w:rsid w:val="1DFC3255"/>
    <w:rsid w:val="1EBD4792"/>
    <w:rsid w:val="202076CF"/>
    <w:rsid w:val="212154AC"/>
    <w:rsid w:val="218C442C"/>
    <w:rsid w:val="22151834"/>
    <w:rsid w:val="223B259E"/>
    <w:rsid w:val="230230BC"/>
    <w:rsid w:val="230961F8"/>
    <w:rsid w:val="233D7A71"/>
    <w:rsid w:val="23616034"/>
    <w:rsid w:val="2366189C"/>
    <w:rsid w:val="23696C97"/>
    <w:rsid w:val="24480FA2"/>
    <w:rsid w:val="24945F95"/>
    <w:rsid w:val="24B623B0"/>
    <w:rsid w:val="24E94AC1"/>
    <w:rsid w:val="251A0B90"/>
    <w:rsid w:val="25227A45"/>
    <w:rsid w:val="25826736"/>
    <w:rsid w:val="25E46AA9"/>
    <w:rsid w:val="266100F9"/>
    <w:rsid w:val="2694227D"/>
    <w:rsid w:val="26AC3A6A"/>
    <w:rsid w:val="26DE174A"/>
    <w:rsid w:val="27C307FB"/>
    <w:rsid w:val="27D05536"/>
    <w:rsid w:val="285D24CA"/>
    <w:rsid w:val="28A54C15"/>
    <w:rsid w:val="2A866380"/>
    <w:rsid w:val="2AA1765E"/>
    <w:rsid w:val="2AAC3611"/>
    <w:rsid w:val="2B285689"/>
    <w:rsid w:val="2B2E7A6E"/>
    <w:rsid w:val="2B9D0DD2"/>
    <w:rsid w:val="2B9D7E25"/>
    <w:rsid w:val="2BBF2066"/>
    <w:rsid w:val="2BF11F1F"/>
    <w:rsid w:val="2C7C7A3B"/>
    <w:rsid w:val="2C8C0643"/>
    <w:rsid w:val="2E400F3C"/>
    <w:rsid w:val="2F09164B"/>
    <w:rsid w:val="2F364819"/>
    <w:rsid w:val="2F6A2714"/>
    <w:rsid w:val="2F7E1D1C"/>
    <w:rsid w:val="2FD63906"/>
    <w:rsid w:val="301B57BD"/>
    <w:rsid w:val="306C7DC6"/>
    <w:rsid w:val="31436D79"/>
    <w:rsid w:val="32096215"/>
    <w:rsid w:val="32476D3D"/>
    <w:rsid w:val="33953AD8"/>
    <w:rsid w:val="33F87A69"/>
    <w:rsid w:val="3422536C"/>
    <w:rsid w:val="34BD17EB"/>
    <w:rsid w:val="352B0250"/>
    <w:rsid w:val="36EA7C97"/>
    <w:rsid w:val="37215DAE"/>
    <w:rsid w:val="37747671"/>
    <w:rsid w:val="37F51C38"/>
    <w:rsid w:val="38C5276A"/>
    <w:rsid w:val="38CA40DD"/>
    <w:rsid w:val="38D86941"/>
    <w:rsid w:val="392751D2"/>
    <w:rsid w:val="393F70EE"/>
    <w:rsid w:val="39477622"/>
    <w:rsid w:val="395F2B56"/>
    <w:rsid w:val="3A6164C2"/>
    <w:rsid w:val="3B381919"/>
    <w:rsid w:val="3B392F9B"/>
    <w:rsid w:val="3B712A3F"/>
    <w:rsid w:val="3B8561E0"/>
    <w:rsid w:val="3BBA0580"/>
    <w:rsid w:val="3BBB5E0D"/>
    <w:rsid w:val="3BDB4052"/>
    <w:rsid w:val="3BECE841"/>
    <w:rsid w:val="3C1A58F3"/>
    <w:rsid w:val="3C6B3320"/>
    <w:rsid w:val="3C942B7F"/>
    <w:rsid w:val="3CA803D8"/>
    <w:rsid w:val="3CDE204C"/>
    <w:rsid w:val="3D363C36"/>
    <w:rsid w:val="3DD5344F"/>
    <w:rsid w:val="3DFE0BF8"/>
    <w:rsid w:val="3E18333B"/>
    <w:rsid w:val="3E9C3F6D"/>
    <w:rsid w:val="3E9E1A93"/>
    <w:rsid w:val="3EE6168C"/>
    <w:rsid w:val="3FF1653A"/>
    <w:rsid w:val="3FF7797D"/>
    <w:rsid w:val="4061546E"/>
    <w:rsid w:val="411E081A"/>
    <w:rsid w:val="41D45583"/>
    <w:rsid w:val="41EA4FEF"/>
    <w:rsid w:val="42B71375"/>
    <w:rsid w:val="42D35449"/>
    <w:rsid w:val="42EF6D61"/>
    <w:rsid w:val="43E20674"/>
    <w:rsid w:val="451C1963"/>
    <w:rsid w:val="451C5E07"/>
    <w:rsid w:val="451E392D"/>
    <w:rsid w:val="45DF01FD"/>
    <w:rsid w:val="462F4764"/>
    <w:rsid w:val="46690BD8"/>
    <w:rsid w:val="476D64A6"/>
    <w:rsid w:val="47D97FDF"/>
    <w:rsid w:val="481132D5"/>
    <w:rsid w:val="48176424"/>
    <w:rsid w:val="48DD37B2"/>
    <w:rsid w:val="49543DC1"/>
    <w:rsid w:val="49845D29"/>
    <w:rsid w:val="49F70BF1"/>
    <w:rsid w:val="4AF869CF"/>
    <w:rsid w:val="4B4340EE"/>
    <w:rsid w:val="4C547C35"/>
    <w:rsid w:val="4C5D11DF"/>
    <w:rsid w:val="4CE4545C"/>
    <w:rsid w:val="4CEA2347"/>
    <w:rsid w:val="4E402B66"/>
    <w:rsid w:val="4E404914"/>
    <w:rsid w:val="4E557C94"/>
    <w:rsid w:val="4FDF63AF"/>
    <w:rsid w:val="503D507A"/>
    <w:rsid w:val="509C048A"/>
    <w:rsid w:val="50CA6717"/>
    <w:rsid w:val="50D6330E"/>
    <w:rsid w:val="5153495F"/>
    <w:rsid w:val="51D07D5D"/>
    <w:rsid w:val="51FA74D0"/>
    <w:rsid w:val="52AA4A52"/>
    <w:rsid w:val="52BE197C"/>
    <w:rsid w:val="533B1B4E"/>
    <w:rsid w:val="543A6D00"/>
    <w:rsid w:val="54790B80"/>
    <w:rsid w:val="548E0DEC"/>
    <w:rsid w:val="55425416"/>
    <w:rsid w:val="56582A17"/>
    <w:rsid w:val="57672F12"/>
    <w:rsid w:val="57CF0AB7"/>
    <w:rsid w:val="587D7101"/>
    <w:rsid w:val="58D26DF3"/>
    <w:rsid w:val="58D746F8"/>
    <w:rsid w:val="59657925"/>
    <w:rsid w:val="59943D66"/>
    <w:rsid w:val="59E051FD"/>
    <w:rsid w:val="59E6355E"/>
    <w:rsid w:val="5A320DD0"/>
    <w:rsid w:val="5B647768"/>
    <w:rsid w:val="5B661732"/>
    <w:rsid w:val="5B821531"/>
    <w:rsid w:val="5B8D4F11"/>
    <w:rsid w:val="5BFF6039"/>
    <w:rsid w:val="5C6C2D78"/>
    <w:rsid w:val="5D4A2BDD"/>
    <w:rsid w:val="5D76A616"/>
    <w:rsid w:val="5D7F20B9"/>
    <w:rsid w:val="5DAC7D0E"/>
    <w:rsid w:val="5DBD27BB"/>
    <w:rsid w:val="5E251431"/>
    <w:rsid w:val="5E531331"/>
    <w:rsid w:val="5E8E5228"/>
    <w:rsid w:val="5EAB402C"/>
    <w:rsid w:val="5EB9747F"/>
    <w:rsid w:val="5F3D0C67"/>
    <w:rsid w:val="5F5A335C"/>
    <w:rsid w:val="5F98B5AF"/>
    <w:rsid w:val="5FED5F7E"/>
    <w:rsid w:val="5FFE8511"/>
    <w:rsid w:val="5FFEACE2"/>
    <w:rsid w:val="609D5BF6"/>
    <w:rsid w:val="61073070"/>
    <w:rsid w:val="611F2AAF"/>
    <w:rsid w:val="61932B55"/>
    <w:rsid w:val="61B9080E"/>
    <w:rsid w:val="61DF3FED"/>
    <w:rsid w:val="62A25746"/>
    <w:rsid w:val="642B176B"/>
    <w:rsid w:val="643EE26D"/>
    <w:rsid w:val="644950E2"/>
    <w:rsid w:val="656019A0"/>
    <w:rsid w:val="65F242EE"/>
    <w:rsid w:val="666D7E19"/>
    <w:rsid w:val="66D51F59"/>
    <w:rsid w:val="67095D94"/>
    <w:rsid w:val="6780592A"/>
    <w:rsid w:val="68376930"/>
    <w:rsid w:val="68F91E38"/>
    <w:rsid w:val="68FB5BB0"/>
    <w:rsid w:val="694A2693"/>
    <w:rsid w:val="69FA19C4"/>
    <w:rsid w:val="6A667059"/>
    <w:rsid w:val="6B3158B9"/>
    <w:rsid w:val="6BA02A3F"/>
    <w:rsid w:val="6BF22BC9"/>
    <w:rsid w:val="6C1E5A53"/>
    <w:rsid w:val="6CE40709"/>
    <w:rsid w:val="6D013069"/>
    <w:rsid w:val="6D9640F9"/>
    <w:rsid w:val="6DEE7A91"/>
    <w:rsid w:val="6DFA4688"/>
    <w:rsid w:val="6E080427"/>
    <w:rsid w:val="6EFF182A"/>
    <w:rsid w:val="6F5C41AC"/>
    <w:rsid w:val="6FAF6C78"/>
    <w:rsid w:val="7060454A"/>
    <w:rsid w:val="70730722"/>
    <w:rsid w:val="716167CC"/>
    <w:rsid w:val="718A7AD1"/>
    <w:rsid w:val="72181581"/>
    <w:rsid w:val="726D4139"/>
    <w:rsid w:val="72A05D3B"/>
    <w:rsid w:val="72A44BC2"/>
    <w:rsid w:val="72B34E05"/>
    <w:rsid w:val="72D96708"/>
    <w:rsid w:val="72ED47BB"/>
    <w:rsid w:val="7317C656"/>
    <w:rsid w:val="734ED73F"/>
    <w:rsid w:val="73970283"/>
    <w:rsid w:val="73BC23E0"/>
    <w:rsid w:val="73C82B32"/>
    <w:rsid w:val="73E01C2A"/>
    <w:rsid w:val="73F94DAE"/>
    <w:rsid w:val="74220495"/>
    <w:rsid w:val="74253AE1"/>
    <w:rsid w:val="747D1B6F"/>
    <w:rsid w:val="749E5641"/>
    <w:rsid w:val="75267B11"/>
    <w:rsid w:val="75DE796D"/>
    <w:rsid w:val="7608190C"/>
    <w:rsid w:val="76271066"/>
    <w:rsid w:val="76962A74"/>
    <w:rsid w:val="769D2054"/>
    <w:rsid w:val="777010FC"/>
    <w:rsid w:val="77AD62C7"/>
    <w:rsid w:val="77F2017E"/>
    <w:rsid w:val="77FD8BE9"/>
    <w:rsid w:val="78000AED"/>
    <w:rsid w:val="78210B07"/>
    <w:rsid w:val="7868099D"/>
    <w:rsid w:val="78915BE9"/>
    <w:rsid w:val="79061C08"/>
    <w:rsid w:val="79A9BD3F"/>
    <w:rsid w:val="7A772BBC"/>
    <w:rsid w:val="7B5C07B8"/>
    <w:rsid w:val="7B776F12"/>
    <w:rsid w:val="7BE77C3D"/>
    <w:rsid w:val="7BFFFDD0"/>
    <w:rsid w:val="7C09619D"/>
    <w:rsid w:val="7C336E5F"/>
    <w:rsid w:val="7C372603"/>
    <w:rsid w:val="7C8D4919"/>
    <w:rsid w:val="7D7A5F86"/>
    <w:rsid w:val="7DA243F4"/>
    <w:rsid w:val="7DD6409E"/>
    <w:rsid w:val="7E18635A"/>
    <w:rsid w:val="7E394D59"/>
    <w:rsid w:val="7E431733"/>
    <w:rsid w:val="7E4B683A"/>
    <w:rsid w:val="7E5E656D"/>
    <w:rsid w:val="7E8F2BCB"/>
    <w:rsid w:val="7F37BB4E"/>
    <w:rsid w:val="7FBB354B"/>
    <w:rsid w:val="7FEA5BDF"/>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3"/>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4"/>
    <w:next w:val="4"/>
    <w:link w:val="24"/>
    <w:qFormat/>
    <w:uiPriority w:val="0"/>
    <w:rPr>
      <w:b/>
      <w:bCs/>
    </w:rPr>
  </w:style>
  <w:style w:type="paragraph" w:styleId="13">
    <w:name w:val="Body Text First Indent"/>
    <w:basedOn w:val="5"/>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4"/>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 w:type="paragraph" w:customStyle="1" w:styleId="25">
    <w:name w:val="_Style 13"/>
    <w:qFormat/>
    <w:uiPriority w:val="0"/>
    <w:pPr>
      <w:spacing w:before="120" w:after="120" w:line="288" w:lineRule="auto"/>
      <w:ind w:left="0"/>
      <w:jc w:val="left"/>
    </w:pPr>
    <w:rPr>
      <w:rFonts w:ascii="Arial" w:hAnsi="Arial" w:eastAsia="等线" w:cs="Arial"/>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10085</Words>
  <Characters>10375</Characters>
  <Lines>58</Lines>
  <Paragraphs>16</Paragraphs>
  <TotalTime>6</TotalTime>
  <ScaleCrop>false</ScaleCrop>
  <LinksUpToDate>false</LinksUpToDate>
  <CharactersWithSpaces>10377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fate！</cp:lastModifiedBy>
  <dcterms:modified xsi:type="dcterms:W3CDTF">2025-05-20T10:27:45Z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F1A32EB7C53F433780EB4BD1AD3DECDF_13</vt:lpwstr>
  </property>
  <property fmtid="{D5CDD505-2E9C-101B-9397-08002B2CF9AE}" pid="4" name="KSOTemplateDocerSaveRecord">
    <vt:lpwstr>eyJoZGlkIjoiN2FmYTZmODVkY2VjMmE0MWZjZDY1YzhhOGI1MDRkMDQiLCJ1c2VySWQiOiI0MTcyMjM5MTEifQ==</vt:lpwstr>
  </property>
</Properties>
</file>