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伊犁州特克斯县阔克铁热克乡2024年牧民越冬放牧点生产用房建设项目支出绩效评价报告</w:t>
      </w:r>
    </w:p>
    <w:p>
      <w:pPr>
        <w:spacing w:line="540" w:lineRule="exact"/>
        <w:jc w:val="center"/>
        <w:rPr>
          <w:rFonts w:hint="default" w:ascii="方正小标宋简体" w:hAnsi="方正小标宋简体" w:eastAsia="方正小标宋简体" w:cs="方正小标宋简体"/>
          <w:kern w:val="0"/>
          <w:sz w:val="44"/>
          <w:szCs w:val="44"/>
        </w:rPr>
      </w:pPr>
    </w:p>
    <w:p>
      <w:pPr>
        <w:spacing w:line="540" w:lineRule="exact"/>
        <w:jc w:val="center"/>
        <w:rPr>
          <w:rFonts w:hint="eastAsia" w:ascii="仿宋_GB2312" w:hAnsi="仿宋_GB2312" w:eastAsia="仿宋_GB2312" w:cs="仿宋_GB2312"/>
          <w:b w:val="0"/>
          <w:bCs w:val="0"/>
          <w:kern w:val="0"/>
          <w:sz w:val="36"/>
          <w:szCs w:val="36"/>
        </w:rPr>
      </w:pPr>
      <w:r>
        <w:rPr>
          <w:rFonts w:hint="eastAsia" w:ascii="仿宋_GB2312" w:hAnsi="仿宋_GB2312" w:eastAsia="仿宋_GB2312" w:cs="仿宋_GB2312"/>
          <w:b w:val="0"/>
          <w:bCs w:val="0"/>
          <w:kern w:val="0"/>
          <w:sz w:val="36"/>
          <w:szCs w:val="36"/>
        </w:rPr>
        <w:t>（202</w:t>
      </w:r>
      <w:r>
        <w:rPr>
          <w:rFonts w:hint="eastAsia" w:ascii="仿宋_GB2312" w:hAnsi="仿宋_GB2312" w:eastAsia="仿宋_GB2312" w:cs="仿宋_GB2312"/>
          <w:b w:val="0"/>
          <w:bCs w:val="0"/>
          <w:kern w:val="0"/>
          <w:sz w:val="36"/>
          <w:szCs w:val="36"/>
          <w:lang w:val="en-US" w:eastAsia="zh-CN"/>
        </w:rPr>
        <w:t>4</w:t>
      </w:r>
      <w:r>
        <w:rPr>
          <w:rFonts w:hint="eastAsia" w:ascii="仿宋_GB2312" w:hAnsi="仿宋_GB2312" w:eastAsia="仿宋_GB2312" w:cs="仿宋_GB2312"/>
          <w:b w:val="0"/>
          <w:bCs w:val="0"/>
          <w:kern w:val="0"/>
          <w:sz w:val="36"/>
          <w:szCs w:val="36"/>
        </w:rPr>
        <w:t>年度）</w:t>
      </w:r>
    </w:p>
    <w:p>
      <w:pPr>
        <w:spacing w:line="540" w:lineRule="exact"/>
        <w:jc w:val="center"/>
        <w:rPr>
          <w:rFonts w:hint="eastAsia" w:ascii="仿宋_GB2312" w:hAnsi="仿宋_GB2312" w:eastAsia="仿宋_GB2312" w:cs="仿宋_GB2312"/>
          <w:b w:val="0"/>
          <w:bCs w:val="0"/>
          <w:kern w:val="0"/>
          <w:sz w:val="30"/>
          <w:szCs w:val="30"/>
        </w:rPr>
      </w:pPr>
    </w:p>
    <w:p>
      <w:pPr>
        <w:spacing w:line="540" w:lineRule="exact"/>
        <w:jc w:val="center"/>
        <w:rPr>
          <w:rFonts w:hint="eastAsia" w:ascii="仿宋_GB2312" w:hAnsi="仿宋_GB2312" w:eastAsia="仿宋_GB2312" w:cs="仿宋_GB2312"/>
          <w:b w:val="0"/>
          <w:bCs w:val="0"/>
          <w:kern w:val="0"/>
          <w:sz w:val="30"/>
          <w:szCs w:val="30"/>
        </w:rPr>
      </w:pPr>
    </w:p>
    <w:p>
      <w:pPr>
        <w:spacing w:line="540" w:lineRule="exact"/>
        <w:jc w:val="center"/>
        <w:rPr>
          <w:rFonts w:hint="eastAsia" w:ascii="仿宋_GB2312" w:hAnsi="仿宋_GB2312" w:eastAsia="仿宋_GB2312" w:cs="仿宋_GB2312"/>
          <w:b w:val="0"/>
          <w:bCs w:val="0"/>
          <w:kern w:val="0"/>
          <w:sz w:val="30"/>
          <w:szCs w:val="30"/>
        </w:rPr>
      </w:pPr>
    </w:p>
    <w:p>
      <w:pPr>
        <w:spacing w:line="540" w:lineRule="exact"/>
        <w:jc w:val="both"/>
        <w:rPr>
          <w:rFonts w:hint="eastAsia" w:ascii="仿宋_GB2312" w:hAnsi="仿宋_GB2312" w:eastAsia="仿宋_GB2312" w:cs="仿宋_GB2312"/>
          <w:b w:val="0"/>
          <w:bCs w:val="0"/>
          <w:kern w:val="0"/>
          <w:sz w:val="30"/>
          <w:szCs w:val="30"/>
        </w:rPr>
      </w:pPr>
    </w:p>
    <w:p>
      <w:pPr>
        <w:spacing w:line="540" w:lineRule="exact"/>
        <w:rPr>
          <w:rFonts w:hint="eastAsia" w:ascii="仿宋_GB2312" w:hAnsi="仿宋_GB2312" w:eastAsia="仿宋_GB2312" w:cs="仿宋_GB2312"/>
          <w:b w:val="0"/>
          <w:bCs w:val="0"/>
          <w:kern w:val="0"/>
          <w:sz w:val="30"/>
          <w:szCs w:val="30"/>
        </w:rPr>
      </w:pPr>
    </w:p>
    <w:p>
      <w:pPr>
        <w:spacing w:line="700" w:lineRule="exact"/>
        <w:ind w:left="2518" w:leftChars="342" w:hanging="1800" w:hangingChars="500"/>
        <w:jc w:val="left"/>
        <w:rPr>
          <w:rStyle w:val="16"/>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kern w:val="0"/>
          <w:sz w:val="36"/>
          <w:szCs w:val="36"/>
        </w:rPr>
        <w:t>项目名称：</w:t>
      </w:r>
      <w:r>
        <w:rPr>
          <w:rStyle w:val="16"/>
          <w:rFonts w:hint="eastAsia" w:ascii="仿宋_GB2312" w:hAnsi="仿宋_GB2312" w:eastAsia="仿宋_GB2312" w:cs="仿宋_GB2312"/>
          <w:b w:val="0"/>
          <w:bCs w:val="0"/>
          <w:spacing w:val="-4"/>
          <w:sz w:val="32"/>
          <w:szCs w:val="32"/>
          <w:lang w:eastAsia="zh-CN"/>
        </w:rPr>
        <w:t>伊犁州特克斯县阔克铁热克乡2024年牧民越冬放牧点生产用房建设项目</w:t>
      </w:r>
    </w:p>
    <w:p>
      <w:pPr>
        <w:spacing w:line="700" w:lineRule="exact"/>
        <w:ind w:left="3958" w:leftChars="342" w:hanging="3240" w:hangingChars="900"/>
        <w:jc w:val="left"/>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kern w:val="0"/>
          <w:sz w:val="36"/>
          <w:szCs w:val="36"/>
        </w:rPr>
        <w:t>实施单位（公章）：</w:t>
      </w:r>
      <w:r>
        <w:rPr>
          <w:rStyle w:val="16"/>
          <w:rFonts w:hint="eastAsia" w:ascii="仿宋_GB2312" w:hAnsi="仿宋_GB2312" w:eastAsia="仿宋_GB2312" w:cs="仿宋_GB2312"/>
          <w:b w:val="0"/>
          <w:bCs w:val="0"/>
          <w:spacing w:val="-4"/>
          <w:sz w:val="32"/>
          <w:szCs w:val="32"/>
          <w:lang w:eastAsia="zh-CN"/>
        </w:rPr>
        <w:t>特克斯县阔克铁热克柯尔克孜族乡人民政府</w:t>
      </w:r>
    </w:p>
    <w:p>
      <w:pPr>
        <w:spacing w:line="540" w:lineRule="exact"/>
        <w:ind w:firstLine="720" w:firstLineChars="200"/>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kern w:val="0"/>
          <w:sz w:val="36"/>
          <w:szCs w:val="36"/>
        </w:rPr>
        <w:t>主管部门（公章）：</w:t>
      </w:r>
      <w:r>
        <w:rPr>
          <w:rStyle w:val="16"/>
          <w:rFonts w:hint="eastAsia" w:ascii="仿宋_GB2312" w:hAnsi="仿宋_GB2312" w:eastAsia="仿宋_GB2312" w:cs="仿宋_GB2312"/>
          <w:b w:val="0"/>
          <w:bCs w:val="0"/>
          <w:spacing w:val="-4"/>
          <w:sz w:val="32"/>
          <w:szCs w:val="32"/>
        </w:rPr>
        <w:t>特克斯县</w:t>
      </w:r>
      <w:r>
        <w:rPr>
          <w:rStyle w:val="16"/>
          <w:rFonts w:hint="eastAsia" w:ascii="仿宋_GB2312" w:hAnsi="仿宋_GB2312" w:eastAsia="仿宋_GB2312" w:cs="仿宋_GB2312"/>
          <w:b w:val="0"/>
          <w:bCs w:val="0"/>
          <w:spacing w:val="-4"/>
          <w:sz w:val="32"/>
          <w:szCs w:val="32"/>
          <w:lang w:eastAsia="zh-CN"/>
        </w:rPr>
        <w:t>住房和城乡建设局</w:t>
      </w:r>
    </w:p>
    <w:p>
      <w:pPr>
        <w:spacing w:line="540" w:lineRule="exact"/>
        <w:ind w:firstLine="720" w:firstLineChars="200"/>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kern w:val="0"/>
          <w:sz w:val="36"/>
          <w:szCs w:val="36"/>
        </w:rPr>
        <w:t>项目负责人（签章）：</w:t>
      </w:r>
      <w:r>
        <w:rPr>
          <w:rStyle w:val="16"/>
          <w:rFonts w:hint="eastAsia" w:ascii="仿宋_GB2312" w:hAnsi="仿宋_GB2312" w:eastAsia="仿宋_GB2312" w:cs="仿宋_GB2312"/>
          <w:b w:val="0"/>
          <w:bCs w:val="0"/>
          <w:spacing w:val="-4"/>
          <w:sz w:val="32"/>
          <w:szCs w:val="32"/>
          <w:lang w:eastAsia="zh-CN"/>
        </w:rPr>
        <w:t>赵伟方</w:t>
      </w:r>
    </w:p>
    <w:p>
      <w:pPr>
        <w:spacing w:line="700" w:lineRule="exact"/>
        <w:ind w:firstLine="720" w:firstLineChars="200"/>
        <w:jc w:val="left"/>
        <w:rPr>
          <w:rFonts w:hint="eastAsia" w:ascii="仿宋_GB2312" w:hAnsi="仿宋_GB2312" w:eastAsia="仿宋_GB2312" w:cs="仿宋_GB2312"/>
          <w:b w:val="0"/>
          <w:bCs w:val="0"/>
          <w:kern w:val="0"/>
          <w:sz w:val="36"/>
          <w:szCs w:val="36"/>
        </w:rPr>
      </w:pPr>
      <w:r>
        <w:rPr>
          <w:rFonts w:hint="eastAsia" w:ascii="仿宋_GB2312" w:hAnsi="仿宋_GB2312" w:eastAsia="仿宋_GB2312" w:cs="仿宋_GB2312"/>
          <w:b w:val="0"/>
          <w:bCs w:val="0"/>
          <w:kern w:val="0"/>
          <w:sz w:val="36"/>
          <w:szCs w:val="36"/>
        </w:rPr>
        <w:t>填报时间：</w:t>
      </w:r>
      <w:r>
        <w:rPr>
          <w:rStyle w:val="16"/>
          <w:rFonts w:hint="eastAsia" w:ascii="仿宋_GB2312" w:hAnsi="仿宋_GB2312" w:eastAsia="仿宋_GB2312" w:cs="仿宋_GB2312"/>
          <w:b w:val="0"/>
          <w:bCs w:val="0"/>
          <w:spacing w:val="-4"/>
          <w:sz w:val="32"/>
          <w:szCs w:val="32"/>
        </w:rPr>
        <w:t>2025年05月20日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bookmarkStart w:id="13" w:name="_GoBack"/>
      <w:r>
        <w:rPr>
          <w:rFonts w:hint="eastAsia" w:ascii="Times New Roman" w:hAnsi="Times New Roman" w:eastAsia="仿宋_GB2312" w:cs="Times New Roman"/>
          <w:sz w:val="30"/>
          <w:szCs w:val="30"/>
          <w:highlight w:val="none"/>
          <w:lang w:val="en-US" w:eastAsia="zh-CN"/>
        </w:rPr>
        <w:t>为认真贯彻落实自治区、自治州、县委2024年“十件民生实事”工作要求，坚持“人民至上、生命至上”，及时消除牧民越冬放牧点生产用房(居住)安全隐患，保障我乡</w:t>
      </w:r>
      <w:r>
        <w:rPr>
          <w:rFonts w:hint="eastAsia" w:ascii="Times New Roman" w:hAnsi="Times New Roman" w:eastAsia="仿宋_GB2312" w:cs="Times New Roman"/>
          <w:sz w:val="30"/>
          <w:szCs w:val="30"/>
          <w:highlight w:val="none"/>
          <w:lang w:val="en-US" w:eastAsia="zh-CN"/>
        </w:rPr>
        <w:t>各族农牧民群众的生命财产安全。依据：《关于申请特克斯县阔克铁热克乡农</w:t>
      </w:r>
      <w:r>
        <w:rPr>
          <w:rFonts w:hint="eastAsia" w:ascii="Times New Roman" w:hAnsi="Times New Roman" w:eastAsia="仿宋_GB2312" w:cs="Times New Roman"/>
          <w:sz w:val="30"/>
          <w:szCs w:val="30"/>
          <w:highlight w:val="none"/>
          <w:lang w:val="en-US" w:eastAsia="zh-CN"/>
        </w:rPr>
        <w:t>牧民越冬放牧点生产用房（居住）建设项目拨付工程款的报告》《关于下达2024年城乡抗震安居工程建设民生实施资金预算的通知》伊州财建【2024】81号</w:t>
      </w:r>
      <w:r>
        <w:rPr>
          <w:rFonts w:hint="default" w:ascii="Times New Roman" w:hAnsi="Times New Roman" w:eastAsia="仿宋_GB2312" w:cs="Times New Roman"/>
          <w:sz w:val="30"/>
          <w:szCs w:val="30"/>
          <w:highlight w:val="none"/>
          <w:lang w:val="en-US" w:eastAsia="zh-CN"/>
        </w:rPr>
        <w:t>。</w:t>
      </w:r>
    </w:p>
    <w:bookmarkEnd w:id="13"/>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Times New Roman" w:hAnsi="Times New Roman" w:eastAsia="仿宋_GB2312" w:cs="Times New Roman"/>
          <w:sz w:val="30"/>
          <w:szCs w:val="30"/>
          <w:highlight w:val="none"/>
          <w:lang w:val="en-US" w:eastAsia="zh-CN"/>
        </w:rPr>
        <w:t>对</w:t>
      </w:r>
      <w:r>
        <w:rPr>
          <w:rFonts w:hint="eastAsia" w:eastAsia="仿宋_GB2312" w:cs="Times New Roman"/>
          <w:sz w:val="30"/>
          <w:szCs w:val="30"/>
          <w:highlight w:val="none"/>
          <w:lang w:val="en-US" w:eastAsia="zh-CN"/>
        </w:rPr>
        <w:t>乡</w:t>
      </w:r>
      <w:r>
        <w:rPr>
          <w:rFonts w:hint="eastAsia" w:ascii="Times New Roman" w:hAnsi="Times New Roman" w:eastAsia="仿宋_GB2312" w:cs="Times New Roman"/>
          <w:sz w:val="30"/>
          <w:szCs w:val="30"/>
          <w:highlight w:val="none"/>
          <w:lang w:val="en-US" w:eastAsia="zh-CN"/>
        </w:rPr>
        <w:t>区范围牧民越冬放牧点生产用房(居住)进行拆除新建,选择有资质施工单位进行建设，强化设计、施工、工程质量、验收等相关环节监管，并邀请工程监理，验收工程质量，力争2024年10月底前，完成拆除及新建工作。在综合研判我</w:t>
      </w:r>
      <w:r>
        <w:rPr>
          <w:rFonts w:hint="eastAsia" w:eastAsia="仿宋_GB2312" w:cs="Times New Roman"/>
          <w:sz w:val="30"/>
          <w:szCs w:val="30"/>
          <w:highlight w:val="none"/>
          <w:lang w:val="en-US" w:eastAsia="zh-CN"/>
        </w:rPr>
        <w:t>乡</w:t>
      </w:r>
      <w:r>
        <w:rPr>
          <w:rFonts w:hint="eastAsia" w:ascii="Times New Roman" w:hAnsi="Times New Roman" w:eastAsia="仿宋_GB2312" w:cs="Times New Roman"/>
          <w:sz w:val="30"/>
          <w:szCs w:val="30"/>
          <w:highlight w:val="none"/>
          <w:lang w:val="en-US" w:eastAsia="zh-CN"/>
        </w:rPr>
        <w:t>牧区地质结构和运费的基础上，实施面积为15-30平方米木结构房屋，轻钢房，共建</w:t>
      </w:r>
      <w:r>
        <w:rPr>
          <w:rFonts w:hint="eastAsia" w:eastAsia="仿宋_GB2312" w:cs="Times New Roman"/>
          <w:sz w:val="30"/>
          <w:szCs w:val="30"/>
          <w:highlight w:val="none"/>
          <w:lang w:val="en-US" w:eastAsia="zh-CN"/>
        </w:rPr>
        <w:t>47</w:t>
      </w:r>
      <w:r>
        <w:rPr>
          <w:rFonts w:hint="eastAsia" w:ascii="Times New Roman" w:hAnsi="Times New Roman" w:eastAsia="仿宋_GB2312" w:cs="Times New Roman"/>
          <w:sz w:val="30"/>
          <w:szCs w:val="30"/>
          <w:highlight w:val="none"/>
          <w:lang w:val="en-US" w:eastAsia="zh-CN"/>
        </w:rPr>
        <w:t>户，单户建房价格控制在3万元以内，同时达到抗震、保温、防水要求，牧民越冬放牧点生产用房(居住)建成后上级有关部门按照相关要求进行验收。并对牧民越冬放牧点生产用房(居住)建立一户一策档案</w:t>
      </w:r>
      <w:r>
        <w:rPr>
          <w:rFonts w:hint="default" w:ascii="Times New Roman" w:hAnsi="Times New Roman" w:eastAsia="仿宋_GB2312" w:cs="Times New Roman"/>
          <w:sz w:val="30"/>
          <w:szCs w:val="30"/>
          <w:highlight w:val="none"/>
          <w:lang w:val="en-US" w:eastAsia="zh-CN"/>
        </w:rPr>
        <w:t>。</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eastAsia="仿宋_GB2312"/>
          <w:sz w:val="32"/>
          <w:szCs w:val="32"/>
        </w:rPr>
        <w:t>项目目前已经完成实际设立的目标，项目在实施过程中严格按照目标设立的各阶段任务进行开展工作，在前期立项过程中严格把</w:t>
      </w:r>
      <w:r>
        <w:rPr>
          <w:rFonts w:ascii="Times New Roman" w:hAnsi="Times New Roman" w:eastAsia="仿宋_GB2312" w:cs="Times New Roman"/>
          <w:sz w:val="32"/>
          <w:szCs w:val="32"/>
        </w:rPr>
        <w:t>质量关，建立安全防护机制，保证项目实施各阶段安全顺利进行</w:t>
      </w:r>
      <w:r>
        <w:rPr>
          <w:rFonts w:hint="default" w:ascii="Times New Roman" w:hAnsi="Times New Roman" w:eastAsia="仿宋_GB2312" w:cs="Times New Roman"/>
          <w:sz w:val="32"/>
          <w:szCs w:val="32"/>
          <w:lang w:eastAsia="zh-CN"/>
        </w:rPr>
        <w:t>。</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141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141</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伊犁州</w:t>
      </w:r>
      <w:r>
        <w:rPr>
          <w:rFonts w:hint="default" w:ascii="Times New Roman" w:hAnsi="Times New Roman" w:eastAsia="仿宋_GB2312" w:cs="Times New Roman"/>
          <w:sz w:val="32"/>
          <w:szCs w:val="32"/>
          <w:highlight w:val="none"/>
          <w:lang w:val="en-US" w:eastAsia="zh-CN"/>
        </w:rPr>
        <w:t>2024年城乡抗震安居工程建设民生实施资金。</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141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141</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119.85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牧民越冬放牧点生产用房建设</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黑体" w:cs="Times New Roman"/>
          <w:b w:val="0"/>
          <w:bCs/>
          <w:lang w:eastAsia="zh-CN"/>
        </w:rPr>
      </w:pPr>
      <w:r>
        <w:rPr>
          <w:rFonts w:hint="eastAsia" w:ascii="Times New Roman" w:hAnsi="Times New Roman" w:eastAsia="仿宋_GB2312" w:cs="Times New Roman"/>
          <w:sz w:val="32"/>
          <w:szCs w:val="32"/>
          <w:lang w:eastAsia="zh-CN"/>
        </w:rPr>
        <w:t>通过《关于下达2024年城乡抗震安居工程建设民生实施资金预算的通知》伊州财建【2024】81号，完成拆除及新建工作。在综合研判我镇牧区地质结构和运费的基础上，实施面积为15-30平方米木结构房屋，轻钢房，共建</w:t>
      </w:r>
      <w:r>
        <w:rPr>
          <w:rFonts w:hint="eastAsia" w:eastAsia="仿宋_GB2312" w:cs="Times New Roman"/>
          <w:sz w:val="32"/>
          <w:szCs w:val="32"/>
          <w:lang w:val="en-US" w:eastAsia="zh-CN"/>
        </w:rPr>
        <w:t>47</w:t>
      </w:r>
      <w:r>
        <w:rPr>
          <w:rFonts w:hint="eastAsia" w:ascii="Times New Roman" w:hAnsi="Times New Roman" w:eastAsia="仿宋_GB2312" w:cs="Times New Roman"/>
          <w:sz w:val="32"/>
          <w:szCs w:val="32"/>
          <w:lang w:eastAsia="zh-CN"/>
        </w:rPr>
        <w:t>户，单户建房价格控制在3万元以内，同时达到抗震、保温、防水要求，牧民越冬放牧点生产用房(居住)建成后上级有关部门按照相关要求进行验收。改善牧民生活环境，提供牧民住房保障，提供居民生活水平。</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640" w:firstLineChars="200"/>
        <w:rPr>
          <w:rFonts w:hint="default" w:ascii="Times New Roman" w:hAnsi="Times New Roman" w:eastAsia="仿宋_GB2312" w:cs="Times New Roman"/>
          <w:sz w:val="32"/>
          <w:szCs w:val="32"/>
          <w:lang w:val="en-US" w:eastAsia="zh-CN"/>
        </w:rPr>
      </w:pPr>
      <w:bookmarkStart w:id="0" w:name="OLE_LINK2"/>
      <w:r>
        <w:rPr>
          <w:rFonts w:hint="eastAsia" w:ascii="Times New Roman" w:hAnsi="Times New Roman" w:eastAsia="仿宋_GB2312" w:cs="Times New Roman"/>
          <w:sz w:val="32"/>
          <w:szCs w:val="32"/>
          <w:lang w:val="en-US" w:eastAsia="zh-CN"/>
        </w:rPr>
        <w:t>2024年</w:t>
      </w:r>
      <w:r>
        <w:rPr>
          <w:rFonts w:hint="eastAsia" w:eastAsia="仿宋_GB2312" w:cs="Times New Roman"/>
          <w:sz w:val="32"/>
          <w:szCs w:val="32"/>
          <w:lang w:val="en-US" w:eastAsia="zh-CN"/>
        </w:rPr>
        <w:t>8</w:t>
      </w:r>
      <w:r>
        <w:rPr>
          <w:rFonts w:hint="eastAsia" w:ascii="Times New Roman" w:hAnsi="Times New Roman" w:eastAsia="仿宋_GB2312" w:cs="Times New Roman"/>
          <w:sz w:val="32"/>
          <w:szCs w:val="32"/>
          <w:lang w:val="en-US" w:eastAsia="zh-CN"/>
        </w:rPr>
        <w:t>月1日至9月1日完成项目前期手续</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2024年9月</w:t>
      </w:r>
      <w:r>
        <w:rPr>
          <w:rFonts w:hint="eastAsia"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0日开工建设</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2024年11月30日前完成项目竣工验收</w:t>
      </w:r>
    </w:p>
    <w:p>
      <w:pPr>
        <w:spacing w:line="560" w:lineRule="exact"/>
        <w:ind w:firstLine="640" w:firstLineChars="200"/>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2025年5月完成项目绩效自评工作</w:t>
      </w:r>
      <w:bookmarkEnd w:id="0"/>
      <w:r>
        <w:rPr>
          <w:rFonts w:hint="eastAsia"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shd w:val="clear" w:color="auto" w:fill="auto"/>
          <w:lang w:val="en-US" w:eastAsia="zh-CN"/>
        </w:rPr>
      </w:pPr>
      <w:r>
        <w:rPr>
          <w:rFonts w:hint="default" w:ascii="Times New Roman" w:hAnsi="Times New Roman" w:eastAsia="仿宋_GB2312" w:cs="Times New Roman"/>
          <w:b w:val="0"/>
          <w:bCs w:val="0"/>
          <w:highlight w:val="none"/>
          <w:shd w:val="clear" w:color="auto" w:fill="auto"/>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shd w:val="clear" w:color="auto" w:fill="auto"/>
          <w:lang w:val="en-US" w:eastAsia="zh-CN"/>
        </w:rPr>
        <w:t>生态</w:t>
      </w:r>
      <w:r>
        <w:rPr>
          <w:rFonts w:hint="default" w:ascii="Times New Roman" w:hAnsi="Times New Roman" w:eastAsia="仿宋_GB2312" w:cs="Times New Roman"/>
          <w:sz w:val="32"/>
          <w:szCs w:val="32"/>
          <w:highlight w:val="none"/>
          <w:shd w:val="clear" w:color="auto" w:fill="auto"/>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在数据收集与分析环节，采用了多种科学合理的方法，如实地调研、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shd w:val="clear" w:color="auto" w:fill="auto"/>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lang w:eastAsia="zh-CN"/>
        </w:rPr>
        <w:t>伊犁州特克斯县阔克铁热克乡2024年牧民越冬放牧点生产用房建设项目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eastAsia="zh-CN"/>
        </w:rPr>
        <w:t>特克斯县阔克铁热克柯尔克孜族乡人民政府</w:t>
      </w:r>
      <w:r>
        <w:rPr>
          <w:rFonts w:hint="default" w:ascii="Times New Roman" w:hAnsi="Times New Roman" w:eastAsia="仿宋_GB2312" w:cs="Times New Roman"/>
          <w:b w:val="0"/>
          <w:bCs w:val="0"/>
          <w:highlight w:val="none"/>
        </w:rPr>
        <w:t>负责实施，旨在改善</w:t>
      </w:r>
      <w:r>
        <w:rPr>
          <w:rFonts w:hint="eastAsia" w:ascii="Times New Roman" w:hAnsi="Times New Roman" w:eastAsia="仿宋_GB2312" w:cs="Times New Roman"/>
          <w:b w:val="0"/>
          <w:bCs w:val="0"/>
          <w:highlight w:val="none"/>
          <w:lang w:eastAsia="zh-CN"/>
        </w:rPr>
        <w:t>本镇</w:t>
      </w:r>
      <w:r>
        <w:rPr>
          <w:rFonts w:hint="default" w:ascii="Times New Roman" w:hAnsi="Times New Roman" w:eastAsia="仿宋_GB2312" w:cs="Times New Roman"/>
          <w:b w:val="0"/>
          <w:bCs w:val="0"/>
          <w:highlight w:val="none"/>
        </w:rPr>
        <w:t>牧民生活环境，提供牧民住房保障，提供居民生活水平。项目预算涵盖从</w:t>
      </w:r>
      <w:r>
        <w:rPr>
          <w:rFonts w:hint="eastAsia" w:ascii="Times New Roman" w:hAnsi="Times New Roman" w:eastAsia="仿宋_GB2312" w:cs="Times New Roman"/>
          <w:b w:val="0"/>
          <w:bCs w:val="0"/>
          <w:highlight w:val="none"/>
          <w:lang w:val="en-US" w:eastAsia="zh-CN"/>
        </w:rPr>
        <w:t>2024年9月30日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2024年11月30日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141</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（1）确定评价指标</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r>
        <w:rPr>
          <w:rFonts w:hint="default" w:ascii="Times New Roman" w:hAnsi="Times New Roman" w:eastAsia="仿宋_GB2312" w:cs="Times New Roman"/>
          <w:b w:val="0"/>
          <w:bCs w:val="0"/>
          <w:color w:val="000000"/>
          <w:spacing w:val="17"/>
          <w:kern w:val="2"/>
          <w:sz w:val="32"/>
          <w:szCs w:val="32"/>
          <w:lang w:val="en-US" w:eastAsia="zh-CN" w:bidi="ar-SA"/>
        </w:rPr>
        <w:t>。</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指标标准值是绩效评价指标的尺度，既要反映同类项目的先进水平，又要符合项目的实际绩效水平。具体采用计划标准等确定此次绩效评价指标标准值。</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绩效评价总分值100分，根据综合评分结果，90（含）-100分为优、80（含）-90分为良、60（含）-80分为中、60分以下为差。</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具体评价指标体系详情见附件1</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3.绩效评价方法</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绩效评价从项目决策、项目过程、项目产出、项目效益四个维度进行评价。评价对象为项目目标实施情况，  评价核心为资金的支出完成情况和项目的产出效益。</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本次评价指标中，既有定性指标又有定量指标，各类指标因考核内容不同和客观标准不同存在较大差异，因此核定具体指标时采用了不同方法，具体评价方法如下：</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 xml:space="preserve">（一）成本效益分析法。是指将投入与产出、效益进行关联性分析的方法。 </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w:t>
      </w:r>
      <w:r>
        <w:rPr>
          <w:rFonts w:hint="eastAsia" w:ascii="Times New Roman" w:hAnsi="Times New Roman" w:eastAsia="仿宋_GB2312" w:cs="Times New Roman"/>
          <w:b w:val="0"/>
          <w:bCs w:val="0"/>
          <w:highlight w:val="none"/>
          <w:lang w:val="en-US" w:eastAsia="zh-CN"/>
        </w:rPr>
        <w:t>二</w:t>
      </w:r>
      <w:r>
        <w:rPr>
          <w:rFonts w:hint="default" w:ascii="Times New Roman" w:hAnsi="Times New Roman" w:eastAsia="仿宋_GB2312" w:cs="Times New Roman"/>
          <w:b w:val="0"/>
          <w:bCs w:val="0"/>
          <w:highlight w:val="none"/>
          <w:lang w:val="en-US" w:eastAsia="zh-CN"/>
        </w:rPr>
        <w:t>）因素分析法。是指综合分析影响绩效目标实现、实施效果的内外部因素的方法。</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w:t>
      </w:r>
      <w:r>
        <w:rPr>
          <w:rFonts w:hint="eastAsia" w:ascii="Times New Roman" w:hAnsi="Times New Roman" w:eastAsia="仿宋_GB2312" w:cs="Times New Roman"/>
          <w:b w:val="0"/>
          <w:bCs w:val="0"/>
          <w:highlight w:val="none"/>
          <w:lang w:val="en-US" w:eastAsia="zh-CN"/>
        </w:rPr>
        <w:t>三</w:t>
      </w:r>
      <w:r>
        <w:rPr>
          <w:rFonts w:hint="default" w:ascii="Times New Roman" w:hAnsi="Times New Roman" w:eastAsia="仿宋_GB2312" w:cs="Times New Roman"/>
          <w:b w:val="0"/>
          <w:bCs w:val="0"/>
          <w:highlight w:val="none"/>
          <w:lang w:val="en-US" w:eastAsia="zh-CN"/>
        </w:rPr>
        <w:t>）公众评判法。是指通过专家评估、公众问卷及抽样调查等方式进行评判的方法。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w:t>
      </w:r>
      <w:r>
        <w:rPr>
          <w:rFonts w:hint="default" w:ascii="Times New Roman" w:hAnsi="Times New Roman" w:eastAsia="仿宋_GB2312" w:cs="Times New Roman"/>
          <w:b w:val="0"/>
          <w:bCs w:val="0"/>
          <w:highlight w:val="none"/>
        </w:rPr>
        <w:t>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r>
        <w:rPr>
          <w:rFonts w:hint="default" w:ascii="Times New Roman" w:hAnsi="Times New Roman" w:eastAsia="仿宋_GB2312" w:cs="Times New Roman"/>
          <w:b w:val="0"/>
          <w:bCs w:val="0"/>
        </w:rPr>
        <w:t>。</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sz w:val="32"/>
          <w:szCs w:val="32"/>
          <w:highlight w:val="none"/>
          <w:lang w:eastAsia="zh-CN"/>
        </w:rPr>
        <w:t>伊犁州特克斯县阔克铁热克乡2024年牧民越冬放牧点生产用房建设项目</w:t>
      </w:r>
      <w:r>
        <w:rPr>
          <w:rFonts w:hint="default" w:ascii="Times New Roman" w:hAnsi="Times New Roman" w:eastAsia="仿宋_GB2312" w:cs="Times New Roman"/>
          <w:sz w:val="32"/>
          <w:szCs w:val="32"/>
          <w:highlight w:val="none"/>
        </w:rPr>
        <w:t>在改善牧民生活环境，提供牧民住房保障，提供居民生活水平等方面表现出色，达到了预期的标准与要求。同时，项目也在</w:t>
      </w:r>
      <w:r>
        <w:rPr>
          <w:rFonts w:hint="eastAsia" w:eastAsia="仿宋_GB2312" w:cs="Times New Roman"/>
          <w:color w:val="auto"/>
          <w:sz w:val="32"/>
          <w:szCs w:val="32"/>
          <w:highlight w:val="none"/>
          <w:lang w:eastAsia="zh-CN"/>
        </w:rPr>
        <w:t>项目实施后</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完成</w:t>
      </w:r>
      <w:r>
        <w:rPr>
          <w:rFonts w:hint="eastAsia" w:eastAsia="仿宋_GB2312" w:cs="Times New Roman"/>
          <w:sz w:val="32"/>
          <w:szCs w:val="32"/>
          <w:highlight w:val="none"/>
          <w:lang w:val="en-US" w:eastAsia="zh-CN"/>
        </w:rPr>
        <w:t>40套牧民生产用房，达到了抗震、保温、防水等要求，切实改善了牧民越冬放牧点生产生活环境</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特克斯县阔克铁热克柯尔克孜族乡人民政府</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等方面产生了积极的影响。具体而言，城乡抗震安居工程建设房屋安全隐患排查整治成果等方面的提升，为项目的利益相关者带来了实实在在的利益。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eastAsia="zh-CN"/>
        </w:rPr>
        <w:t>伊犁州特克斯县阔克铁热克乡2024年牧民越冬放牧点生产用房建设项目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85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37.6</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94</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37.6</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94.6</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141</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119.85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w:t>
      </w:r>
      <w:r>
        <w:rPr>
          <w:rFonts w:hint="default" w:ascii="Times New Roman" w:hAnsi="Times New Roman" w:eastAsia="仿宋_GB2312" w:cs="Times New Roman"/>
          <w:sz w:val="32"/>
          <w:szCs w:val="32"/>
          <w:highlight w:val="none"/>
          <w:lang w:val="en-US" w:eastAsia="zh-CN"/>
        </w:rPr>
        <w:t>出类指标包括产出数量、产出质量、产出时效、产出成本四方面的内容，由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37.6</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94</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bookmarkStart w:id="1" w:name="OLE_LINK3"/>
      <w:r>
        <w:rPr>
          <w:rFonts w:hint="default" w:ascii="Times New Roman" w:hAnsi="Times New Roman" w:eastAsia="仿宋_GB2312" w:cs="Times New Roman"/>
          <w:sz w:val="32"/>
          <w:szCs w:val="32"/>
          <w:highlight w:val="none"/>
        </w:rPr>
        <w:t>指标1：新建放牧点生产用房，指标值：&gt;=752平方米，实际完成值：</w:t>
      </w:r>
      <w:r>
        <w:rPr>
          <w:rFonts w:hint="eastAsia" w:eastAsia="仿宋_GB2312" w:cs="Times New Roman"/>
          <w:sz w:val="32"/>
          <w:szCs w:val="32"/>
          <w:highlight w:val="none"/>
          <w:lang w:val="en-US" w:eastAsia="zh-CN"/>
        </w:rPr>
        <w:t>639.2平方米</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偏差原因：部分验收未通过，目前正在整改中。</w:t>
      </w:r>
    </w:p>
    <w:bookmarkEnd w:id="1"/>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2：涉及牧民户数</w:t>
      </w:r>
      <w:r>
        <w:rPr>
          <w:rFonts w:hint="default" w:ascii="Times New Roman" w:hAnsi="Times New Roman" w:eastAsia="仿宋_GB2312" w:cs="Times New Roman"/>
          <w:sz w:val="32"/>
          <w:szCs w:val="32"/>
          <w:highlight w:val="none"/>
        </w:rPr>
        <w:t>，指标值：&gt;=47户，实际完成值：</w:t>
      </w:r>
      <w:r>
        <w:rPr>
          <w:rFonts w:hint="eastAsia" w:eastAsia="仿宋_GB2312" w:cs="Times New Roman"/>
          <w:sz w:val="32"/>
          <w:szCs w:val="32"/>
          <w:highlight w:val="none"/>
          <w:lang w:val="en-US" w:eastAsia="zh-CN"/>
        </w:rPr>
        <w:t>40户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偏差原因：部分验收未通过，目前正在整改中。</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指标1：竣工验收合格率，指标值：=</w:t>
      </w:r>
      <w:bookmarkStart w:id="2" w:name="OLE_LINK4"/>
      <w:r>
        <w:rPr>
          <w:rFonts w:hint="eastAsia" w:ascii="Times New Roman" w:hAnsi="Times New Roman" w:eastAsia="仿宋_GB2312" w:cs="Times New Roman"/>
          <w:sz w:val="32"/>
          <w:szCs w:val="32"/>
          <w:highlight w:val="none"/>
          <w:lang w:val="en-US" w:eastAsia="zh-CN"/>
        </w:rPr>
        <w:t>100%</w:t>
      </w:r>
      <w:bookmarkEnd w:id="2"/>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3" w:name="OLE_LINK5"/>
      <w:r>
        <w:rPr>
          <w:rFonts w:hint="default" w:ascii="Times New Roman" w:hAnsi="Times New Roman" w:eastAsia="仿宋_GB2312" w:cs="Times New Roman"/>
          <w:sz w:val="32"/>
          <w:szCs w:val="32"/>
          <w:highlight w:val="none"/>
        </w:rPr>
        <w:t>指标1：计划开工时间，指标值：</w:t>
      </w:r>
      <w:r>
        <w:rPr>
          <w:rFonts w:hint="eastAsia" w:ascii="Times New Roman" w:hAnsi="Times New Roman" w:eastAsia="仿宋_GB2312" w:cs="Times New Roman"/>
          <w:sz w:val="32"/>
          <w:szCs w:val="32"/>
          <w:highlight w:val="none"/>
          <w:lang w:val="en-US" w:eastAsia="zh-CN"/>
        </w:rPr>
        <w:t>2024年</w:t>
      </w:r>
      <w:r>
        <w:rPr>
          <w:rFonts w:hint="eastAsia" w:eastAsia="仿宋_GB2312" w:cs="Times New Roman"/>
          <w:sz w:val="32"/>
          <w:szCs w:val="32"/>
          <w:highlight w:val="none"/>
          <w:lang w:val="en-US" w:eastAsia="zh-CN"/>
        </w:rPr>
        <w:t>9</w:t>
      </w:r>
      <w:r>
        <w:rPr>
          <w:rFonts w:hint="eastAsia"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val="en-US" w:eastAsia="zh-CN"/>
        </w:rPr>
        <w:t>0日</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2024年</w:t>
      </w:r>
      <w:r>
        <w:rPr>
          <w:rFonts w:hint="eastAsia" w:eastAsia="仿宋_GB2312" w:cs="Times New Roman"/>
          <w:sz w:val="32"/>
          <w:szCs w:val="32"/>
          <w:highlight w:val="none"/>
          <w:lang w:val="en-US" w:eastAsia="zh-CN"/>
        </w:rPr>
        <w:t>9</w:t>
      </w:r>
      <w:r>
        <w:rPr>
          <w:rFonts w:hint="eastAsia"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val="en-US" w:eastAsia="zh-CN"/>
        </w:rPr>
        <w:t>0日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：计划竣工时间</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2024年</w:t>
      </w:r>
      <w:r>
        <w:rPr>
          <w:rFonts w:hint="eastAsia" w:eastAsia="仿宋_GB2312" w:cs="Times New Roman"/>
          <w:sz w:val="32"/>
          <w:szCs w:val="32"/>
          <w:highlight w:val="none"/>
          <w:lang w:val="en-US" w:eastAsia="zh-CN"/>
        </w:rPr>
        <w:t>11</w:t>
      </w:r>
      <w:r>
        <w:rPr>
          <w:rFonts w:hint="eastAsia"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30</w:t>
      </w:r>
      <w:r>
        <w:rPr>
          <w:rFonts w:hint="eastAsia" w:ascii="Times New Roman" w:hAnsi="Times New Roman" w:eastAsia="仿宋_GB2312" w:cs="Times New Roman"/>
          <w:sz w:val="32"/>
          <w:szCs w:val="32"/>
          <w:highlight w:val="none"/>
          <w:lang w:val="en-US" w:eastAsia="zh-CN"/>
        </w:rPr>
        <w:t>日</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2024年</w:t>
      </w:r>
      <w:r>
        <w:rPr>
          <w:rFonts w:hint="eastAsia" w:eastAsia="仿宋_GB2312" w:cs="Times New Roman"/>
          <w:sz w:val="32"/>
          <w:szCs w:val="32"/>
          <w:highlight w:val="none"/>
          <w:lang w:val="en-US" w:eastAsia="zh-CN"/>
        </w:rPr>
        <w:t>11</w:t>
      </w:r>
      <w:r>
        <w:rPr>
          <w:rFonts w:hint="eastAsia"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lang w:val="en-US" w:eastAsia="zh-CN"/>
        </w:rPr>
        <w:t>0日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3"/>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4" w:name="OLE_LINK6"/>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项目建设平均标准</w:t>
      </w:r>
      <w:r>
        <w:rPr>
          <w:rFonts w:hint="default" w:ascii="Times New Roman" w:hAnsi="Times New Roman" w:eastAsia="仿宋_GB2312" w:cs="Times New Roman"/>
          <w:sz w:val="32"/>
          <w:szCs w:val="32"/>
          <w:highlight w:val="none"/>
        </w:rPr>
        <w:t>，指标值：&lt;=3万元，实际完成值：</w:t>
      </w:r>
      <w:r>
        <w:rPr>
          <w:rFonts w:hint="eastAsia" w:eastAsia="仿宋_GB2312" w:cs="Times New Roman"/>
          <w:sz w:val="32"/>
          <w:szCs w:val="32"/>
          <w:highlight w:val="none"/>
          <w:lang w:val="en-US" w:eastAsia="zh-CN"/>
        </w:rPr>
        <w:t>2.55</w:t>
      </w:r>
      <w:r>
        <w:rPr>
          <w:rFonts w:hint="eastAsia" w:ascii="Times New Roman" w:hAnsi="Times New Roman" w:eastAsia="仿宋_GB2312" w:cs="Times New Roman"/>
          <w:sz w:val="32"/>
          <w:szCs w:val="32"/>
          <w:highlight w:val="none"/>
          <w:lang w:val="en-US" w:eastAsia="zh-CN"/>
        </w:rPr>
        <w:t>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rPr>
        <w:t>%</w:t>
      </w:r>
      <w:bookmarkEnd w:id="4"/>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偏差原因：部分验收未通过，目前正在整改中。</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w:t>
      </w:r>
      <w:r>
        <w:rPr>
          <w:rFonts w:hint="default" w:ascii="Times New Roman" w:hAnsi="Times New Roman" w:eastAsia="仿宋_GB2312" w:cs="Times New Roman"/>
          <w:sz w:val="32"/>
          <w:szCs w:val="32"/>
          <w:highlight w:val="none"/>
          <w:lang w:val="en-US" w:eastAsia="zh-CN"/>
        </w:rPr>
        <w:t>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5" w:name="OLE_LINK7"/>
      <w:r>
        <w:rPr>
          <w:rFonts w:hint="default" w:ascii="Times New Roman" w:hAnsi="Times New Roman" w:eastAsia="仿宋_GB2312" w:cs="Times New Roman"/>
          <w:sz w:val="32"/>
          <w:szCs w:val="32"/>
          <w:highlight w:val="none"/>
        </w:rPr>
        <w:t>指标1：排除牧民住房安全隐患</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eastAsia="zh-CN"/>
        </w:rPr>
        <w:t>成效明显</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成效明显</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bookmarkEnd w:id="5"/>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指标1：服务对象满意度，指标值：&gt;=95%，实际完成值：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；偏差原因：年初制定绩效目标时预期值设置偏低。</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eastAsia="zh-CN"/>
        </w:rPr>
        <w:t>伊犁州特克斯县阔克铁热克乡2024年牧民越冬放牧点生产用房建设项目</w:t>
      </w:r>
      <w:r>
        <w:rPr>
          <w:rFonts w:hint="default" w:ascii="Times New Roman" w:hAnsi="Times New Roman" w:eastAsia="仿宋_GB2312" w:cs="Times New Roman"/>
          <w:sz w:val="32"/>
          <w:szCs w:val="32"/>
        </w:rPr>
        <w:t>年初预算</w:t>
      </w:r>
      <w:r>
        <w:rPr>
          <w:rFonts w:hint="eastAsia" w:eastAsia="仿宋_GB2312" w:cs="Times New Roman"/>
          <w:sz w:val="32"/>
          <w:szCs w:val="32"/>
          <w:lang w:val="en-US" w:eastAsia="zh-CN"/>
        </w:rPr>
        <w:t>141</w:t>
      </w:r>
      <w:r>
        <w:rPr>
          <w:rFonts w:hint="default" w:ascii="Times New Roman" w:hAnsi="Times New Roman" w:eastAsia="仿宋_GB2312" w:cs="Times New Roman"/>
          <w:sz w:val="32"/>
          <w:szCs w:val="32"/>
        </w:rPr>
        <w:t>万元，全年预算</w:t>
      </w:r>
      <w:r>
        <w:rPr>
          <w:rFonts w:hint="eastAsia" w:eastAsia="仿宋_GB2312" w:cs="Times New Roman"/>
          <w:sz w:val="32"/>
          <w:szCs w:val="32"/>
          <w:lang w:val="en-US" w:eastAsia="zh-CN"/>
        </w:rPr>
        <w:t>141</w:t>
      </w:r>
      <w:r>
        <w:rPr>
          <w:rFonts w:hint="default" w:ascii="Times New Roman" w:hAnsi="Times New Roman" w:eastAsia="仿宋_GB2312" w:cs="Times New Roman"/>
          <w:sz w:val="32"/>
          <w:szCs w:val="32"/>
        </w:rPr>
        <w:t>万元，实际支出</w:t>
      </w:r>
      <w:r>
        <w:rPr>
          <w:rFonts w:hint="eastAsia" w:eastAsia="仿宋_GB2312" w:cs="Times New Roman"/>
          <w:sz w:val="32"/>
          <w:szCs w:val="32"/>
          <w:lang w:val="en-US" w:eastAsia="zh-CN"/>
        </w:rPr>
        <w:t>119.85</w:t>
      </w:r>
      <w:r>
        <w:rPr>
          <w:rFonts w:hint="default" w:ascii="Times New Roman" w:hAnsi="Times New Roman" w:eastAsia="仿宋_GB2312" w:cs="Times New Roman"/>
          <w:sz w:val="32"/>
          <w:szCs w:val="32"/>
        </w:rPr>
        <w:t>万元，预算执行率为</w:t>
      </w:r>
      <w:r>
        <w:rPr>
          <w:rFonts w:hint="eastAsia" w:eastAsia="仿宋_GB2312" w:cs="Times New Roman"/>
          <w:sz w:val="32"/>
          <w:szCs w:val="32"/>
          <w:lang w:val="en-US" w:eastAsia="zh-CN"/>
        </w:rPr>
        <w:t>85</w:t>
      </w:r>
      <w:r>
        <w:rPr>
          <w:rFonts w:hint="default" w:ascii="Times New Roman" w:hAnsi="Times New Roman" w:eastAsia="仿宋_GB2312" w:cs="Times New Roman"/>
          <w:sz w:val="32"/>
          <w:szCs w:val="32"/>
        </w:rPr>
        <w:t>%，项目绩效指标总体完成率为</w:t>
      </w:r>
      <w:r>
        <w:rPr>
          <w:rFonts w:hint="eastAsia" w:eastAsia="仿宋_GB2312" w:cs="Times New Roman"/>
          <w:sz w:val="32"/>
          <w:szCs w:val="32"/>
          <w:lang w:val="en-US" w:eastAsia="zh-CN"/>
        </w:rPr>
        <w:t>94.38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r>
        <w:rPr>
          <w:rFonts w:hint="default" w:ascii="Times New Roman" w:hAnsi="Times New Roman" w:eastAsia="仿宋_GB2312" w:cs="Times New Roman"/>
          <w:sz w:val="32"/>
          <w:szCs w:val="32"/>
        </w:rPr>
        <w:t>偏差率为</w:t>
      </w:r>
      <w:r>
        <w:rPr>
          <w:rFonts w:hint="eastAsia" w:eastAsia="仿宋_GB2312" w:cs="Times New Roman"/>
          <w:sz w:val="32"/>
          <w:szCs w:val="32"/>
          <w:lang w:val="en-US" w:eastAsia="zh-CN"/>
        </w:rPr>
        <w:t>9.38</w:t>
      </w:r>
      <w:r>
        <w:rPr>
          <w:rFonts w:hint="default" w:ascii="Times New Roman" w:hAnsi="Times New Roman" w:eastAsia="仿宋_GB2312" w:cs="Times New Roman"/>
          <w:sz w:val="32"/>
          <w:szCs w:val="32"/>
        </w:rPr>
        <w:t>%。</w:t>
      </w:r>
      <w:r>
        <w:rPr>
          <w:rFonts w:hint="eastAsia" w:eastAsia="仿宋_GB2312" w:cs="Times New Roman"/>
          <w:sz w:val="32"/>
          <w:szCs w:val="32"/>
          <w:highlight w:val="none"/>
          <w:lang w:val="en-US" w:eastAsia="zh-CN"/>
        </w:rPr>
        <w:t>偏差原因：部分验收未通过，目前正在整改中。</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bookmarkStart w:id="6" w:name="OLE_LINK8"/>
      <w:r>
        <w:rPr>
          <w:rFonts w:hint="default" w:ascii="Times New Roman" w:hAnsi="Times New Roman" w:eastAsia="楷体_GB2312" w:cs="Times New Roman"/>
          <w:b/>
          <w:bCs/>
          <w:sz w:val="32"/>
          <w:szCs w:val="32"/>
        </w:rPr>
        <w:t>存在的问题及原因分析</w:t>
      </w:r>
      <w:bookmarkEnd w:id="6"/>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7" w:name="page8"/>
      <w:bookmarkEnd w:id="7"/>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8" w:name="_Toc30064_WPSOffice_Level1"/>
      <w:bookmarkStart w:id="9" w:name="_Toc26499_WPSOffice_Level2"/>
      <w:r>
        <w:rPr>
          <w:rFonts w:hint="eastAsia" w:ascii="仿宋_GB2312" w:hAnsi="仿宋_GB2312" w:eastAsia="仿宋_GB2312" w:cs="仿宋_GB2312"/>
          <w:b/>
          <w:bCs/>
          <w:sz w:val="28"/>
          <w:szCs w:val="40"/>
          <w:lang w:eastAsia="zh-CN"/>
        </w:rPr>
        <w:t>伊犁州特克斯县阔克铁热克乡2024年牧民越冬放牧点生产用房建设项目</w:t>
      </w:r>
      <w:r>
        <w:rPr>
          <w:rFonts w:hint="eastAsia" w:ascii="仿宋_GB2312" w:hAnsi="仿宋_GB2312" w:eastAsia="仿宋_GB2312" w:cs="仿宋_GB2312"/>
          <w:b/>
          <w:bCs/>
          <w:sz w:val="28"/>
          <w:szCs w:val="40"/>
        </w:rPr>
        <w:t>绩效评价指标体系及综合评分表</w:t>
      </w:r>
      <w:bookmarkEnd w:id="8"/>
      <w:bookmarkEnd w:id="9"/>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1275"/>
        <w:gridCol w:w="1295"/>
        <w:gridCol w:w="1019"/>
        <w:gridCol w:w="1125"/>
        <w:gridCol w:w="1149"/>
        <w:gridCol w:w="912"/>
        <w:gridCol w:w="826"/>
        <w:gridCol w:w="871"/>
        <w:gridCol w:w="767"/>
        <w:gridCol w:w="1019"/>
        <w:gridCol w:w="819"/>
        <w:gridCol w:w="738"/>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伊犁州特克斯县阔克铁热克乡2024年牧民越冬放牧点生产用房建设项目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特克斯县住房和城乡建设局</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特克斯县阔克铁热克柯尔克孜族乡人民政府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bookmarkStart w:id="10" w:name="OLE_LINK9" w:colFirst="2" w:colLast="6"/>
          </w:p>
        </w:tc>
        <w:tc>
          <w:tcPr>
            <w:tcW w:w="8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141</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141</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119.85</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85%</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8.5</w:t>
            </w:r>
          </w:p>
        </w:tc>
      </w:tr>
      <w:bookmarkEnd w:id="1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141</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141</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119.85</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7"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通过《关于下达2024年城乡抗震安居工程建设民生实施资金预算的通知》伊州财建【2024】81号，完成拆除及新建工作。在综合研判我镇牧区地质结构和运费的基础上，实施面积为15-30平方米木结构房屋，轻钢房，共建</w:t>
            </w:r>
            <w:r>
              <w:rPr>
                <w:rFonts w:hint="eastAsia" w:ascii="仿宋_GB2312" w:hAnsi="仿宋_GB2312" w:eastAsia="仿宋_GB2312" w:cs="仿宋_GB2312"/>
                <w:i w:val="0"/>
                <w:iCs w:val="0"/>
                <w:color w:val="000000"/>
                <w:sz w:val="18"/>
                <w:szCs w:val="18"/>
                <w:u w:val="none"/>
                <w:lang w:val="en-US" w:eastAsia="zh-CN"/>
              </w:rPr>
              <w:t>47</w:t>
            </w:r>
            <w:r>
              <w:rPr>
                <w:rFonts w:hint="eastAsia" w:ascii="仿宋_GB2312" w:hAnsi="仿宋_GB2312" w:eastAsia="仿宋_GB2312" w:cs="仿宋_GB2312"/>
                <w:i w:val="0"/>
                <w:iCs w:val="0"/>
                <w:color w:val="000000"/>
                <w:sz w:val="18"/>
                <w:szCs w:val="18"/>
                <w:u w:val="none"/>
              </w:rPr>
              <w:t>户，单户建房价格控制在3万元以内，同时达到抗震、保温、防水要求，牧民越冬放牧点生产用房(居住)建成后上级有关部门按照相关要求进行验收。改善牧民生活环境，提供牧民住房保障，提供居民生活水平。</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完成牧民越冬放牧点生产用房建设</w:t>
            </w:r>
            <w:r>
              <w:rPr>
                <w:rFonts w:hint="eastAsia" w:ascii="仿宋_GB2312" w:hAnsi="仿宋_GB2312" w:eastAsia="仿宋_GB2312" w:cs="仿宋_GB2312"/>
                <w:i w:val="0"/>
                <w:iCs w:val="0"/>
                <w:color w:val="000000"/>
                <w:sz w:val="18"/>
                <w:szCs w:val="18"/>
                <w:u w:val="none"/>
                <w:lang w:val="en-US" w:eastAsia="zh-CN"/>
              </w:rPr>
              <w:t>40</w:t>
            </w:r>
            <w:r>
              <w:rPr>
                <w:rFonts w:hint="eastAsia" w:ascii="仿宋_GB2312" w:hAnsi="仿宋_GB2312" w:eastAsia="仿宋_GB2312" w:cs="仿宋_GB2312"/>
                <w:i w:val="0"/>
                <w:iCs w:val="0"/>
                <w:color w:val="000000"/>
                <w:sz w:val="18"/>
                <w:szCs w:val="18"/>
                <w:u w:val="none"/>
              </w:rPr>
              <w:t>户，每户成本</w:t>
            </w:r>
            <w:r>
              <w:rPr>
                <w:rFonts w:hint="eastAsia" w:ascii="仿宋_GB2312" w:hAnsi="仿宋_GB2312" w:eastAsia="仿宋_GB2312" w:cs="仿宋_GB2312"/>
                <w:i w:val="0"/>
                <w:iCs w:val="0"/>
                <w:color w:val="000000"/>
                <w:sz w:val="18"/>
                <w:szCs w:val="18"/>
                <w:u w:val="none"/>
                <w:lang w:val="en-US" w:eastAsia="zh-CN"/>
              </w:rPr>
              <w:t>2.55</w:t>
            </w:r>
            <w:r>
              <w:rPr>
                <w:rFonts w:hint="eastAsia" w:ascii="仿宋_GB2312" w:hAnsi="仿宋_GB2312" w:eastAsia="仿宋_GB2312" w:cs="仿宋_GB2312"/>
                <w:i w:val="0"/>
                <w:iCs w:val="0"/>
                <w:color w:val="000000"/>
                <w:sz w:val="18"/>
                <w:szCs w:val="18"/>
                <w:u w:val="none"/>
              </w:rPr>
              <w:t>万元，经验收达到了抗震、保温、防水要求，改善了本镇牧民越冬放牧点居住环境、生活环境，为农牧民提供住房保障，提高了我镇牧民生活水平。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bookmarkStart w:id="11" w:name="OLE_LINK10" w:colFirst="3" w:colLast="13"/>
          </w:p>
        </w:tc>
        <w:tc>
          <w:tcPr>
            <w:tcW w:w="455"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新建放牧点生产用房面积</w:t>
            </w:r>
          </w:p>
        </w:tc>
        <w:tc>
          <w:tcPr>
            <w:tcW w:w="402"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752平方米</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639.2平方米</w:t>
            </w:r>
          </w:p>
        </w:tc>
        <w:tc>
          <w:tcPr>
            <w:tcW w:w="292"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85%</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6.8</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部分验收未通过，目前正在整改中。</w:t>
            </w:r>
          </w:p>
        </w:tc>
      </w:tr>
      <w:bookmarkEnd w:id="11"/>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p>
        </w:tc>
        <w:tc>
          <w:tcPr>
            <w:tcW w:w="455" w:type="pct"/>
            <w:vMerge w:val="continue"/>
            <w:tcBorders>
              <w:left w:val="single" w:color="000000" w:sz="4" w:space="0"/>
              <w:right w:val="single" w:color="000000" w:sz="4" w:space="0"/>
            </w:tcBorders>
            <w:shd w:val="clear" w:color="auto" w:fill="auto"/>
            <w:noWrap/>
            <w:vAlign w:val="center"/>
          </w:tcPr>
          <w:p>
            <w:pPr>
              <w:jc w:val="left"/>
            </w:pPr>
          </w:p>
        </w:tc>
        <w:tc>
          <w:tcPr>
            <w:tcW w:w="462" w:type="pct"/>
            <w:vMerge w:val="continue"/>
            <w:tcBorders>
              <w:left w:val="single" w:color="000000" w:sz="4" w:space="0"/>
              <w:right w:val="single" w:color="000000" w:sz="4" w:space="0"/>
            </w:tcBorders>
            <w:shd w:val="clear" w:color="auto" w:fill="auto"/>
            <w:noWrap/>
            <w:vAlign w:val="center"/>
          </w:tcPr>
          <w:p>
            <w:pPr>
              <w:jc w:val="left"/>
            </w:pPr>
          </w:p>
        </w:tc>
        <w:tc>
          <w:tcPr>
            <w:tcW w:w="364" w:type="pct"/>
            <w:tcBorders>
              <w:top w:val="single" w:color="000000" w:sz="4" w:space="0"/>
              <w:left w:val="nil"/>
              <w:bottom w:val="single" w:color="000000"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新建牧民越冬放牧点生产用房户数</w:t>
            </w:r>
          </w:p>
        </w:tc>
        <w:tc>
          <w:tcPr>
            <w:tcW w:w="402"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47</w:t>
            </w:r>
            <w:r>
              <w:rPr>
                <w:rFonts w:hint="eastAsia" w:ascii="仿宋_GB2312" w:hAnsi="仿宋_GB2312" w:eastAsia="仿宋_GB2312" w:cs="仿宋_GB2312"/>
                <w:i w:val="0"/>
                <w:iCs w:val="0"/>
                <w:color w:val="000000"/>
                <w:sz w:val="18"/>
                <w:szCs w:val="18"/>
                <w:u w:val="none"/>
              </w:rPr>
              <w:t>户</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auto" w:sz="4" w:space="0"/>
              <w:left w:val="single" w:color="auto"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40户</w:t>
            </w:r>
          </w:p>
        </w:tc>
        <w:tc>
          <w:tcPr>
            <w:tcW w:w="292"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85%</w:t>
            </w:r>
          </w:p>
        </w:tc>
        <w:tc>
          <w:tcPr>
            <w:tcW w:w="263"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6.8</w:t>
            </w:r>
          </w:p>
        </w:tc>
        <w:tc>
          <w:tcPr>
            <w:tcW w:w="453" w:type="pct"/>
            <w:tcBorders>
              <w:top w:val="single" w:color="auto" w:sz="4" w:space="0"/>
              <w:left w:val="single" w:color="000000"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部分验收未通过，目前正在整改中。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竣工验收合格率</w:t>
            </w:r>
          </w:p>
        </w:tc>
        <w:tc>
          <w:tcPr>
            <w:tcW w:w="40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453"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计划开工时间</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2024年9月10日</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2024年9月10日</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计划竣工时间</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2024年11月30日</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2024年11月30日</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8</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项目建设平均标准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&lt;=3万元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2.55万元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85%</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17</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部分验收未通过，目前正在整改中。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bookmarkStart w:id="12" w:name="OLE_LINK13" w:colFirst="8" w:colLast="9"/>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排除牧民住房安全隐患</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成效明显</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成效明显</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bookmarkEnd w:id="12"/>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服务对象满意度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105%</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年初制定绩效目标时预期值设置偏低。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93.1</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2C66037"/>
    <w:rsid w:val="12CD1ABC"/>
    <w:rsid w:val="13471461"/>
    <w:rsid w:val="13B90F01"/>
    <w:rsid w:val="155E4C4D"/>
    <w:rsid w:val="181066D2"/>
    <w:rsid w:val="1C671E73"/>
    <w:rsid w:val="1D322C47"/>
    <w:rsid w:val="23616034"/>
    <w:rsid w:val="23696C97"/>
    <w:rsid w:val="24480FA2"/>
    <w:rsid w:val="25227A45"/>
    <w:rsid w:val="26AC3A6A"/>
    <w:rsid w:val="2B9D7E25"/>
    <w:rsid w:val="2C025FC9"/>
    <w:rsid w:val="2C7C7A3B"/>
    <w:rsid w:val="2F2E6DE0"/>
    <w:rsid w:val="2F364819"/>
    <w:rsid w:val="2FD63906"/>
    <w:rsid w:val="37215DAE"/>
    <w:rsid w:val="38CA40DD"/>
    <w:rsid w:val="395F2B56"/>
    <w:rsid w:val="3BBA0580"/>
    <w:rsid w:val="3BECE841"/>
    <w:rsid w:val="3CDE204C"/>
    <w:rsid w:val="3D363C36"/>
    <w:rsid w:val="3E9C3F6D"/>
    <w:rsid w:val="3FF7797D"/>
    <w:rsid w:val="44B21222"/>
    <w:rsid w:val="46690BD8"/>
    <w:rsid w:val="49F70BF1"/>
    <w:rsid w:val="4B4340EE"/>
    <w:rsid w:val="503D507A"/>
    <w:rsid w:val="51FA74D0"/>
    <w:rsid w:val="52AA4A52"/>
    <w:rsid w:val="53DD72B6"/>
    <w:rsid w:val="59943D66"/>
    <w:rsid w:val="59E051FD"/>
    <w:rsid w:val="59E6355E"/>
    <w:rsid w:val="5B821531"/>
    <w:rsid w:val="5BFF6039"/>
    <w:rsid w:val="5D76A616"/>
    <w:rsid w:val="5D7F20B9"/>
    <w:rsid w:val="5DAC7D0E"/>
    <w:rsid w:val="5DFB398C"/>
    <w:rsid w:val="5F98B5AF"/>
    <w:rsid w:val="5FFE8511"/>
    <w:rsid w:val="5FFEACE2"/>
    <w:rsid w:val="609D5BF6"/>
    <w:rsid w:val="61073070"/>
    <w:rsid w:val="61B9080E"/>
    <w:rsid w:val="61DF3FED"/>
    <w:rsid w:val="641825B6"/>
    <w:rsid w:val="642B176B"/>
    <w:rsid w:val="643EE26D"/>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C82B32"/>
    <w:rsid w:val="73DD579A"/>
    <w:rsid w:val="73F94DAE"/>
    <w:rsid w:val="74220495"/>
    <w:rsid w:val="747D1B6F"/>
    <w:rsid w:val="749E5641"/>
    <w:rsid w:val="75A24676"/>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164</Words>
  <Characters>178</Characters>
  <Lines>58</Lines>
  <Paragraphs>16</Paragraphs>
  <TotalTime>110</TotalTime>
  <ScaleCrop>false</ScaleCrop>
  <LinksUpToDate>false</LinksUpToDate>
  <CharactersWithSpaces>180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2025-07-22T11:37:40Z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eyJoZGlkIjoiZjdkMGQwOTU3NzYzNzA3MDk0ZDNhNjk2MjA1OTc5ODAiLCJ1c2VySWQiOiIyMzk4NDk5NTUifQ==</vt:lpwstr>
  </property>
</Properties>
</file>