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方正小标宋_GBK" w:cs="Times New Roman"/>
          <w:kern w:val="0"/>
          <w:sz w:val="48"/>
          <w:szCs w:val="48"/>
          <w:highlight w:val="none"/>
        </w:rPr>
      </w:pPr>
      <w:r>
        <w:rPr>
          <w:rFonts w:hint="eastAsia" w:ascii="方正小标宋简体" w:hAnsi="方正小标宋简体" w:eastAsia="方正小标宋简体" w:cs="方正小标宋简体"/>
          <w:kern w:val="0"/>
          <w:sz w:val="44"/>
          <w:szCs w:val="44"/>
          <w:highlight w:val="none"/>
        </w:rPr>
        <w:t>特克斯县高级中学2024年高中生均公用经费项目支出绩效评价报告</w:t>
      </w: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（202</w:t>
      </w:r>
      <w:r>
        <w:rPr>
          <w:rFonts w:hint="default" w:ascii="Times New Roman" w:hAnsi="Times New Roman" w:eastAsia="仿宋_GB2312" w:cs="Times New Roman"/>
          <w:kern w:val="0"/>
          <w:sz w:val="36"/>
          <w:szCs w:val="36"/>
          <w:highlight w:val="none"/>
          <w:lang w:val="en-US" w:eastAsia="zh-CN"/>
        </w:rPr>
        <w:t>4</w:t>
      </w:r>
      <w:r>
        <w:rPr>
          <w:rFonts w:hint="default" w:ascii="Times New Roman" w:hAnsi="Times New Roman" w:eastAsia="仿宋_GB2312" w:cs="Times New Roman"/>
          <w:kern w:val="0"/>
          <w:sz w:val="36"/>
          <w:szCs w:val="36"/>
          <w:highlight w:val="none"/>
        </w:rPr>
        <w:t>年度）</w:t>
      </w: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pStyle w:val="10"/>
        <w:rPr>
          <w:rFonts w:hint="default" w:ascii="Times New Roman" w:hAnsi="Times New Roman" w:cs="Times New Roman"/>
          <w:highlight w:val="none"/>
        </w:rPr>
      </w:pPr>
    </w:p>
    <w:p>
      <w:pPr>
        <w:spacing w:line="540" w:lineRule="exact"/>
        <w:rPr>
          <w:rFonts w:hint="default" w:ascii="Times New Roman" w:hAnsi="Times New Roman" w:eastAsia="仿宋_GB2312" w:cs="Times New Roman"/>
          <w:kern w:val="0"/>
          <w:sz w:val="30"/>
          <w:szCs w:val="30"/>
          <w:highlight w:val="none"/>
        </w:rPr>
      </w:pPr>
    </w:p>
    <w:p>
      <w:pPr>
        <w:spacing w:line="700" w:lineRule="exact"/>
        <w:ind w:left="2877" w:leftChars="608" w:hanging="1600" w:hangingChars="5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项目名称：特克斯县高级中学2024年高中生均公用经费</w:t>
      </w:r>
    </w:p>
    <w:p>
      <w:pPr>
        <w:spacing w:line="700" w:lineRule="exact"/>
        <w:ind w:firstLine="1280" w:firstLineChars="4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实施单位（公章）：特克斯县高级中学</w:t>
      </w:r>
    </w:p>
    <w:p>
      <w:pPr>
        <w:spacing w:line="700" w:lineRule="exact"/>
        <w:ind w:firstLine="1280" w:firstLineChars="400"/>
        <w:jc w:val="left"/>
        <w:rPr>
          <w:rFonts w:hint="eastAsia" w:ascii="Times New Roman" w:hAnsi="Times New Roman" w:eastAsia="仿宋_GB2312" w:cs="Times New Roman"/>
          <w:kern w:val="0"/>
          <w:sz w:val="32"/>
          <w:szCs w:val="32"/>
          <w:highlight w:val="none"/>
          <w:lang w:eastAsia="zh-CN"/>
        </w:rPr>
      </w:pPr>
      <w:r>
        <w:rPr>
          <w:rFonts w:hint="default" w:ascii="Times New Roman" w:hAnsi="Times New Roman" w:eastAsia="仿宋_GB2312" w:cs="Times New Roman"/>
          <w:kern w:val="0"/>
          <w:sz w:val="32"/>
          <w:szCs w:val="32"/>
          <w:highlight w:val="none"/>
        </w:rPr>
        <w:t>主管部门（公章）：</w:t>
      </w:r>
      <w:r>
        <w:rPr>
          <w:rFonts w:hint="eastAsia" w:eastAsia="仿宋_GB2312" w:cs="Times New Roman"/>
          <w:kern w:val="0"/>
          <w:sz w:val="32"/>
          <w:szCs w:val="32"/>
          <w:highlight w:val="none"/>
          <w:lang w:eastAsia="zh-CN"/>
        </w:rPr>
        <w:t>特克斯县教育局</w:t>
      </w:r>
    </w:p>
    <w:p>
      <w:pPr>
        <w:spacing w:line="700" w:lineRule="exact"/>
        <w:ind w:firstLine="1280" w:firstLineChars="400"/>
        <w:jc w:val="left"/>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项目负责人（签章）：</w:t>
      </w:r>
      <w:r>
        <w:rPr>
          <w:rFonts w:hint="eastAsia" w:eastAsia="仿宋_GB2312" w:cs="Times New Roman"/>
          <w:kern w:val="0"/>
          <w:sz w:val="32"/>
          <w:szCs w:val="32"/>
          <w:highlight w:val="none"/>
          <w:lang w:eastAsia="zh-CN"/>
        </w:rPr>
        <w:t>阿斯哈提</w:t>
      </w:r>
      <w:r>
        <w:rPr>
          <w:rFonts w:hint="eastAsia" w:eastAsia="仿宋_GB2312" w:cs="Times New Roman"/>
          <w:kern w:val="0"/>
          <w:sz w:val="32"/>
          <w:szCs w:val="32"/>
          <w:highlight w:val="none"/>
          <w:lang w:val="en-US" w:eastAsia="zh-CN"/>
        </w:rPr>
        <w:t>·阿布拉克</w:t>
      </w:r>
    </w:p>
    <w:p>
      <w:pPr>
        <w:spacing w:line="700" w:lineRule="exact"/>
        <w:ind w:firstLine="1280" w:firstLineChars="400"/>
        <w:jc w:val="left"/>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2"/>
          <w:szCs w:val="32"/>
          <w:highlight w:val="none"/>
        </w:rPr>
        <w:t>填报时间：</w:t>
      </w:r>
      <w:r>
        <w:rPr>
          <w:rFonts w:hint="eastAsia" w:eastAsia="仿宋_GB2312" w:cs="Times New Roman"/>
          <w:kern w:val="0"/>
          <w:sz w:val="32"/>
          <w:szCs w:val="32"/>
          <w:highlight w:val="none"/>
          <w:lang w:val="en-US" w:eastAsia="zh-CN"/>
        </w:rPr>
        <w:t>2025</w:t>
      </w:r>
      <w:r>
        <w:rPr>
          <w:rFonts w:hint="default" w:ascii="Times New Roman" w:hAnsi="Times New Roman" w:eastAsia="仿宋_GB2312" w:cs="Times New Roman"/>
          <w:kern w:val="0"/>
          <w:sz w:val="32"/>
          <w:szCs w:val="32"/>
          <w:highlight w:val="none"/>
        </w:rPr>
        <w:t>年</w:t>
      </w:r>
      <w:r>
        <w:rPr>
          <w:rFonts w:hint="eastAsia" w:eastAsia="仿宋_GB2312" w:cs="Times New Roman"/>
          <w:kern w:val="0"/>
          <w:sz w:val="32"/>
          <w:szCs w:val="32"/>
          <w:highlight w:val="none"/>
          <w:lang w:val="en-US" w:eastAsia="zh-CN"/>
        </w:rPr>
        <w:t>5月13</w:t>
      </w:r>
      <w:r>
        <w:rPr>
          <w:rFonts w:hint="default" w:ascii="Times New Roman" w:hAnsi="Times New Roman" w:eastAsia="仿宋_GB2312" w:cs="Times New Roman"/>
          <w:kern w:val="0"/>
          <w:sz w:val="32"/>
          <w:szCs w:val="32"/>
          <w:highlight w:val="none"/>
        </w:rPr>
        <w:t>日</w:t>
      </w: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rPr>
          <w:rStyle w:val="16"/>
          <w:rFonts w:hint="default" w:ascii="Times New Roman" w:hAnsi="Times New Roman" w:eastAsia="黑体" w:cs="Times New Roman"/>
          <w:b w:val="0"/>
          <w:spacing w:val="-4"/>
          <w:sz w:val="32"/>
          <w:szCs w:val="32"/>
          <w:highlight w:val="none"/>
        </w:rPr>
      </w:pPr>
    </w:p>
    <w:p>
      <w:pPr>
        <w:spacing w:line="560" w:lineRule="exact"/>
        <w:rPr>
          <w:rFonts w:hint="default" w:ascii="Times New Roman" w:hAnsi="Times New Roman" w:eastAsia="黑体" w:cs="Times New Roman"/>
          <w:bCs/>
          <w:sz w:val="32"/>
          <w:szCs w:val="32"/>
          <w:highlight w:val="none"/>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（一）项目概况</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项目背景</w:t>
      </w:r>
    </w:p>
    <w:p>
      <w:pPr>
        <w:pStyle w:val="10"/>
        <w:numPr>
          <w:ilvl w:val="0"/>
          <w:numId w:val="0"/>
        </w:numPr>
        <w:spacing w:before="0" w:after="0" w:line="560" w:lineRule="exact"/>
        <w:ind w:firstLine="640" w:firstLineChars="200"/>
        <w:jc w:val="both"/>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高中生均公用经费项目的背景源于中国政府对于教育公平和质量的持续追求。随着经济社会的快速发展，国家对教育的投入逐年增加，旨在缩小城乡、区域、校际之间的教育差距，保障每位高中生享有均等的教育资源。 立项依据主要包括以下几点：1. 国家政策支持：《中华人民共和国教育法》规定，国家实行九年义务教育，保障学生接受教育的权利。高中阶段教育作为义务教育的延伸，国家也强调要加大投入，提高教育质量。2. 教育公平原则：为了促进教育公平，实现每个人都有机会接受良好教育的目标，政府需要通过均公用经费项目来平衡不同地区和学校之间的教育资源差异。3. 提高教育质量：均公用经费的投入有助于改善学校的办学条件，更新教学设施，提高师资水平，从而提升整体教育质量。4.响应社会需求：随着社会对高素质人才需求的增加，高中阶段教育变得越来越重要。通过均公用经费项目，可以鼓励更多学生完成高中学业，为社会培养更多优秀人才。5.促进教育现代化：均公用经费项目支持学校在信息技术等现代教育手段上的投入，推动教育方式的创新和教育现代化进程。 综上所述，高中生均公用经费项目的背景和立项依据是多方面的，旨在通过政府的财政支持，实现教育资源的合理分配，提高教育质量，推动教育公平，满足社会发展对教育的需求，并促进教育体系的现代化。</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highlight w:val="none"/>
        </w:rPr>
      </w:pPr>
      <w:r>
        <w:rPr>
          <w:rFonts w:hint="default" w:ascii="Times New Roman" w:hAnsi="Times New Roman" w:eastAsia="仿宋_GB2312" w:cs="Times New Roman"/>
          <w:kern w:val="2"/>
          <w:highlight w:val="none"/>
          <w:lang w:val="en-US" w:eastAsia="zh-CN"/>
        </w:rPr>
        <w:t>2.</w:t>
      </w:r>
      <w:r>
        <w:rPr>
          <w:rFonts w:hint="default" w:ascii="Times New Roman" w:hAnsi="Times New Roman" w:eastAsia="仿宋_GB2312" w:cs="Times New Roman"/>
          <w:kern w:val="2"/>
          <w:highlight w:val="none"/>
        </w:rPr>
        <w:t>项目主要内容：</w:t>
      </w:r>
    </w:p>
    <w:p>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p>
    <w:p>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 xml:space="preserve">由财政部门依据生均公用经费标准计算核拨，纳入财政预算保障。对有正式学籍的高中在校学生实行每生每年1000元的生均公用经费补助，经费由县财政在预算专项资金中解决。 </w:t>
      </w:r>
    </w:p>
    <w:p>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 xml:space="preserve">主要用于保障学校正常运转、完成教学活动和其他日常工作任务等方面的支出，包括办公费、水电费、培训费、差旅费、邮电费、图书资料、零星设备、教学用品、实验耗材购置费、学校文体活动费、设施设备日常修理维护修缮费等。  </w:t>
      </w:r>
    </w:p>
    <w:p>
      <w:pPr>
        <w:spacing w:line="560" w:lineRule="exact"/>
        <w:ind w:firstLine="600" w:firstLineChars="200"/>
        <w:rPr>
          <w:rFonts w:hint="default" w:ascii="Times New Roman" w:hAnsi="Times New Roman" w:eastAsia="黑体" w:cs="Times New Roman"/>
          <w:highlight w:val="none"/>
          <w:lang w:eastAsia="zh-CN"/>
        </w:rPr>
      </w:pPr>
      <w:r>
        <w:rPr>
          <w:rFonts w:hint="default" w:ascii="Times New Roman" w:hAnsi="Times New Roman" w:eastAsia="仿宋_GB2312" w:cs="Times New Roman"/>
          <w:sz w:val="30"/>
          <w:szCs w:val="30"/>
          <w:highlight w:val="none"/>
          <w:lang w:val="en-US" w:eastAsia="zh-CN"/>
        </w:rPr>
        <w:t>完善高中教育经费投入保障机制，保障公办高中日常运转，有效改善公办高中的办学条件，促进高中教育事业健康发展，推动教育均衡稳定发展。</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项目实施情况：</w:t>
      </w:r>
    </w:p>
    <w:p>
      <w:pPr>
        <w:spacing w:line="560" w:lineRule="exact"/>
        <w:ind w:firstLine="60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0"/>
          <w:szCs w:val="30"/>
          <w:highlight w:val="none"/>
          <w:lang w:val="en-US" w:eastAsia="zh-CN"/>
        </w:rPr>
        <w:t>2024年用于办公经费、办公设备购置、电费、邮电费、差旅费、维修护理费、物业管理费、教师培训费、其他商品和服务支出、大型维修总计花费348.22万元。</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该项目年初预算数</w:t>
      </w:r>
      <w:r>
        <w:rPr>
          <w:rFonts w:hint="eastAsia" w:ascii="Times New Roman" w:hAnsi="Times New Roman" w:eastAsia="仿宋_GB2312" w:cs="Times New Roman"/>
          <w:sz w:val="30"/>
          <w:szCs w:val="30"/>
          <w:highlight w:val="none"/>
          <w:lang w:val="en-US" w:eastAsia="zh-CN"/>
        </w:rPr>
        <w:t>357.6</w:t>
      </w:r>
      <w:r>
        <w:rPr>
          <w:rFonts w:hint="default" w:ascii="Times New Roman" w:hAnsi="Times New Roman" w:eastAsia="仿宋_GB2312" w:cs="Times New Roman"/>
          <w:sz w:val="30"/>
          <w:szCs w:val="30"/>
          <w:highlight w:val="none"/>
          <w:lang w:val="en-US" w:eastAsia="zh-CN"/>
        </w:rPr>
        <w:t>万元，全年预算数</w:t>
      </w:r>
      <w:r>
        <w:rPr>
          <w:rFonts w:hint="eastAsia" w:ascii="Times New Roman" w:hAnsi="Times New Roman" w:eastAsia="仿宋_GB2312" w:cs="Times New Roman"/>
          <w:sz w:val="30"/>
          <w:szCs w:val="30"/>
          <w:highlight w:val="none"/>
          <w:lang w:val="en-US" w:eastAsia="zh-CN"/>
        </w:rPr>
        <w:t>357.6</w:t>
      </w:r>
      <w:r>
        <w:rPr>
          <w:rFonts w:hint="default" w:ascii="Times New Roman" w:hAnsi="Times New Roman" w:eastAsia="仿宋_GB2312" w:cs="Times New Roman"/>
          <w:sz w:val="30"/>
          <w:szCs w:val="30"/>
          <w:highlight w:val="none"/>
          <w:lang w:val="en-US" w:eastAsia="zh-CN"/>
        </w:rPr>
        <w:t>万元，该项目资金已全部落实到位</w:t>
      </w:r>
      <w:r>
        <w:rPr>
          <w:rFonts w:hint="eastAsia" w:ascii="Times New Roman" w:hAnsi="Times New Roman" w:eastAsia="仿宋_GB2312" w:cs="Times New Roman"/>
          <w:sz w:val="30"/>
          <w:szCs w:val="30"/>
          <w:highlight w:val="none"/>
          <w:lang w:val="en-US" w:eastAsia="zh-CN"/>
        </w:rPr>
        <w:t>348.22万元</w:t>
      </w:r>
      <w:r>
        <w:rPr>
          <w:rFonts w:hint="default" w:ascii="Times New Roman" w:hAnsi="Times New Roman" w:eastAsia="仿宋_GB2312" w:cs="Times New Roman"/>
          <w:sz w:val="30"/>
          <w:szCs w:val="30"/>
          <w:highlight w:val="none"/>
          <w:lang w:val="en-US" w:eastAsia="zh-CN"/>
        </w:rPr>
        <w:t>，资金来源为</w:t>
      </w:r>
      <w:r>
        <w:rPr>
          <w:rFonts w:hint="eastAsia" w:ascii="Times New Roman" w:hAnsi="Times New Roman" w:eastAsia="仿宋_GB2312" w:cs="Times New Roman"/>
          <w:sz w:val="30"/>
          <w:szCs w:val="30"/>
          <w:highlight w:val="none"/>
          <w:lang w:val="en-US" w:eastAsia="zh-CN"/>
        </w:rPr>
        <w:t>财政拨款</w:t>
      </w:r>
      <w:r>
        <w:rPr>
          <w:rFonts w:hint="default" w:ascii="Times New Roman" w:hAnsi="Times New Roman" w:eastAsia="仿宋_GB2312" w:cs="Times New Roman"/>
          <w:sz w:val="30"/>
          <w:szCs w:val="30"/>
          <w:highlight w:val="none"/>
          <w:lang w:val="en-US" w:eastAsia="zh-CN"/>
        </w:rPr>
        <w:t>。</w:t>
      </w:r>
    </w:p>
    <w:p>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（2）资金使用情况</w:t>
      </w:r>
    </w:p>
    <w:p>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该项目年初预算数</w:t>
      </w:r>
      <w:r>
        <w:rPr>
          <w:rFonts w:hint="eastAsia" w:ascii="Times New Roman" w:hAnsi="Times New Roman" w:eastAsia="仿宋_GB2312" w:cs="Times New Roman"/>
          <w:sz w:val="30"/>
          <w:szCs w:val="30"/>
          <w:highlight w:val="none"/>
          <w:lang w:val="en-US" w:eastAsia="zh-CN"/>
        </w:rPr>
        <w:t>357.6</w:t>
      </w:r>
      <w:r>
        <w:rPr>
          <w:rFonts w:hint="default" w:ascii="Times New Roman" w:hAnsi="Times New Roman" w:eastAsia="仿宋_GB2312" w:cs="Times New Roman"/>
          <w:sz w:val="30"/>
          <w:szCs w:val="30"/>
          <w:highlight w:val="none"/>
          <w:lang w:val="en-US" w:eastAsia="zh-CN"/>
        </w:rPr>
        <w:t>万元，全年预算数</w:t>
      </w:r>
      <w:r>
        <w:rPr>
          <w:rFonts w:hint="eastAsia" w:ascii="Times New Roman" w:hAnsi="Times New Roman" w:eastAsia="仿宋_GB2312" w:cs="Times New Roman"/>
          <w:sz w:val="30"/>
          <w:szCs w:val="30"/>
          <w:highlight w:val="none"/>
          <w:lang w:val="en-US" w:eastAsia="zh-CN"/>
        </w:rPr>
        <w:t>357.6</w:t>
      </w:r>
      <w:r>
        <w:rPr>
          <w:rFonts w:hint="default" w:ascii="Times New Roman" w:hAnsi="Times New Roman" w:eastAsia="仿宋_GB2312" w:cs="Times New Roman"/>
          <w:sz w:val="30"/>
          <w:szCs w:val="30"/>
          <w:highlight w:val="none"/>
          <w:lang w:val="en-US" w:eastAsia="zh-CN"/>
        </w:rPr>
        <w:t>万元</w:t>
      </w:r>
      <w:r>
        <w:rPr>
          <w:rFonts w:hint="eastAsia" w:ascii="Times New Roman" w:hAnsi="Times New Roman" w:eastAsia="仿宋_GB2312" w:cs="Times New Roman"/>
          <w:sz w:val="30"/>
          <w:szCs w:val="30"/>
          <w:highlight w:val="none"/>
          <w:lang w:val="en-US" w:eastAsia="zh-CN"/>
        </w:rPr>
        <w:t>，</w:t>
      </w:r>
      <w:r>
        <w:rPr>
          <w:rFonts w:hint="default" w:ascii="Times New Roman" w:hAnsi="Times New Roman" w:eastAsia="仿宋_GB2312" w:cs="Times New Roman"/>
          <w:sz w:val="30"/>
          <w:szCs w:val="30"/>
          <w:highlight w:val="none"/>
          <w:lang w:val="en-US" w:eastAsia="zh-CN"/>
        </w:rPr>
        <w:t>全年执行数</w:t>
      </w:r>
      <w:r>
        <w:rPr>
          <w:rFonts w:hint="eastAsia" w:ascii="Times New Roman" w:hAnsi="Times New Roman" w:eastAsia="仿宋_GB2312" w:cs="Times New Roman"/>
          <w:sz w:val="30"/>
          <w:szCs w:val="30"/>
          <w:highlight w:val="none"/>
          <w:lang w:val="en-US" w:eastAsia="zh-CN"/>
        </w:rPr>
        <w:t>348.22</w:t>
      </w:r>
      <w:r>
        <w:rPr>
          <w:rFonts w:hint="default" w:ascii="Times New Roman" w:hAnsi="Times New Roman" w:eastAsia="仿宋_GB2312" w:cs="Times New Roman"/>
          <w:sz w:val="30"/>
          <w:szCs w:val="30"/>
          <w:highlight w:val="none"/>
          <w:lang w:val="en-US" w:eastAsia="zh-CN"/>
        </w:rPr>
        <w:t>万元，预算执行率为</w:t>
      </w:r>
      <w:r>
        <w:rPr>
          <w:rFonts w:hint="eastAsia" w:ascii="Times New Roman" w:hAnsi="Times New Roman" w:eastAsia="仿宋_GB2312" w:cs="Times New Roman"/>
          <w:sz w:val="30"/>
          <w:szCs w:val="30"/>
          <w:highlight w:val="none"/>
          <w:lang w:val="en-US" w:eastAsia="zh-CN"/>
        </w:rPr>
        <w:t>97.38</w:t>
      </w:r>
      <w:r>
        <w:rPr>
          <w:rFonts w:hint="default" w:ascii="Times New Roman" w:hAnsi="Times New Roman" w:eastAsia="仿宋_GB2312" w:cs="Times New Roman"/>
          <w:sz w:val="30"/>
          <w:szCs w:val="30"/>
          <w:highlight w:val="none"/>
          <w:lang w:val="en-US" w:eastAsia="zh-CN"/>
        </w:rPr>
        <w:t>%，主要</w:t>
      </w:r>
      <w:r>
        <w:rPr>
          <w:rFonts w:hint="eastAsia" w:ascii="Times New Roman" w:hAnsi="Times New Roman" w:eastAsia="仿宋_GB2312" w:cs="Times New Roman"/>
          <w:sz w:val="30"/>
          <w:szCs w:val="30"/>
          <w:highlight w:val="none"/>
          <w:lang w:val="en-US" w:eastAsia="zh-CN"/>
        </w:rPr>
        <w:t>用于学校的日常运营和教学活动，购买更新教学设备和材料</w:t>
      </w:r>
      <w:r>
        <w:rPr>
          <w:rFonts w:hint="default" w:ascii="Times New Roman" w:hAnsi="Times New Roman" w:eastAsia="仿宋_GB2312" w:cs="Times New Roman"/>
          <w:sz w:val="30"/>
          <w:szCs w:val="30"/>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总体目标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以提升高中教育质量、保障学校正常运转、促进教育公平为核心，确保高中生均公用经费科学分配、规范使用，实现资金效益最大化，推动高中教育高质量发展。</w:t>
      </w:r>
    </w:p>
    <w:p>
      <w:pPr>
        <w:numPr>
          <w:ilvl w:val="0"/>
          <w:numId w:val="1"/>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阶段性目标</w:t>
      </w:r>
    </w:p>
    <w:p>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第一阶段（1-3月/第一季度）</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投入目标：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完成年度预算编制工作，确保预算项目细化率≥90%，经教育部门审核通过。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落实第一季度公用经费拨付，资金到位率≥95%。</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过程目标：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开展学校财务人员培训，强化经费使用规范，培训覆盖率达100%。</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完成学校财务管理制度自查，整改问题项≥80%。</w:t>
      </w:r>
    </w:p>
    <w:p>
      <w:p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2</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第二阶段（4-6月/第二季度）</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产出目标：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完成教学设备采购项目招标工作，启动设备安装调试，完成率≥50%。</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组织教师参加学科教研活动≥8次，覆盖率达90%。</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效益目标：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开展学生满意度调查，初步收集教学设施改善反馈，问题整改响应率≥</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w:t>
      </w:r>
    </w:p>
    <w:p>
      <w:p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3</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第三阶段（7-9月/第三季度）</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投入与过程目标：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完成上半年经费使用情况审计，整改违规问题，整改完成率100%。</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公开上半年公用经费使用明细，信息公示及时率100%。</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产出目标：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完成暑期校园维修维护工程，验收合格率≥95%。</w:t>
      </w:r>
    </w:p>
    <w:p>
      <w:p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4</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第四阶段（10-12月/第四季度）</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产出目标：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完成全年教学设备采购更新，使用率≥80%。</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组织学生参与体艺类竞赛≥5场，参与学生人数达60%以上。</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效益目标：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开展年度师生、家长满意度调查，总体满意度≥85%。</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总结全年经费使用成效，形成分析报告并提交教育主管部门。</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本项目预算绩效评价报告的评价对象是特克斯县高级中学2024年高中生均公用经费及其预算执行情况。该项目由</w:t>
      </w:r>
      <w:r>
        <w:rPr>
          <w:rFonts w:hint="eastAsia" w:ascii="Times New Roman" w:hAnsi="Times New Roman" w:eastAsia="仿宋_GB2312" w:cs="Times New Roman"/>
          <w:sz w:val="32"/>
          <w:szCs w:val="32"/>
          <w:highlight w:val="none"/>
          <w:lang w:eastAsia="zh-CN"/>
        </w:rPr>
        <w:t>特克斯县高级中学</w:t>
      </w:r>
      <w:r>
        <w:rPr>
          <w:rFonts w:hint="default" w:ascii="Times New Roman" w:hAnsi="Times New Roman" w:eastAsia="仿宋_GB2312" w:cs="Times New Roman"/>
          <w:sz w:val="32"/>
          <w:szCs w:val="32"/>
          <w:highlight w:val="none"/>
        </w:rPr>
        <w:t>负责实施，旨在实现资金效益最大化，推动高中教育高质量发展</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项目预算涵盖从</w:t>
      </w:r>
      <w:r>
        <w:rPr>
          <w:rFonts w:hint="eastAsia" w:ascii="Times New Roman" w:hAnsi="Times New Roman" w:eastAsia="仿宋_GB2312" w:cs="Times New Roman"/>
          <w:sz w:val="32"/>
          <w:szCs w:val="32"/>
          <w:highlight w:val="none"/>
          <w:lang w:val="en-US" w:eastAsia="zh-CN"/>
        </w:rPr>
        <w:t>2024年1月1日起</w:t>
      </w:r>
      <w:r>
        <w:rPr>
          <w:rFonts w:hint="default" w:ascii="Times New Roman" w:hAnsi="Times New Roman" w:eastAsia="仿宋_GB2312" w:cs="Times New Roman"/>
          <w:sz w:val="32"/>
          <w:szCs w:val="32"/>
          <w:highlight w:val="none"/>
        </w:rPr>
        <w:t>至</w:t>
      </w:r>
      <w:r>
        <w:rPr>
          <w:rFonts w:hint="eastAsia" w:ascii="Times New Roman" w:hAnsi="Times New Roman" w:eastAsia="仿宋_GB2312" w:cs="Times New Roman"/>
          <w:sz w:val="32"/>
          <w:szCs w:val="32"/>
          <w:highlight w:val="none"/>
          <w:lang w:val="en-US" w:eastAsia="zh-CN"/>
        </w:rPr>
        <w:t>2024年12月31日</w:t>
      </w:r>
      <w:r>
        <w:rPr>
          <w:rFonts w:hint="default" w:ascii="Times New Roman" w:hAnsi="Times New Roman" w:eastAsia="仿宋_GB2312" w:cs="Times New Roman"/>
          <w:sz w:val="32"/>
          <w:szCs w:val="32"/>
          <w:highlight w:val="none"/>
        </w:rPr>
        <w:t>的全部资金投入与支出，涉及资金总额为</w:t>
      </w:r>
      <w:r>
        <w:rPr>
          <w:rFonts w:hint="eastAsia" w:ascii="Times New Roman" w:hAnsi="Times New Roman" w:eastAsia="仿宋_GB2312" w:cs="Times New Roman"/>
          <w:sz w:val="32"/>
          <w:szCs w:val="32"/>
          <w:highlight w:val="none"/>
          <w:lang w:val="en-US" w:eastAsia="zh-CN"/>
        </w:rPr>
        <w:t>348.22</w:t>
      </w:r>
      <w:r>
        <w:rPr>
          <w:rFonts w:hint="default" w:ascii="Times New Roman" w:hAnsi="Times New Roman" w:eastAsia="仿宋_GB2312" w:cs="Times New Roman"/>
          <w:sz w:val="32"/>
          <w:szCs w:val="32"/>
          <w:highlight w:val="none"/>
          <w:lang w:val="en-US" w:eastAsia="zh-CN"/>
        </w:rPr>
        <w:t>万</w:t>
      </w:r>
      <w:r>
        <w:rPr>
          <w:rFonts w:hint="default" w:ascii="Times New Roman" w:hAnsi="Times New Roman" w:eastAsia="仿宋_GB2312" w:cs="Times New Roman"/>
          <w:sz w:val="32"/>
          <w:szCs w:val="32"/>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社会影响：考察项目对社会、经济等方面的综合影响。</w:t>
      </w:r>
    </w:p>
    <w:p>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绩效评价原则</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本次项目绩效评价遵循以下基本原则：</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评价指标体系</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绩效评价框架是开展绩效评价的核心。绩效评价框架包括评价准则、关键评价问题、评价指标、数据来源、数据收集方法等。指标体系建立过程如下：</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（1）确定评价指标</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（2）确定权重</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确定各个指标相对于项目总体绩效的权重分值。在绩效评价指标体系中，项目决策权重为20分，项目过程权重为20分，项目产出权重为40分，项目效益权重为20分。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（3）确定指标标准值</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指标标准值是绩效评价指标的尺度，既要反映同类项目的先进水平，又要符合项目的实际绩效水平。具体采用计划标准等确定此次绩效评价指标标准值。</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绩效评价总分值100分，根据综合评分结果，90（含）-100分为优、80（含）-90分为良、60（含）-80分为中、60分以下为差。</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绩效评价从项目决策、项目过程、项目产出、项目效益四个维度进行评价。评价对象为项目目标实施情况，  评价核心为资金的支出完成情况和项目的产出效益。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本次评价指标中，既有定性指标又有定量指标，各类指标因考核内容不同和客观标准不同存在较大差异，因此核定具体指标时采用了不同方法，具体评价方法如下：</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最低成本法。是指在绩效目标确定的前提下，成本最小者为优的方法。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lang w:val="en-US" w:eastAsia="zh-CN"/>
        </w:rPr>
        <w:t>最低成本法有助于在确保教育服务基本质量的前提下找到实现既定教育目标的最低成本投入方式，使有限的公用经费得到最有效的利用，让更多学生受益。同时可以促使学校优化经费支出结构，减少不必要的开支，将资金投入到对教育质量提升最关键的环节。同时能帮助教育主管部门和学校在不降低教育服务质量的基础上，合理配置资源，实现资源利用的经济效益最大化。</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eastAsia="zh-CN"/>
        </w:rPr>
        <w:t>计划</w:t>
      </w:r>
      <w:r>
        <w:rPr>
          <w:rFonts w:hint="default" w:ascii="Times New Roman" w:hAnsi="Times New Roman" w:eastAsia="仿宋_GB2312" w:cs="Times New Roman"/>
          <w:b w:val="0"/>
          <w:bCs w:val="0"/>
          <w:highlight w:val="none"/>
        </w:rPr>
        <w:t>标准</w:t>
      </w:r>
      <w:r>
        <w:rPr>
          <w:rFonts w:hint="eastAsia" w:ascii="Times New Roman" w:hAnsi="Times New Roman" w:eastAsia="仿宋_GB2312" w:cs="Times New Roman"/>
          <w:b w:val="0"/>
          <w:bCs w:val="0"/>
          <w:highlight w:val="none"/>
          <w:lang w:eastAsia="zh-CN"/>
        </w:rPr>
        <w:t>、行业标准等</w:t>
      </w:r>
      <w:r>
        <w:rPr>
          <w:rFonts w:hint="default" w:ascii="Times New Roman" w:hAnsi="Times New Roman" w:eastAsia="仿宋_GB2312" w:cs="Times New Roman"/>
          <w:b w:val="0"/>
          <w:bCs w:val="0"/>
          <w:highlight w:val="none"/>
        </w:rPr>
        <w:t>。</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计划标准。指以预先制定的目标、计划、预算、定额等作为评价标准。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eastAsia" w:ascii="Times New Roman" w:hAnsi="Times New Roman" w:eastAsia="仿宋_GB2312" w:cs="Times New Roman"/>
          <w:b w:val="0"/>
          <w:bCs w:val="0"/>
          <w:highlight w:val="none"/>
          <w:lang w:val="en-US" w:eastAsia="zh-CN"/>
        </w:rPr>
        <w:t>明确的计划标准能够让学校在经费使用上有明确的预期，有力学学校制定长期的发展规划确保学校各项工作的稳定开展。便于有关部门对生均公用经费进行监督和评估，通过将实际经费使用情况与计划标准进行对比，可及时发现问题并采取相应措施及时进行调整和改进，提高生均公用经费的使用效率。</w:t>
      </w:r>
    </w:p>
    <w:p>
      <w:pPr>
        <w:pStyle w:val="10"/>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w:t>
      </w:r>
      <w:r>
        <w:rPr>
          <w:rFonts w:hint="eastAsia" w:eastAsia="仿宋_GB2312" w:cs="Times New Roman"/>
          <w:sz w:val="32"/>
          <w:szCs w:val="32"/>
          <w:highlight w:val="none"/>
          <w:lang w:eastAsia="zh-CN"/>
        </w:rPr>
        <w:t>师生</w:t>
      </w:r>
      <w:r>
        <w:rPr>
          <w:rFonts w:hint="default" w:ascii="Times New Roman" w:hAnsi="Times New Roman" w:eastAsia="仿宋_GB2312" w:cs="Times New Roman"/>
          <w:sz w:val="32"/>
          <w:szCs w:val="32"/>
          <w:highlight w:val="none"/>
          <w:lang w:eastAsia="zh-CN"/>
        </w:rPr>
        <w:t>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本项目的综合评价基于对项目各方面绩效的深入分析与评估。从项目目标的达成情况来看，特克斯县高级中学2024年高中生均公用经费在食堂用电扩容改造工程</w:t>
      </w:r>
      <w:r>
        <w:rPr>
          <w:rFonts w:hint="eastAsia" w:ascii="Times New Roman" w:hAnsi="Times New Roman" w:eastAsia="仿宋_GB2312" w:cs="Times New Roman"/>
          <w:sz w:val="32"/>
          <w:szCs w:val="32"/>
          <w:highlight w:val="none"/>
          <w:lang w:eastAsia="zh-CN"/>
        </w:rPr>
        <w:t>、消防设施防火门安装和高位水箱架设</w:t>
      </w:r>
      <w:r>
        <w:rPr>
          <w:rFonts w:hint="default" w:ascii="Times New Roman" w:hAnsi="Times New Roman" w:eastAsia="仿宋_GB2312" w:cs="Times New Roman"/>
          <w:sz w:val="32"/>
          <w:szCs w:val="32"/>
          <w:highlight w:val="none"/>
          <w:lang w:eastAsia="zh-CN"/>
        </w:rPr>
        <w:t>等方面表现出色，达到了预期的标准与要求。同时，项目也在室内消防设施管网维修取得了显著的成效，如维修桌椅板凳、焊接暖气、制作拱门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购买学生桌椅板凳等。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特克斯县高级中学</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eastAsia="仿宋_GB2312" w:cs="Times New Roman"/>
          <w:sz w:val="32"/>
          <w:szCs w:val="32"/>
          <w:highlight w:val="none"/>
          <w:lang w:eastAsia="zh-CN"/>
        </w:rPr>
      </w:pPr>
      <w:r>
        <w:rPr>
          <w:rFonts w:hint="default" w:eastAsia="仿宋_GB2312" w:cs="Times New Roman"/>
          <w:sz w:val="32"/>
          <w:szCs w:val="32"/>
          <w:highlight w:val="none"/>
          <w:lang w:eastAsia="zh-CN"/>
        </w:rPr>
        <w:t>从项目效益的角度来看，本项目不仅实现了预期的社会效益、</w:t>
      </w:r>
      <w:r>
        <w:rPr>
          <w:rFonts w:hint="eastAsia" w:eastAsia="仿宋_GB2312" w:cs="Times New Roman"/>
          <w:sz w:val="32"/>
          <w:szCs w:val="32"/>
          <w:highlight w:val="none"/>
          <w:lang w:val="en-US" w:eastAsia="zh-CN"/>
        </w:rPr>
        <w:t>经济效益</w:t>
      </w:r>
      <w:r>
        <w:rPr>
          <w:rFonts w:hint="default" w:eastAsia="仿宋_GB2312" w:cs="Times New Roman"/>
          <w:sz w:val="32"/>
          <w:szCs w:val="32"/>
          <w:highlight w:val="none"/>
          <w:lang w:eastAsia="zh-CN"/>
        </w:rPr>
        <w:t>等方面产生了积极的影响。具体而言，</w:t>
      </w:r>
      <w:r>
        <w:rPr>
          <w:rFonts w:hint="eastAsia" w:eastAsia="仿宋_GB2312" w:cs="Times New Roman"/>
          <w:sz w:val="32"/>
          <w:szCs w:val="32"/>
          <w:highlight w:val="none"/>
          <w:lang w:eastAsia="zh-CN"/>
        </w:rPr>
        <w:t>可持续效益和社会效益</w:t>
      </w:r>
      <w:r>
        <w:rPr>
          <w:rFonts w:hint="default" w:eastAsia="仿宋_GB2312" w:cs="Times New Roman"/>
          <w:sz w:val="32"/>
          <w:szCs w:val="32"/>
          <w:highlight w:val="none"/>
          <w:lang w:eastAsia="zh-CN"/>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eastAsia="仿宋_GB2312" w:cs="Times New Roman"/>
          <w:sz w:val="32"/>
          <w:szCs w:val="32"/>
          <w:highlight w:val="none"/>
          <w:lang w:eastAsia="zh-CN"/>
        </w:rPr>
      </w:pPr>
      <w:r>
        <w:rPr>
          <w:rFonts w:hint="default" w:eastAsia="仿宋_GB2312" w:cs="Times New Roman"/>
          <w:sz w:val="32"/>
          <w:szCs w:val="32"/>
          <w:highlight w:val="none"/>
          <w:lang w:eastAsia="zh-CN"/>
        </w:rPr>
        <w:t>综上所述，特克斯县高级中学2024年高中生均公用经费</w:t>
      </w:r>
      <w:r>
        <w:rPr>
          <w:rFonts w:hint="eastAsia" w:eastAsia="仿宋_GB2312" w:cs="Times New Roman"/>
          <w:sz w:val="32"/>
          <w:szCs w:val="32"/>
          <w:highlight w:val="none"/>
          <w:lang w:eastAsia="zh-CN"/>
        </w:rPr>
        <w:t>项目</w:t>
      </w:r>
      <w:r>
        <w:rPr>
          <w:rFonts w:hint="default" w:eastAsia="仿宋_GB2312" w:cs="Times New Roman"/>
          <w:sz w:val="32"/>
          <w:szCs w:val="32"/>
          <w:highlight w:val="none"/>
          <w:lang w:eastAsia="zh-CN"/>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96</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38</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18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97</w:t>
            </w:r>
          </w:p>
        </w:tc>
      </w:tr>
    </w:tbl>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w:t>
      </w:r>
      <w:r>
        <w:rPr>
          <w:rFonts w:hint="default" w:ascii="Times New Roman" w:hAnsi="Times New Roman" w:eastAsia="仿宋_GB2312" w:cs="Times New Roman"/>
          <w:sz w:val="32"/>
          <w:szCs w:val="32"/>
          <w:highlight w:val="none"/>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Han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eastAsia="zh-Han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5"/>
        </w:numPr>
        <w:spacing w:before="0" w:after="0" w:line="560" w:lineRule="exact"/>
        <w:ind w:left="-643" w:leftChars="0" w:firstLine="643" w:firstLineChars="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348.22</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348.22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97.38</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pPr>
        <w:pStyle w:val="12"/>
        <w:numPr>
          <w:ilvl w:val="0"/>
          <w:numId w:val="5"/>
        </w:numPr>
        <w:spacing w:line="560" w:lineRule="exact"/>
        <w:ind w:left="-643" w:leftChars="0" w:firstLine="643" w:firstLineChars="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ascii="Times New Roman" w:hAnsi="Times New Roman" w:eastAsia="仿宋_GB2312" w:cs="Times New Roman"/>
          <w:sz w:val="32"/>
          <w:szCs w:val="32"/>
          <w:highlight w:val="none"/>
          <w:lang w:val="en-US" w:eastAsia="zh-CN"/>
        </w:rPr>
        <w:t>3</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9</w:t>
      </w:r>
      <w:r>
        <w:rPr>
          <w:rFonts w:hint="eastAsia" w:eastAsia="仿宋_GB2312" w:cs="Times New Roman"/>
          <w:sz w:val="32"/>
          <w:szCs w:val="32"/>
          <w:highlight w:val="none"/>
          <w:lang w:val="en-US" w:eastAsia="zh-CN"/>
        </w:rPr>
        <w:t>7.5</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发放次数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2次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公用经费发放准确率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3576人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3483人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97.39</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资金按期拨付率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公用经费发放标准</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1000元/年/生</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1000元/年/生</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2"/>
        <w:numPr>
          <w:ilvl w:val="0"/>
          <w:numId w:val="5"/>
        </w:numPr>
        <w:spacing w:line="560" w:lineRule="exact"/>
        <w:ind w:left="-643" w:leftChars="0" w:firstLine="643" w:firstLineChars="0"/>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6"/>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学生家庭经济负担，</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计划标准，</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有效减轻，</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完成满意度指标，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学生满意率，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highlight w:val="none"/>
          <w:lang w:val="en-US" w:eastAsia="zh-Han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eastAsia="zh-Hans"/>
        </w:rPr>
        <w:t>预算执行进度与绩效指标总体完成率偏差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特克斯县生均公用经费</w:t>
      </w:r>
      <w:r>
        <w:rPr>
          <w:rFonts w:hint="default" w:ascii="Times New Roman" w:hAnsi="Times New Roman" w:eastAsia="仿宋_GB2312" w:cs="Times New Roman"/>
          <w:sz w:val="32"/>
          <w:szCs w:val="32"/>
          <w:highlight w:val="none"/>
          <w:lang w:val="en-US" w:eastAsia="zh-CN"/>
        </w:rPr>
        <w:t>项目年初预算</w:t>
      </w:r>
      <w:r>
        <w:rPr>
          <w:rFonts w:hint="eastAsia" w:ascii="Times New Roman" w:hAnsi="Times New Roman" w:eastAsia="仿宋_GB2312" w:cs="Times New Roman"/>
          <w:sz w:val="32"/>
          <w:szCs w:val="32"/>
          <w:highlight w:val="none"/>
          <w:lang w:val="en-US" w:eastAsia="zh-CN"/>
        </w:rPr>
        <w:t>357.6</w:t>
      </w:r>
      <w:r>
        <w:rPr>
          <w:rFonts w:hint="default" w:ascii="Times New Roman" w:hAnsi="Times New Roman" w:eastAsia="仿宋_GB2312" w:cs="Times New Roman"/>
          <w:sz w:val="32"/>
          <w:szCs w:val="32"/>
          <w:highlight w:val="none"/>
          <w:lang w:val="en-US" w:eastAsia="zh-CN"/>
        </w:rPr>
        <w:t>万元，全年预算</w:t>
      </w:r>
      <w:r>
        <w:rPr>
          <w:rFonts w:hint="eastAsia" w:ascii="Times New Roman" w:hAnsi="Times New Roman" w:eastAsia="仿宋_GB2312" w:cs="Times New Roman"/>
          <w:sz w:val="32"/>
          <w:szCs w:val="32"/>
          <w:highlight w:val="none"/>
          <w:lang w:val="en-US" w:eastAsia="zh-CN"/>
        </w:rPr>
        <w:t>357.6</w:t>
      </w:r>
      <w:r>
        <w:rPr>
          <w:rFonts w:hint="default" w:ascii="Times New Roman" w:hAnsi="Times New Roman" w:eastAsia="仿宋_GB2312" w:cs="Times New Roman"/>
          <w:sz w:val="32"/>
          <w:szCs w:val="32"/>
          <w:highlight w:val="none"/>
          <w:lang w:val="en-US" w:eastAsia="zh-CN"/>
        </w:rPr>
        <w:t>万元，实际支出</w:t>
      </w:r>
      <w:r>
        <w:rPr>
          <w:rFonts w:hint="eastAsia" w:ascii="Times New Roman" w:hAnsi="Times New Roman" w:eastAsia="仿宋_GB2312" w:cs="Times New Roman"/>
          <w:sz w:val="32"/>
          <w:szCs w:val="32"/>
          <w:highlight w:val="none"/>
          <w:lang w:val="en-US" w:eastAsia="zh-CN"/>
        </w:rPr>
        <w:t>348.22</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97.38</w:t>
      </w:r>
      <w:r>
        <w:rPr>
          <w:rFonts w:hint="default" w:ascii="Times New Roman" w:hAnsi="Times New Roman" w:eastAsia="仿宋_GB2312" w:cs="Times New Roman"/>
          <w:sz w:val="32"/>
          <w:szCs w:val="32"/>
          <w:highlight w:val="none"/>
          <w:lang w:val="en-US" w:eastAsia="zh-CN"/>
        </w:rPr>
        <w:t>%，项目绩效指标总体完成率为</w:t>
      </w:r>
      <w:r>
        <w:rPr>
          <w:rFonts w:hint="eastAsia" w:ascii="Times New Roman" w:hAnsi="Times New Roman" w:eastAsia="仿宋_GB2312" w:cs="Times New Roman"/>
          <w:sz w:val="32"/>
          <w:szCs w:val="32"/>
          <w:highlight w:val="none"/>
          <w:lang w:val="en-US" w:eastAsia="zh-CN"/>
        </w:rPr>
        <w:t>98.29</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Hans"/>
        </w:rPr>
        <w:t>总体</w:t>
      </w:r>
      <w:r>
        <w:rPr>
          <w:rFonts w:hint="default" w:ascii="Times New Roman" w:hAnsi="Times New Roman" w:eastAsia="仿宋_GB2312" w:cs="Times New Roman"/>
          <w:sz w:val="32"/>
          <w:szCs w:val="32"/>
          <w:highlight w:val="none"/>
          <w:lang w:val="en-US" w:eastAsia="zh-CN"/>
        </w:rPr>
        <w:t>偏差率为</w:t>
      </w:r>
      <w:r>
        <w:rPr>
          <w:rFonts w:hint="eastAsia" w:ascii="Times New Roman" w:hAnsi="Times New Roman" w:eastAsia="仿宋_GB2312" w:cs="Times New Roman"/>
          <w:sz w:val="32"/>
          <w:szCs w:val="32"/>
          <w:highlight w:val="none"/>
          <w:lang w:val="en-US" w:eastAsia="zh-CN"/>
        </w:rPr>
        <w:t>0.91</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Hans"/>
        </w:rPr>
        <w:t>偏差</w:t>
      </w:r>
      <w:r>
        <w:rPr>
          <w:rFonts w:hint="default" w:ascii="Times New Roman" w:hAnsi="Times New Roman" w:eastAsia="仿宋_GB2312" w:cs="Times New Roman"/>
          <w:sz w:val="32"/>
          <w:szCs w:val="32"/>
          <w:highlight w:val="none"/>
          <w:lang w:val="en-US" w:eastAsia="zh-CN"/>
        </w:rPr>
        <w:t>原因</w:t>
      </w:r>
      <w:r>
        <w:rPr>
          <w:rFonts w:hint="eastAsia" w:ascii="Times New Roman" w:hAnsi="Times New Roman" w:eastAsia="仿宋_GB2312" w:cs="Times New Roman"/>
          <w:sz w:val="32"/>
          <w:szCs w:val="32"/>
          <w:highlight w:val="none"/>
          <w:lang w:val="en-US" w:eastAsia="zh-CN"/>
        </w:rPr>
        <w:t>：上级资金未及时拨付</w:t>
      </w:r>
      <w:r>
        <w:rPr>
          <w:rFonts w:hint="default" w:ascii="Times New Roman" w:hAnsi="Times New Roman" w:eastAsia="仿宋_GB2312" w:cs="Times New Roman"/>
          <w:sz w:val="32"/>
          <w:szCs w:val="32"/>
          <w:highlight w:val="none"/>
          <w:lang w:val="en-US" w:eastAsia="zh-CN"/>
        </w:rPr>
        <w:t>。</w:t>
      </w:r>
    </w:p>
    <w:p>
      <w:pPr>
        <w:spacing w:line="560" w:lineRule="exact"/>
        <w:ind w:firstLine="640" w:firstLineChars="200"/>
        <w:rPr>
          <w:rStyle w:val="18"/>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eastAsia"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w:t>
      </w:r>
      <w:r>
        <w:rPr>
          <w:rFonts w:hint="eastAsia" w:ascii="Times New Roman" w:hAnsi="Times New Roman" w:eastAsia="仿宋_GB2312" w:cs="Times New Roman"/>
          <w:sz w:val="32"/>
          <w:szCs w:val="32"/>
          <w:highlight w:val="none"/>
          <w:lang w:val="en-US" w:eastAsia="zh-CN"/>
        </w:rPr>
        <w:t>师生满意度</w:t>
      </w:r>
      <w:r>
        <w:rPr>
          <w:rFonts w:hint="default" w:ascii="Times New Roman" w:hAnsi="Times New Roman" w:eastAsia="仿宋_GB2312" w:cs="Times New Roman"/>
          <w:sz w:val="32"/>
          <w:szCs w:val="32"/>
          <w:highlight w:val="none"/>
          <w:lang w:val="en-US" w:eastAsia="zh-CN"/>
        </w:rPr>
        <w:t>调查及项目防范工作。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严格坚持先做事、后验收、再拨付的原则，</w:t>
      </w:r>
      <w:r>
        <w:rPr>
          <w:rFonts w:hint="eastAsia" w:ascii="Times New Roman" w:hAnsi="Times New Roman" w:eastAsia="仿宋_GB2312" w:cs="Times New Roman"/>
          <w:sz w:val="32"/>
          <w:szCs w:val="32"/>
          <w:highlight w:val="none"/>
          <w:lang w:val="en-US" w:eastAsia="zh-CN"/>
        </w:rPr>
        <w:t>杜绝</w:t>
      </w:r>
      <w:r>
        <w:rPr>
          <w:rFonts w:hint="default" w:ascii="Times New Roman" w:hAnsi="Times New Roman" w:eastAsia="仿宋_GB2312" w:cs="Times New Roman"/>
          <w:sz w:val="32"/>
          <w:szCs w:val="32"/>
          <w:highlight w:val="none"/>
          <w:lang w:val="en-US" w:eastAsia="zh-CN"/>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7"/>
        </w:num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pPr>
        <w:numPr>
          <w:ilvl w:val="0"/>
          <w:numId w:val="0"/>
        </w:numPr>
        <w:shd w:val="clear"/>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eastAsia="仿宋_GB2312" w:cs="Times New Roman"/>
          <w:b w:val="0"/>
          <w:bCs w:val="0"/>
          <w:kern w:val="2"/>
          <w:sz w:val="32"/>
          <w:szCs w:val="32"/>
          <w:highlight w:val="none"/>
          <w:lang w:val="en-US" w:eastAsia="zh-CN" w:bidi="ar-SA"/>
        </w:rPr>
        <w:t>1.</w:t>
      </w:r>
      <w:r>
        <w:rPr>
          <w:rFonts w:hint="eastAsia" w:ascii="Times New Roman" w:hAnsi="Times New Roman" w:eastAsia="仿宋_GB2312" w:cs="Times New Roman"/>
          <w:b w:val="0"/>
          <w:bCs w:val="0"/>
          <w:kern w:val="2"/>
          <w:sz w:val="32"/>
          <w:szCs w:val="32"/>
          <w:highlight w:val="none"/>
          <w:lang w:val="en-US" w:eastAsia="zh-CN" w:bidi="ar-SA"/>
        </w:rPr>
        <w:t>经费管理方面：可能存在监管不到位，使用效率低。另外，经费使用可能偏向硬件，忽视软件等问题。</w:t>
      </w:r>
    </w:p>
    <w:p>
      <w:pPr>
        <w:numPr>
          <w:ilvl w:val="0"/>
          <w:numId w:val="0"/>
        </w:numPr>
        <w:shd w:val="clear"/>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2.政策执行中的问题，比如地方财政压力大，拨款不到位，或者审计不严，绩效评价</w:t>
      </w:r>
      <w:r>
        <w:rPr>
          <w:rFonts w:hint="eastAsia" w:eastAsia="仿宋_GB2312" w:cs="Times New Roman"/>
          <w:b w:val="0"/>
          <w:bCs w:val="0"/>
          <w:kern w:val="2"/>
          <w:sz w:val="32"/>
          <w:szCs w:val="32"/>
          <w:highlight w:val="none"/>
          <w:lang w:val="en-US" w:eastAsia="zh-CN" w:bidi="ar-SA"/>
        </w:rPr>
        <w:t>不够精准</w:t>
      </w:r>
      <w:r>
        <w:rPr>
          <w:rFonts w:hint="eastAsia" w:ascii="Times New Roman" w:hAnsi="Times New Roman" w:eastAsia="仿宋_GB2312" w:cs="Times New Roman"/>
          <w:b w:val="0"/>
          <w:bCs w:val="0"/>
          <w:kern w:val="2"/>
          <w:sz w:val="32"/>
          <w:szCs w:val="32"/>
          <w:highlight w:val="none"/>
          <w:lang w:val="en-US" w:eastAsia="zh-CN" w:bidi="ar-SA"/>
        </w:rPr>
        <w:t>。</w:t>
      </w:r>
    </w:p>
    <w:p>
      <w:pPr>
        <w:numPr>
          <w:ilvl w:val="0"/>
          <w:numId w:val="0"/>
        </w:numPr>
        <w:shd w:val="clear"/>
        <w:spacing w:line="600" w:lineRule="exact"/>
        <w:ind w:firstLine="640" w:firstLineChars="200"/>
        <w:outlineLvl w:val="0"/>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3.可能存在数据不透明，公众监督不够，导致经费使用效率低。</w:t>
      </w:r>
    </w:p>
    <w:p>
      <w:pPr>
        <w:spacing w:line="560" w:lineRule="exact"/>
        <w:ind w:firstLine="640" w:firstLineChars="20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w:t>
      </w:r>
    </w:p>
    <w:p>
      <w:pPr>
        <w:shd w:val="clear"/>
        <w:spacing w:line="60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0" w:name="page8"/>
      <w:bookmarkEnd w:id="0"/>
      <w:r>
        <w:rPr>
          <w:rFonts w:hint="default" w:ascii="Times New Roman" w:hAnsi="Times New Roman" w:eastAsia="黑体" w:cs="Times New Roman"/>
          <w:sz w:val="32"/>
          <w:szCs w:val="32"/>
          <w:highlight w:val="none"/>
        </w:rPr>
        <w:t>明的问题</w:t>
      </w:r>
    </w:p>
    <w:p>
      <w:pPr>
        <w:pStyle w:val="13"/>
        <w:spacing w:after="0" w:line="560" w:lineRule="exact"/>
        <w:ind w:left="0" w:leftChars="0"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Hans"/>
        </w:rPr>
        <w:t>本项目无其他需说明的问题。</w:t>
      </w:r>
    </w:p>
    <w:p>
      <w:pPr>
        <w:pStyle w:val="13"/>
        <w:spacing w:after="0" w:line="560" w:lineRule="exact"/>
        <w:ind w:left="0" w:leftChars="0" w:firstLine="0" w:firstLineChars="0"/>
        <w:rPr>
          <w:rFonts w:hint="default" w:ascii="Times New Roman" w:hAnsi="Times New Roman" w:eastAsia="仿宋_GB2312" w:cs="Times New Roman"/>
          <w:sz w:val="32"/>
          <w:szCs w:val="32"/>
          <w:highlight w:val="none"/>
        </w:rPr>
      </w:pPr>
    </w:p>
    <w:p>
      <w:pPr>
        <w:spacing w:line="600" w:lineRule="exact"/>
        <w:rPr>
          <w:rFonts w:hint="eastAsia" w:ascii="Times New Roman" w:hAnsi="Times New Roman" w:eastAsia="黑体" w:cs="Times New Roman"/>
          <w:sz w:val="32"/>
          <w:szCs w:val="32"/>
          <w:highlight w:val="none"/>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附件</w:t>
      </w:r>
      <w:r>
        <w:rPr>
          <w:rFonts w:hint="eastAsia" w:eastAsia="黑体" w:cs="Times New Roman"/>
          <w:sz w:val="32"/>
          <w:szCs w:val="32"/>
          <w:highlight w:val="none"/>
          <w:lang w:val="en-US" w:eastAsia="zh-CN"/>
        </w:rPr>
        <w:t>1</w:t>
      </w:r>
    </w:p>
    <w:p>
      <w:pPr>
        <w:pStyle w:val="19"/>
        <w:ind w:firstLine="562"/>
        <w:jc w:val="center"/>
        <w:rPr>
          <w:rFonts w:hint="eastAsia" w:ascii="仿宋_GB2312" w:hAnsi="仿宋_GB2312" w:eastAsia="仿宋_GB2312" w:cs="仿宋_GB2312"/>
          <w:sz w:val="28"/>
          <w:szCs w:val="40"/>
          <w:highlight w:val="none"/>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特克斯县高级中学生均公用经费</w:t>
      </w:r>
      <w:r>
        <w:rPr>
          <w:rFonts w:hint="eastAsia" w:ascii="仿宋_GB2312" w:hAnsi="仿宋_GB2312" w:eastAsia="仿宋_GB2312" w:cs="仿宋_GB2312"/>
          <w:b/>
          <w:bCs/>
          <w:sz w:val="28"/>
          <w:szCs w:val="40"/>
          <w:highlight w:val="none"/>
        </w:rPr>
        <w:t>项目绩效评价指标体系及综合评分表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2"/>
        <w:gridCol w:w="987"/>
        <w:gridCol w:w="1057"/>
        <w:gridCol w:w="1704"/>
        <w:gridCol w:w="5149"/>
        <w:gridCol w:w="1283"/>
        <w:gridCol w:w="134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bookmarkStart w:id="3" w:name="_GoBack"/>
            <w:bookmarkEnd w:id="3"/>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highlight w:val="none"/>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附件</w:t>
      </w:r>
      <w:r>
        <w:rPr>
          <w:rFonts w:hint="eastAsia" w:eastAsia="黑体" w:cs="Times New Roman"/>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highlight w:val="none"/>
          <w:u w:val="none"/>
          <w:lang w:val="en-US" w:eastAsia="zh-CN" w:bidi="ar"/>
        </w:rPr>
      </w:pPr>
      <w:r>
        <w:rPr>
          <w:rFonts w:hint="eastAsia" w:ascii="仿宋_GB2312" w:hAnsi="仿宋_GB2312" w:eastAsia="仿宋_GB2312" w:cs="仿宋_GB2312"/>
          <w:b/>
          <w:bCs/>
          <w:i w:val="0"/>
          <w:iCs w:val="0"/>
          <w:color w:val="000000"/>
          <w:kern w:val="0"/>
          <w:sz w:val="28"/>
          <w:szCs w:val="28"/>
          <w:highlight w:val="none"/>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highlight w:val="none"/>
          <w:u w:val="none"/>
          <w:lang w:val="en-US" w:eastAsia="zh-CN" w:bidi="ar"/>
        </w:rPr>
      </w:pPr>
      <w:r>
        <w:rPr>
          <w:rFonts w:hint="default" w:ascii="Times New Roman" w:hAnsi="Times New Roman" w:eastAsia="仿宋_GB2312" w:cs="Times New Roman"/>
          <w:b/>
          <w:bCs/>
          <w:i w:val="0"/>
          <w:iCs w:val="0"/>
          <w:color w:val="000000"/>
          <w:kern w:val="0"/>
          <w:sz w:val="22"/>
          <w:szCs w:val="22"/>
          <w:highlight w:val="none"/>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特克斯县高级中学生均公用经费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特克斯县教育局</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特克斯县高级中学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项目资金</w:t>
            </w:r>
            <w:r>
              <w:rPr>
                <w:rFonts w:hint="eastAsia" w:ascii="仿宋_GB2312" w:hAnsi="仿宋_GB2312" w:eastAsia="仿宋_GB2312" w:cs="仿宋_GB2312"/>
                <w:i w:val="0"/>
                <w:iCs w:val="0"/>
                <w:color w:val="000000"/>
                <w:kern w:val="0"/>
                <w:sz w:val="18"/>
                <w:szCs w:val="18"/>
                <w:highlight w:val="none"/>
                <w:u w:val="none"/>
                <w:lang w:val="en-US" w:eastAsia="zh-CN" w:bidi="ar"/>
              </w:rPr>
              <w:br w:type="textWrapping"/>
            </w:r>
            <w:r>
              <w:rPr>
                <w:rFonts w:hint="eastAsia" w:ascii="仿宋_GB2312" w:hAnsi="仿宋_GB2312" w:eastAsia="仿宋_GB2312" w:cs="仿宋_GB2312"/>
                <w:i w:val="0"/>
                <w:iCs w:val="0"/>
                <w:color w:val="000000"/>
                <w:kern w:val="0"/>
                <w:sz w:val="18"/>
                <w:szCs w:val="18"/>
                <w:highlight w:val="none"/>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357.6</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357.6</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348.22</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97.37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357.6</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357.6</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348.22</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97.37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spacing w:line="560" w:lineRule="exact"/>
              <w:ind w:firstLine="36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18"/>
                <w:szCs w:val="18"/>
                <w:highlight w:val="none"/>
              </w:rPr>
              <w:t>以提升高中教育质量、保障学校正常运转、促进教育公平为核心，确保高中生均公用经费科学分配、规范使用，实现资金效益最大化，推动高中教育高质量发展。</w:t>
            </w:r>
          </w:p>
          <w:p>
            <w:pPr>
              <w:jc w:val="left"/>
              <w:rPr>
                <w:rFonts w:hint="eastAsia" w:ascii="仿宋_GB2312" w:hAnsi="仿宋_GB2312" w:eastAsia="仿宋_GB2312" w:cs="仿宋_GB2312"/>
                <w:i w:val="0"/>
                <w:iCs w:val="0"/>
                <w:color w:val="000000"/>
                <w:sz w:val="18"/>
                <w:szCs w:val="18"/>
                <w:highlight w:val="none"/>
                <w:u w:val="none"/>
              </w:rPr>
            </w:pP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highlight w:val="none"/>
                <w:u w:val="none"/>
                <w:lang w:val="en-US" w:eastAsia="zh-CN"/>
              </w:rPr>
            </w:pPr>
            <w:r>
              <w:rPr>
                <w:rFonts w:hint="default" w:ascii="仿宋_GB2312" w:hAnsi="仿宋_GB2312" w:eastAsia="仿宋_GB2312" w:cs="仿宋_GB2312"/>
                <w:i w:val="0"/>
                <w:iCs w:val="0"/>
                <w:color w:val="000000"/>
                <w:sz w:val="18"/>
                <w:szCs w:val="18"/>
                <w:highlight w:val="none"/>
                <w:u w:val="none"/>
                <w:lang w:val="en-US" w:eastAsia="zh-CN"/>
              </w:rPr>
              <w:t>公用经费发放准确率：100；资金按期拨付率：100；公用经费发放标准：1000；学生家庭经济负担：有效减轻；学生满意率：95；发放次数：2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45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产出指标</w:t>
            </w:r>
          </w:p>
        </w:tc>
        <w:tc>
          <w:tcPr>
            <w:tcW w:w="462"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数量指标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eastAsia="zh-CN"/>
              </w:rPr>
              <w:t>发放次数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000000"/>
                <w:kern w:val="2"/>
                <w:sz w:val="20"/>
                <w:szCs w:val="20"/>
                <w:highlight w:val="none"/>
                <w:u w:val="none"/>
                <w:lang w:val="en-US" w:eastAsia="zh-CN" w:bidi="ar-SA"/>
              </w:rPr>
            </w:pPr>
            <w:r>
              <w:rPr>
                <w:rFonts w:hint="eastAsia" w:ascii="仿宋_GB2312" w:hAnsi="仿宋_GB2312" w:eastAsia="仿宋_GB2312" w:cs="仿宋_GB2312"/>
                <w:i w:val="0"/>
                <w:iCs w:val="0"/>
                <w:color w:val="000000"/>
                <w:sz w:val="20"/>
                <w:szCs w:val="20"/>
                <w:highlight w:val="none"/>
                <w:u w:val="none"/>
                <w:lang w:val="en-US" w:eastAsia="zh-CN"/>
              </w:rPr>
              <w:t>＞=2次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2次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9.7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资金未及时到位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3"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p>
        </w:tc>
        <w:tc>
          <w:tcPr>
            <w:tcW w:w="462"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eastAsia="zh-CN"/>
              </w:rPr>
              <w:t>高级中学学生人数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20"/>
                <w:szCs w:val="20"/>
                <w:highlight w:val="none"/>
                <w:u w:val="none"/>
                <w:lang w:val="en-US" w:eastAsia="zh-CN"/>
              </w:rPr>
              <w:t>＞=3576人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3483人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97.39%</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5" w:type="pct"/>
            <w:vMerge w:val="continue"/>
            <w:tcBorders>
              <w:left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公用经费发放准确率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rPr>
            </w:pPr>
            <w:r>
              <w:rPr>
                <w:rFonts w:hint="eastAsia" w:ascii="仿宋_GB2312" w:hAnsi="仿宋_GB2312" w:eastAsia="仿宋_GB2312" w:cs="仿宋_GB2312"/>
                <w:i w:val="0"/>
                <w:iCs w:val="0"/>
                <w:color w:val="000000"/>
                <w:sz w:val="20"/>
                <w:szCs w:val="20"/>
                <w:highlight w:val="none"/>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1000元/年/生</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5"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资金按期拨付率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20"/>
                <w:szCs w:val="20"/>
                <w:highlight w:val="none"/>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公用经费发放准确</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rPr>
            </w:pPr>
            <w:r>
              <w:rPr>
                <w:rFonts w:hint="eastAsia" w:ascii="仿宋_GB2312" w:hAnsi="仿宋_GB2312" w:eastAsia="仿宋_GB2312" w:cs="仿宋_GB2312"/>
                <w:i w:val="0"/>
                <w:iCs w:val="0"/>
                <w:color w:val="000000"/>
                <w:sz w:val="18"/>
                <w:szCs w:val="18"/>
                <w:highlight w:val="none"/>
                <w:u w:val="none"/>
                <w:lang w:eastAsia="zh-CN"/>
              </w:rPr>
              <w:t>＜</w:t>
            </w:r>
            <w:r>
              <w:rPr>
                <w:rFonts w:hint="eastAsia" w:ascii="仿宋_GB2312" w:hAnsi="仿宋_GB2312" w:eastAsia="仿宋_GB2312" w:cs="仿宋_GB2312"/>
                <w:i w:val="0"/>
                <w:iCs w:val="0"/>
                <w:color w:val="000000"/>
                <w:sz w:val="18"/>
                <w:szCs w:val="18"/>
                <w:highlight w:val="none"/>
                <w:u w:val="none"/>
                <w:lang w:val="en-US" w:eastAsia="zh-CN"/>
              </w:rPr>
              <w:t>=1000元/年/生</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1000元/年/生</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学生家庭经济负担</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有效减轻</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评判等级赋分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有效减轻</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lang w:eastAsia="zh-CN"/>
              </w:rPr>
            </w:pPr>
            <w:r>
              <w:rPr>
                <w:rFonts w:hint="eastAsia" w:ascii="仿宋_GB2312" w:hAnsi="仿宋_GB2312" w:eastAsia="仿宋_GB2312" w:cs="仿宋_GB2312"/>
                <w:i w:val="0"/>
                <w:iCs w:val="0"/>
                <w:color w:val="000000"/>
                <w:sz w:val="18"/>
                <w:szCs w:val="18"/>
                <w:highlight w:val="none"/>
                <w:u w:val="none"/>
                <w:lang w:eastAsia="zh-CN"/>
              </w:rPr>
              <w:t>学生满意度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rPr>
            </w:pPr>
            <w:r>
              <w:rPr>
                <w:rFonts w:hint="eastAsia" w:ascii="仿宋_GB2312" w:hAnsi="仿宋_GB2312" w:eastAsia="仿宋_GB2312" w:cs="仿宋_GB2312"/>
                <w:i w:val="0"/>
                <w:iCs w:val="0"/>
                <w:color w:val="000000"/>
                <w:sz w:val="20"/>
                <w:szCs w:val="20"/>
                <w:highlight w:val="none"/>
                <w:u w:val="none"/>
                <w:lang w:val="en-US" w:eastAsia="zh-CN"/>
              </w:rPr>
              <w: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20"/>
                <w:szCs w:val="20"/>
                <w:highlight w:val="none"/>
                <w:u w:val="none"/>
                <w:lang w:val="en-US" w:eastAsia="zh-CN"/>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highlight w:val="none"/>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89.7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r>
    </w:tbl>
    <w:p>
      <w:pPr>
        <w:rPr>
          <w:rFonts w:hint="default" w:ascii="Times New Roman" w:hAnsi="Times New Roman" w:cs="Times New Roman"/>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0AC4277A"/>
    <w:multiLevelType w:val="singleLevel"/>
    <w:tmpl w:val="0AC4277A"/>
    <w:lvl w:ilvl="0" w:tentative="0">
      <w:start w:val="1"/>
      <w:numFmt w:val="decimal"/>
      <w:lvlText w:val="%1."/>
      <w:lvlJc w:val="left"/>
      <w:pPr>
        <w:tabs>
          <w:tab w:val="left" w:pos="312"/>
        </w:tabs>
      </w:p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376E5731"/>
    <w:multiLevelType w:val="singleLevel"/>
    <w:tmpl w:val="376E5731"/>
    <w:lvl w:ilvl="0" w:tentative="0">
      <w:start w:val="2"/>
      <w:numFmt w:val="decimal"/>
      <w:lvlText w:val="%1."/>
      <w:lvlJc w:val="left"/>
      <w:pPr>
        <w:tabs>
          <w:tab w:val="left" w:pos="312"/>
        </w:tabs>
      </w:pPr>
    </w:lvl>
  </w:abstractNum>
  <w:abstractNum w:abstractNumId="6">
    <w:nsid w:val="6FAA0AB1"/>
    <w:multiLevelType w:val="singleLevel"/>
    <w:tmpl w:val="6FAA0AB1"/>
    <w:lvl w:ilvl="0" w:tentative="0">
      <w:start w:val="2"/>
      <w:numFmt w:val="chineseCounting"/>
      <w:suff w:val="nothing"/>
      <w:lvlText w:val="（%1）"/>
      <w:lvlJc w:val="left"/>
      <w:pPr>
        <w:ind w:left="-643"/>
      </w:pPr>
      <w:rPr>
        <w:rFonts w:hint="eastAsia"/>
      </w:rPr>
    </w:lvl>
  </w:abstractNum>
  <w:num w:numId="1">
    <w:abstractNumId w:val="5"/>
  </w:num>
  <w:num w:numId="2">
    <w:abstractNumId w:val="0"/>
  </w:num>
  <w:num w:numId="3">
    <w:abstractNumId w:val="4"/>
  </w:num>
  <w:num w:numId="4">
    <w:abstractNumId w:val="3"/>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MjgzMzdiZGNmMjJhZTFjMDQxYjI5OGJjOWM5YzMifQ=="/>
    <w:docVar w:name="KSO_WPS_MARK_KEY" w:val="beadbf62-cb02-4963-b858-5ffb5b98ec99"/>
  </w:docVars>
  <w:rsids>
    <w:rsidRoot w:val="FF6C4049"/>
    <w:rsid w:val="006F7242"/>
    <w:rsid w:val="007B168A"/>
    <w:rsid w:val="008B2CFE"/>
    <w:rsid w:val="00F26FF6"/>
    <w:rsid w:val="01610122"/>
    <w:rsid w:val="02510197"/>
    <w:rsid w:val="03EC461B"/>
    <w:rsid w:val="07397B77"/>
    <w:rsid w:val="09433FCC"/>
    <w:rsid w:val="0AD007F3"/>
    <w:rsid w:val="0E3C619F"/>
    <w:rsid w:val="0F191313"/>
    <w:rsid w:val="100F38EC"/>
    <w:rsid w:val="11170296"/>
    <w:rsid w:val="12C66037"/>
    <w:rsid w:val="12CD1ABC"/>
    <w:rsid w:val="13471461"/>
    <w:rsid w:val="13B90F01"/>
    <w:rsid w:val="155E4C4D"/>
    <w:rsid w:val="181066D2"/>
    <w:rsid w:val="1C671E73"/>
    <w:rsid w:val="1D322C47"/>
    <w:rsid w:val="1E957931"/>
    <w:rsid w:val="1EC72AFE"/>
    <w:rsid w:val="23616034"/>
    <w:rsid w:val="23696C97"/>
    <w:rsid w:val="24480FA2"/>
    <w:rsid w:val="25227A45"/>
    <w:rsid w:val="26AC3A6A"/>
    <w:rsid w:val="2B9D7E25"/>
    <w:rsid w:val="2C7C7A3B"/>
    <w:rsid w:val="2D032A7B"/>
    <w:rsid w:val="2DAA4A7C"/>
    <w:rsid w:val="2F364819"/>
    <w:rsid w:val="2FD63906"/>
    <w:rsid w:val="31E61990"/>
    <w:rsid w:val="37215DAE"/>
    <w:rsid w:val="38CA40DD"/>
    <w:rsid w:val="395F2B56"/>
    <w:rsid w:val="3BBA0580"/>
    <w:rsid w:val="3BECE841"/>
    <w:rsid w:val="3CDE204C"/>
    <w:rsid w:val="3D363C36"/>
    <w:rsid w:val="3E9C3F6D"/>
    <w:rsid w:val="3FF7797D"/>
    <w:rsid w:val="46690BD8"/>
    <w:rsid w:val="49F70BF1"/>
    <w:rsid w:val="4B4340EE"/>
    <w:rsid w:val="50011C0D"/>
    <w:rsid w:val="503D507A"/>
    <w:rsid w:val="51FA74D0"/>
    <w:rsid w:val="52AA4A52"/>
    <w:rsid w:val="59943D66"/>
    <w:rsid w:val="59E051FD"/>
    <w:rsid w:val="59E6355E"/>
    <w:rsid w:val="5B821531"/>
    <w:rsid w:val="5BFF6039"/>
    <w:rsid w:val="5D76A616"/>
    <w:rsid w:val="5D7F20B9"/>
    <w:rsid w:val="5DAC7D0E"/>
    <w:rsid w:val="5F98B5AF"/>
    <w:rsid w:val="5FFE8511"/>
    <w:rsid w:val="5FFEACE2"/>
    <w:rsid w:val="609D5BF6"/>
    <w:rsid w:val="60AD08B5"/>
    <w:rsid w:val="61073070"/>
    <w:rsid w:val="61B9080E"/>
    <w:rsid w:val="61DF3FED"/>
    <w:rsid w:val="64226284"/>
    <w:rsid w:val="642B176B"/>
    <w:rsid w:val="643EE26D"/>
    <w:rsid w:val="64AC0F5B"/>
    <w:rsid w:val="656019A0"/>
    <w:rsid w:val="65F242EE"/>
    <w:rsid w:val="666D7E19"/>
    <w:rsid w:val="68376930"/>
    <w:rsid w:val="68F91E38"/>
    <w:rsid w:val="6B3158B9"/>
    <w:rsid w:val="6BA02A3F"/>
    <w:rsid w:val="6C1E5A53"/>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8FF4AC9"/>
    <w:rsid w:val="79A9BD3F"/>
    <w:rsid w:val="7B776F12"/>
    <w:rsid w:val="7BFFFDD0"/>
    <w:rsid w:val="7C336E5F"/>
    <w:rsid w:val="7C8D4919"/>
    <w:rsid w:val="7D7A5F86"/>
    <w:rsid w:val="7E4B683A"/>
    <w:rsid w:val="7E5E656D"/>
    <w:rsid w:val="7E8F2BCB"/>
    <w:rsid w:val="7EFC289C"/>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character" w:customStyle="1" w:styleId="24">
    <w:name w:val="font11"/>
    <w:basedOn w:val="15"/>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132</Words>
  <Characters>145</Characters>
  <Lines>58</Lines>
  <Paragraphs>16</Paragraphs>
  <TotalTime>39</TotalTime>
  <ScaleCrop>false</ScaleCrop>
  <LinksUpToDate>false</LinksUpToDate>
  <CharactersWithSpaces>145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2025-07-21T08:45:52Z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3D2DDB8DE21D4CCCA156751D1719BDF7_13</vt:lpwstr>
  </property>
  <property fmtid="{D5CDD505-2E9C-101B-9397-08002B2CF9AE}" pid="4" name="KSOTemplateDocerSaveRecord">
    <vt:lpwstr>eyJoZGlkIjoiYjA3YzJlNGY4N2ZlMmI1ZWNkZmVkYTY2YjE3MmJlOGQiLCJ1c2VySWQiOiIzODU5MzcxNjAifQ==</vt:lpwstr>
  </property>
</Properties>
</file>