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特克斯县八卦名城旅游风景区管理委员会2024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AE27BF">
      <w:r>
        <w:br w:type="page"/>
      </w:r>
    </w:p>
    <w:p w14:paraId="7AE3321C">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1AB3919">
      <w:pPr>
        <w:spacing w:line="640" w:lineRule="exact"/>
        <w:ind w:firstLine="640"/>
        <w:jc w:val="both"/>
        <w:outlineLvl w:val="2"/>
      </w:pPr>
      <w:r>
        <w:rPr>
          <w:rFonts w:ascii="黑体" w:hAnsi="黑体" w:eastAsia="黑体"/>
          <w:sz w:val="32"/>
        </w:rPr>
        <w:t>一、主要职能</w:t>
      </w:r>
    </w:p>
    <w:p w14:paraId="593B320B">
      <w:pPr>
        <w:spacing w:line="580" w:lineRule="exact"/>
        <w:ind w:firstLine="640"/>
        <w:jc w:val="both"/>
      </w:pPr>
      <w:r>
        <w:rPr>
          <w:rFonts w:ascii="仿宋_GB2312" w:hAnsi="仿宋_GB2312" w:eastAsia="仿宋_GB2312"/>
          <w:sz w:val="32"/>
        </w:rPr>
        <w:t>（1）贯彻执行国家、自治区、自治州有关旅游产业发展的方针政策和重大工作部署；落实县委、县政府对促进旅游产业发展的各项政策措施。</w:t>
      </w:r>
    </w:p>
    <w:p w14:paraId="7E77FB6B">
      <w:pPr>
        <w:spacing w:line="580" w:lineRule="exact"/>
        <w:ind w:firstLine="640"/>
        <w:jc w:val="both"/>
      </w:pPr>
      <w:r>
        <w:rPr>
          <w:rFonts w:ascii="仿宋_GB2312" w:hAnsi="仿宋_GB2312" w:eastAsia="仿宋_GB2312"/>
          <w:sz w:val="32"/>
        </w:rPr>
        <w:t>（2）研究制定全县旅游景区发展战略目标、中长期发展规划和年度工作任务，统筹旅游景区发展。</w:t>
      </w:r>
    </w:p>
    <w:p w14:paraId="56B1DF7B">
      <w:pPr>
        <w:spacing w:line="580" w:lineRule="exact"/>
        <w:ind w:firstLine="640"/>
        <w:jc w:val="both"/>
      </w:pPr>
      <w:r>
        <w:rPr>
          <w:rFonts w:ascii="仿宋_GB2312" w:hAnsi="仿宋_GB2312" w:eastAsia="仿宋_GB2312"/>
          <w:sz w:val="32"/>
        </w:rPr>
        <w:t>（3）负责对5A级景区标准化建设和发展进行监督管理和综合协调；负责拟订景区相关政策，并组织实施；负责旅游景区专项资金的统筹使用；协调解决旅游景区发展的具体事项。</w:t>
      </w:r>
    </w:p>
    <w:p w14:paraId="35DA4B4B">
      <w:pPr>
        <w:spacing w:line="580" w:lineRule="exact"/>
        <w:ind w:firstLine="640"/>
        <w:jc w:val="both"/>
      </w:pPr>
      <w:r>
        <w:rPr>
          <w:rFonts w:ascii="仿宋_GB2312" w:hAnsi="仿宋_GB2312" w:eastAsia="仿宋_GB2312"/>
          <w:sz w:val="32"/>
        </w:rPr>
        <w:t>（4）负责推进景区康养休闲度假体系建设；统筹景区旅游资源的规划、开发、整合、利用，协调整合旅游景区及关联行业、产业服务资源，统筹景区基础设施建设，完善景区公共服务体系。</w:t>
      </w:r>
    </w:p>
    <w:p w14:paraId="77BB81D0">
      <w:pPr>
        <w:spacing w:line="580" w:lineRule="exact"/>
        <w:ind w:firstLine="640"/>
        <w:jc w:val="both"/>
      </w:pPr>
      <w:r>
        <w:rPr>
          <w:rFonts w:ascii="仿宋_GB2312" w:hAnsi="仿宋_GB2312" w:eastAsia="仿宋_GB2312"/>
          <w:sz w:val="32"/>
        </w:rPr>
        <w:t>（5）负责景区旅游企业之间项目开发和旅游营销的联合，提高旅游业组织化程度；负责景区标准化建设和协作机制建设，提升景区硬件和软件服务水平。</w:t>
      </w:r>
    </w:p>
    <w:p w14:paraId="06C2F5E1">
      <w:pPr>
        <w:spacing w:line="580" w:lineRule="exact"/>
        <w:ind w:firstLine="640"/>
        <w:jc w:val="both"/>
      </w:pPr>
      <w:r>
        <w:rPr>
          <w:rFonts w:ascii="仿宋_GB2312" w:hAnsi="仿宋_GB2312" w:eastAsia="仿宋_GB2312"/>
          <w:sz w:val="32"/>
        </w:rPr>
        <w:t>（6）负责景区相关项目的规划公示前审核；负责对景区拟收费和门票价格调整在物价部门审批前进行可行性论证。</w:t>
      </w:r>
    </w:p>
    <w:p w14:paraId="4DCC5B0A">
      <w:pPr>
        <w:spacing w:line="580" w:lineRule="exact"/>
        <w:ind w:firstLine="640"/>
        <w:jc w:val="both"/>
      </w:pPr>
      <w:r>
        <w:rPr>
          <w:rFonts w:ascii="仿宋_GB2312" w:hAnsi="仿宋_GB2312" w:eastAsia="仿宋_GB2312"/>
          <w:sz w:val="32"/>
        </w:rPr>
        <w:t>（7）负责协调旅游景区人才队伍建设、景区秩序、社会治安、服务质量、物价、卫生防疫、环境保护、安全生产、交通的监督检查；建立健全景区联合执法工作机制。</w:t>
      </w:r>
    </w:p>
    <w:p w14:paraId="0F4CEEB6">
      <w:pPr>
        <w:spacing w:line="580" w:lineRule="exact"/>
        <w:ind w:firstLine="640"/>
        <w:jc w:val="both"/>
      </w:pPr>
      <w:r>
        <w:rPr>
          <w:rFonts w:ascii="仿宋_GB2312" w:hAnsi="仿宋_GB2312" w:eastAsia="仿宋_GB2312"/>
          <w:sz w:val="32"/>
        </w:rPr>
        <w:t>（8）推动全县旅游业全域化发展。负责促进旅游景区与工业、农业、林业、畜牧业、养生医疗等相关产业以及城乡建设、交通设施等融合。</w:t>
      </w:r>
    </w:p>
    <w:p w14:paraId="7CF6961A">
      <w:pPr>
        <w:spacing w:line="580" w:lineRule="exact"/>
        <w:ind w:firstLine="640"/>
        <w:jc w:val="both"/>
      </w:pPr>
      <w:r>
        <w:rPr>
          <w:rFonts w:ascii="仿宋_GB2312" w:hAnsi="仿宋_GB2312" w:eastAsia="仿宋_GB2312"/>
          <w:sz w:val="32"/>
        </w:rPr>
        <w:t>（9）完成县委、县政府交办的其他工作。</w:t>
      </w:r>
    </w:p>
    <w:p w14:paraId="5E52ABA9">
      <w:pPr>
        <w:spacing w:line="640" w:lineRule="exact"/>
        <w:ind w:firstLine="640"/>
        <w:jc w:val="both"/>
        <w:outlineLvl w:val="2"/>
      </w:pPr>
      <w:r>
        <w:rPr>
          <w:rFonts w:ascii="黑体" w:hAnsi="黑体" w:eastAsia="黑体"/>
          <w:sz w:val="32"/>
        </w:rPr>
        <w:t>二、机构设置及人员情况</w:t>
      </w:r>
    </w:p>
    <w:p w14:paraId="00A63DEE">
      <w:pPr>
        <w:spacing w:line="580" w:lineRule="exact"/>
        <w:ind w:firstLine="640"/>
        <w:jc w:val="both"/>
      </w:pPr>
      <w:r>
        <w:rPr>
          <w:rFonts w:ascii="仿宋_GB2312" w:hAnsi="仿宋_GB2312" w:eastAsia="仿宋_GB2312"/>
          <w:sz w:val="32"/>
        </w:rPr>
        <w:t>特克斯县八卦名城旅游风景区管理委员会2024年度，实有人数26人，其中：在职人员26人，减少1人；离休人员0人，增加0人；退休人员0人,增加0人。</w:t>
      </w:r>
    </w:p>
    <w:p w14:paraId="077A209D">
      <w:pPr>
        <w:spacing w:line="580" w:lineRule="exact"/>
        <w:ind w:firstLine="640"/>
        <w:jc w:val="both"/>
      </w:pPr>
      <w:r>
        <w:rPr>
          <w:rFonts w:ascii="仿宋_GB2312" w:hAnsi="仿宋_GB2312" w:eastAsia="仿宋_GB2312"/>
          <w:sz w:val="32"/>
        </w:rPr>
        <w:t>特克斯县八卦名城旅游风景区管理委员会无下属预算</w:t>
      </w:r>
      <w:r>
        <w:rPr>
          <w:rFonts w:hint="eastAsia" w:ascii="仿宋_GB2312" w:hAnsi="仿宋_GB2312" w:eastAsia="仿宋_GB2312"/>
          <w:sz w:val="32"/>
          <w:lang w:eastAsia="zh-CN"/>
        </w:rPr>
        <w:t>单位</w:t>
      </w:r>
      <w:r>
        <w:rPr>
          <w:rFonts w:ascii="仿宋_GB2312" w:hAnsi="仿宋_GB2312" w:eastAsia="仿宋_GB2312"/>
          <w:sz w:val="32"/>
        </w:rPr>
        <w:t>，下设4个科室，分别是：综合科、资源管理科、安全生产科、规划建设监督科。</w:t>
      </w:r>
    </w:p>
    <w:p w14:paraId="2AD9F2D8">
      <w:r>
        <w:br w:type="page"/>
      </w:r>
    </w:p>
    <w:p w14:paraId="2B3B5106">
      <w:pPr>
        <w:spacing w:line="240" w:lineRule="auto"/>
        <w:jc w:val="center"/>
        <w:outlineLvl w:val="1"/>
      </w:pPr>
      <w:r>
        <w:rPr>
          <w:rFonts w:ascii="黑体" w:hAnsi="黑体" w:eastAsia="黑体"/>
          <w:sz w:val="32"/>
        </w:rPr>
        <w:t>第二部分 部门决算情况说明</w:t>
      </w:r>
    </w:p>
    <w:p w14:paraId="19C73403">
      <w:pPr>
        <w:spacing w:line="640" w:lineRule="exact"/>
        <w:ind w:firstLine="640"/>
        <w:jc w:val="both"/>
        <w:outlineLvl w:val="2"/>
      </w:pPr>
      <w:r>
        <w:rPr>
          <w:rFonts w:ascii="黑体" w:hAnsi="黑体" w:eastAsia="黑体"/>
          <w:sz w:val="32"/>
        </w:rPr>
        <w:t>一、收入支出决算总体情况说明</w:t>
      </w:r>
    </w:p>
    <w:p w14:paraId="6BF16626">
      <w:pPr>
        <w:spacing w:line="580" w:lineRule="exact"/>
        <w:ind w:firstLine="640"/>
        <w:jc w:val="both"/>
      </w:pPr>
      <w:r>
        <w:rPr>
          <w:rFonts w:ascii="仿宋_GB2312" w:hAnsi="仿宋_GB2312" w:eastAsia="仿宋_GB2312"/>
          <w:b/>
          <w:sz w:val="32"/>
        </w:rPr>
        <w:t>2024年度收入总计4,505.88万元，</w:t>
      </w:r>
      <w:r>
        <w:rPr>
          <w:rFonts w:ascii="仿宋_GB2312" w:hAnsi="仿宋_GB2312" w:eastAsia="仿宋_GB2312"/>
          <w:b w:val="0"/>
          <w:sz w:val="32"/>
        </w:rPr>
        <w:t>其中：本年收入合计4,505.88万元，使用非财政拨款结余（含专用结余）0.00万元，年初结转和结余0.00万元。</w:t>
      </w:r>
    </w:p>
    <w:p w14:paraId="7DF37E22">
      <w:pPr>
        <w:spacing w:line="580" w:lineRule="exact"/>
        <w:ind w:firstLine="640"/>
        <w:jc w:val="both"/>
      </w:pPr>
      <w:r>
        <w:rPr>
          <w:rFonts w:ascii="仿宋_GB2312" w:hAnsi="仿宋_GB2312" w:eastAsia="仿宋_GB2312"/>
          <w:b/>
          <w:sz w:val="32"/>
        </w:rPr>
        <w:t>2024年度支出总计4,505.88万元，</w:t>
      </w:r>
      <w:r>
        <w:rPr>
          <w:rFonts w:ascii="仿宋_GB2312" w:hAnsi="仿宋_GB2312" w:eastAsia="仿宋_GB2312"/>
          <w:b w:val="0"/>
          <w:sz w:val="32"/>
        </w:rPr>
        <w:t>其中：本年支出合计</w:t>
      </w:r>
      <w:r>
        <w:rPr>
          <w:rFonts w:ascii="仿宋_GB2312" w:hAnsi="仿宋_GB2312" w:eastAsia="仿宋_GB2312"/>
          <w:b w:val="0"/>
          <w:w w:val="97"/>
          <w:sz w:val="32"/>
        </w:rPr>
        <w:t>4,505.88万元，结余分配0.00万元，年末结转和结余0.00万元。</w:t>
      </w:r>
    </w:p>
    <w:p w14:paraId="171D72DB">
      <w:pPr>
        <w:spacing w:line="580" w:lineRule="exact"/>
        <w:ind w:firstLine="640"/>
        <w:jc w:val="both"/>
      </w:pPr>
      <w:r>
        <w:rPr>
          <w:rFonts w:ascii="仿宋_GB2312" w:hAnsi="仿宋_GB2312" w:eastAsia="仿宋_GB2312"/>
          <w:b w:val="0"/>
          <w:sz w:val="32"/>
        </w:rPr>
        <w:t>收入支出总体与上年相比，减少10,457.26万元，下降69.89%，主要原因是：本年伊犁州特克斯县八卦城AAAA级景区</w:t>
      </w:r>
      <w:r>
        <w:rPr>
          <w:rFonts w:ascii="仿宋_GB2312" w:hAnsi="仿宋_GB2312" w:eastAsia="仿宋_GB2312"/>
          <w:b w:val="0"/>
          <w:w w:val="97"/>
          <w:sz w:val="32"/>
        </w:rPr>
        <w:t>旅游基础配套设施建设项目</w:t>
      </w:r>
      <w:r>
        <w:rPr>
          <w:rFonts w:hint="eastAsia" w:ascii="仿宋_GB2312" w:hAnsi="仿宋_GB2312" w:eastAsia="仿宋_GB2312"/>
          <w:b w:val="0"/>
          <w:w w:val="97"/>
          <w:sz w:val="32"/>
          <w:lang w:val="en-US" w:eastAsia="zh-CN"/>
        </w:rPr>
        <w:t>经费</w:t>
      </w:r>
      <w:r>
        <w:rPr>
          <w:rFonts w:ascii="仿宋_GB2312" w:hAnsi="仿宋_GB2312" w:eastAsia="仿宋_GB2312"/>
          <w:b w:val="0"/>
          <w:w w:val="97"/>
          <w:sz w:val="32"/>
        </w:rPr>
        <w:t>较上年减少，导致经费较上年减少。</w:t>
      </w:r>
    </w:p>
    <w:p w14:paraId="16EF12C8">
      <w:pPr>
        <w:spacing w:line="640" w:lineRule="exact"/>
        <w:ind w:firstLine="640"/>
        <w:jc w:val="both"/>
        <w:outlineLvl w:val="2"/>
      </w:pPr>
      <w:r>
        <w:rPr>
          <w:rFonts w:ascii="黑体" w:hAnsi="黑体" w:eastAsia="黑体"/>
          <w:sz w:val="32"/>
        </w:rPr>
        <w:t>二、收入决算情况说明</w:t>
      </w:r>
    </w:p>
    <w:p w14:paraId="0D1FDBCA">
      <w:pPr>
        <w:spacing w:line="580" w:lineRule="exact"/>
        <w:ind w:firstLine="640"/>
        <w:jc w:val="both"/>
      </w:pPr>
      <w:r>
        <w:rPr>
          <w:rFonts w:ascii="仿宋_GB2312" w:hAnsi="仿宋_GB2312" w:eastAsia="仿宋_GB2312"/>
          <w:b/>
          <w:sz w:val="32"/>
        </w:rPr>
        <w:t>本年收入4,505.88万元，</w:t>
      </w:r>
      <w:r>
        <w:rPr>
          <w:rFonts w:ascii="仿宋_GB2312" w:hAnsi="仿宋_GB2312" w:eastAsia="仿宋_GB2312"/>
          <w:b w:val="0"/>
          <w:sz w:val="32"/>
        </w:rPr>
        <w:t>其中：财政拨款收入4,505.88万元，占100.00%；上级补助收入0.00万元，占0.00%；事业收入0.00万元，占0.00%；经营收入0.00万元，占0.00%；附属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5D92195C">
      <w:pPr>
        <w:spacing w:line="640" w:lineRule="exact"/>
        <w:ind w:firstLine="640"/>
        <w:jc w:val="both"/>
        <w:outlineLvl w:val="2"/>
      </w:pPr>
      <w:r>
        <w:rPr>
          <w:rFonts w:ascii="黑体" w:hAnsi="黑体" w:eastAsia="黑体"/>
          <w:sz w:val="32"/>
        </w:rPr>
        <w:t>三、支出决算情况说明</w:t>
      </w:r>
    </w:p>
    <w:p w14:paraId="666B2325">
      <w:pPr>
        <w:spacing w:line="580" w:lineRule="exact"/>
        <w:ind w:firstLine="640"/>
        <w:jc w:val="both"/>
      </w:pPr>
      <w:r>
        <w:rPr>
          <w:rFonts w:ascii="仿宋_GB2312" w:hAnsi="仿宋_GB2312" w:eastAsia="仿宋_GB2312"/>
          <w:b/>
          <w:sz w:val="32"/>
        </w:rPr>
        <w:t>本年支出4,505.88万元，</w:t>
      </w:r>
      <w:r>
        <w:rPr>
          <w:rFonts w:ascii="仿宋_GB2312" w:hAnsi="仿宋_GB2312" w:eastAsia="仿宋_GB2312"/>
          <w:b w:val="0"/>
          <w:sz w:val="32"/>
        </w:rPr>
        <w:t>其中：基本支出497.86万元，占11.05%；项目支出4,008.03万元，占88.95%；上缴上级支出0.00万元，占0.00%；经营支出0.00万元，占0.00%；对附属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809DC57">
      <w:pPr>
        <w:spacing w:line="640" w:lineRule="exact"/>
        <w:ind w:firstLine="640"/>
        <w:jc w:val="both"/>
        <w:outlineLvl w:val="2"/>
      </w:pPr>
      <w:r>
        <w:rPr>
          <w:rFonts w:ascii="黑体" w:hAnsi="黑体" w:eastAsia="黑体"/>
          <w:sz w:val="32"/>
        </w:rPr>
        <w:t>四、财政拨款收入支出决算总体情况说明</w:t>
      </w:r>
    </w:p>
    <w:p w14:paraId="0E324A1E">
      <w:pPr>
        <w:spacing w:line="580" w:lineRule="exact"/>
        <w:ind w:firstLine="640"/>
        <w:jc w:val="both"/>
      </w:pPr>
      <w:r>
        <w:rPr>
          <w:rFonts w:ascii="仿宋_GB2312" w:hAnsi="仿宋_GB2312" w:eastAsia="仿宋_GB2312"/>
          <w:b/>
          <w:sz w:val="32"/>
        </w:rPr>
        <w:t>2024年度财政拨款收入总计4,505.88万元，</w:t>
      </w:r>
      <w:r>
        <w:rPr>
          <w:rFonts w:ascii="仿宋_GB2312" w:hAnsi="仿宋_GB2312" w:eastAsia="仿宋_GB2312"/>
          <w:b w:val="0"/>
          <w:sz w:val="32"/>
        </w:rPr>
        <w:t>其中：年初财政拨款结转和结余0.00万元，本年财政拨款收入4,505.88万元。</w:t>
      </w:r>
      <w:r>
        <w:rPr>
          <w:rFonts w:ascii="仿宋_GB2312" w:hAnsi="仿宋_GB2312" w:eastAsia="仿宋_GB2312"/>
          <w:b/>
          <w:sz w:val="32"/>
        </w:rPr>
        <w:t>财政拨款支出总计4,505.88万元，</w:t>
      </w:r>
      <w:r>
        <w:rPr>
          <w:rFonts w:ascii="仿宋_GB2312" w:hAnsi="仿宋_GB2312" w:eastAsia="仿宋_GB2312"/>
          <w:b w:val="0"/>
          <w:sz w:val="32"/>
        </w:rPr>
        <w:t>其中：年末财政拨款结转和结余0.00万元，本年财政拨款支出4,505.88万元。</w:t>
      </w:r>
    </w:p>
    <w:p w14:paraId="3BC4235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减少10,457.26万元，下降69.89%，主要原因是：本年伊犁州特克斯县八卦城AAAA级景区</w:t>
      </w:r>
      <w:r>
        <w:rPr>
          <w:rFonts w:ascii="仿宋_GB2312" w:hAnsi="仿宋_GB2312" w:eastAsia="仿宋_GB2312"/>
          <w:b w:val="0"/>
          <w:w w:val="97"/>
          <w:sz w:val="32"/>
        </w:rPr>
        <w:t>旅游基础配套设施建设项目</w:t>
      </w:r>
      <w:r>
        <w:rPr>
          <w:rFonts w:hint="eastAsia" w:ascii="仿宋_GB2312" w:hAnsi="仿宋_GB2312" w:eastAsia="仿宋_GB2312"/>
          <w:b w:val="0"/>
          <w:w w:val="97"/>
          <w:sz w:val="32"/>
          <w:lang w:val="en-US" w:eastAsia="zh-CN"/>
        </w:rPr>
        <w:t>经费</w:t>
      </w:r>
      <w:r>
        <w:rPr>
          <w:rFonts w:ascii="仿宋_GB2312" w:hAnsi="仿宋_GB2312" w:eastAsia="仿宋_GB2312"/>
          <w:b w:val="0"/>
          <w:w w:val="97"/>
          <w:sz w:val="32"/>
        </w:rPr>
        <w:t>较上年减少，导致经费较上年减少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3,102.42万元，决算数4,505.88万元，预决算差异率45.24%，主要原因是：年中追加伊犁州特克斯县八卦城历史文化名城传统文化传承利用工程项目、伊犁州特克斯县八卦城4A级景区特色文化街区基础设施建设项目等经费，导致预决算存在差异。</w:t>
      </w:r>
    </w:p>
    <w:p w14:paraId="5E64DC1F">
      <w:pPr>
        <w:spacing w:line="640" w:lineRule="exact"/>
        <w:ind w:firstLine="640"/>
        <w:jc w:val="both"/>
        <w:outlineLvl w:val="2"/>
      </w:pPr>
      <w:r>
        <w:rPr>
          <w:rFonts w:ascii="黑体" w:hAnsi="黑体" w:eastAsia="黑体"/>
          <w:sz w:val="32"/>
        </w:rPr>
        <w:t>五、一般公共预算财政拨款支出决算情况说明</w:t>
      </w:r>
    </w:p>
    <w:p w14:paraId="3C57C844">
      <w:pPr>
        <w:spacing w:line="640" w:lineRule="exact"/>
        <w:ind w:firstLine="640"/>
        <w:jc w:val="both"/>
        <w:outlineLvl w:val="3"/>
      </w:pPr>
      <w:r>
        <w:rPr>
          <w:rFonts w:ascii="楷体_GB2312" w:hAnsi="楷体_GB2312" w:eastAsia="楷体_GB2312"/>
          <w:b/>
          <w:sz w:val="32"/>
        </w:rPr>
        <w:t>（一）一般公共预算财政拨款支出决算总体情况</w:t>
      </w:r>
    </w:p>
    <w:p w14:paraId="12A9943D">
      <w:pPr>
        <w:spacing w:line="580" w:lineRule="exact"/>
        <w:ind w:firstLine="640"/>
        <w:jc w:val="both"/>
      </w:pPr>
      <w:r>
        <w:rPr>
          <w:rFonts w:ascii="仿宋_GB2312" w:hAnsi="仿宋_GB2312" w:eastAsia="仿宋_GB2312"/>
          <w:b/>
          <w:sz w:val="32"/>
        </w:rPr>
        <w:t>2024年度一般公共预算财政拨款支出1,495.53万元，</w:t>
      </w:r>
      <w:r>
        <w:rPr>
          <w:rFonts w:ascii="仿宋_GB2312" w:hAnsi="仿宋_GB2312" w:eastAsia="仿宋_GB2312"/>
          <w:b w:val="0"/>
          <w:sz w:val="32"/>
        </w:rPr>
        <w:t>占本年支出合计的33.19%。</w:t>
      </w:r>
      <w:r>
        <w:rPr>
          <w:rFonts w:ascii="仿宋_GB2312" w:hAnsi="仿宋_GB2312" w:eastAsia="仿宋_GB2312"/>
          <w:b/>
          <w:sz w:val="32"/>
        </w:rPr>
        <w:t>与上年相比，</w:t>
      </w:r>
      <w:r>
        <w:rPr>
          <w:rFonts w:ascii="仿宋_GB2312" w:hAnsi="仿宋_GB2312" w:eastAsia="仿宋_GB2312"/>
          <w:b w:val="0"/>
          <w:sz w:val="32"/>
        </w:rPr>
        <w:t>增加933.77万元，增长166.22%，主要原因是：本年增加喀拉峻景区基础设施建设项目，导致经费较上年增加。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年初预算数1,503.81万元，决算数1,495.53万元，预决算差异率-0.55%，主要原因是：</w:t>
      </w:r>
      <w:r>
        <w:rPr>
          <w:rFonts w:hint="eastAsia" w:ascii="仿宋_GB2312" w:hAnsi="仿宋_GB2312" w:eastAsia="仿宋_GB2312"/>
          <w:b w:val="0"/>
          <w:sz w:val="32"/>
          <w:lang w:val="en-US" w:eastAsia="zh-CN"/>
        </w:rPr>
        <w:t>本年在职人员减少，年中调减人员经费，导致预决算差异</w:t>
      </w:r>
      <w:r>
        <w:rPr>
          <w:rFonts w:ascii="仿宋_GB2312" w:hAnsi="仿宋_GB2312" w:eastAsia="仿宋_GB2312"/>
          <w:b w:val="0"/>
          <w:sz w:val="32"/>
        </w:rPr>
        <w:t>。</w:t>
      </w:r>
    </w:p>
    <w:p w14:paraId="10A0FCC7">
      <w:pPr>
        <w:spacing w:line="640" w:lineRule="exact"/>
        <w:ind w:firstLine="640"/>
        <w:jc w:val="both"/>
        <w:outlineLvl w:val="3"/>
      </w:pPr>
      <w:r>
        <w:rPr>
          <w:rFonts w:ascii="楷体_GB2312" w:hAnsi="楷体_GB2312" w:eastAsia="楷体_GB2312"/>
          <w:b/>
          <w:sz w:val="32"/>
        </w:rPr>
        <w:t>（二）一般公共预算财政拨款支出决算结构情况</w:t>
      </w:r>
    </w:p>
    <w:p w14:paraId="641E13C5">
      <w:pPr>
        <w:spacing w:line="580" w:lineRule="exact"/>
        <w:ind w:firstLine="640"/>
        <w:jc w:val="both"/>
      </w:pPr>
      <w:r>
        <w:rPr>
          <w:rFonts w:ascii="仿宋_GB2312" w:hAnsi="仿宋_GB2312" w:eastAsia="仿宋_GB2312"/>
          <w:b w:val="0"/>
          <w:sz w:val="32"/>
        </w:rPr>
        <w:t>1.文化旅游体育与传媒支出(类)1,400.37万元,占93.64%。</w:t>
      </w:r>
    </w:p>
    <w:p w14:paraId="1318EC21">
      <w:pPr>
        <w:spacing w:line="580" w:lineRule="exact"/>
        <w:ind w:firstLine="640"/>
        <w:jc w:val="both"/>
      </w:pPr>
      <w:r>
        <w:rPr>
          <w:rFonts w:ascii="仿宋_GB2312" w:hAnsi="仿宋_GB2312" w:eastAsia="仿宋_GB2312"/>
          <w:b w:val="0"/>
          <w:sz w:val="32"/>
        </w:rPr>
        <w:t>2.社会保障和就业支出(类)42.10万元,占2.82%。</w:t>
      </w:r>
    </w:p>
    <w:p w14:paraId="52C1EC26">
      <w:pPr>
        <w:spacing w:line="580" w:lineRule="exact"/>
        <w:ind w:firstLine="640"/>
        <w:jc w:val="both"/>
      </w:pPr>
      <w:r>
        <w:rPr>
          <w:rFonts w:ascii="仿宋_GB2312" w:hAnsi="仿宋_GB2312" w:eastAsia="仿宋_GB2312"/>
          <w:b w:val="0"/>
          <w:sz w:val="32"/>
        </w:rPr>
        <w:t>3.卫生健康支出(类)21.16万元,占1.41%。</w:t>
      </w:r>
    </w:p>
    <w:p w14:paraId="5D697972">
      <w:pPr>
        <w:spacing w:line="580" w:lineRule="exact"/>
        <w:ind w:firstLine="640"/>
        <w:jc w:val="both"/>
      </w:pPr>
      <w:r>
        <w:rPr>
          <w:rFonts w:ascii="仿宋_GB2312" w:hAnsi="仿宋_GB2312" w:eastAsia="仿宋_GB2312"/>
          <w:b w:val="0"/>
          <w:sz w:val="32"/>
        </w:rPr>
        <w:t>4.住房保障支出(类)31.89万元,占2.13%。</w:t>
      </w:r>
    </w:p>
    <w:p w14:paraId="6E754B18">
      <w:pPr>
        <w:spacing w:line="640" w:lineRule="exact"/>
        <w:ind w:firstLine="640"/>
        <w:jc w:val="both"/>
        <w:outlineLvl w:val="3"/>
      </w:pPr>
      <w:r>
        <w:rPr>
          <w:rFonts w:ascii="楷体_GB2312" w:hAnsi="楷体_GB2312" w:eastAsia="楷体_GB2312"/>
          <w:b/>
          <w:sz w:val="32"/>
        </w:rPr>
        <w:t>（三）一般公共预算财政拨款支出决算具体情况</w:t>
      </w:r>
    </w:p>
    <w:p w14:paraId="48747481">
      <w:pPr>
        <w:spacing w:line="580" w:lineRule="exact"/>
        <w:ind w:firstLine="640"/>
        <w:jc w:val="both"/>
      </w:pPr>
      <w:r>
        <w:rPr>
          <w:rFonts w:ascii="仿宋_GB2312" w:hAnsi="仿宋_GB2312" w:eastAsia="仿宋_GB2312"/>
          <w:b w:val="0"/>
          <w:sz w:val="32"/>
        </w:rPr>
        <w:t>1.文化旅游体育与传媒支出(类)文化和旅游(款)行政运行(项):支出决算数为394.97万元，比上年决算减少19.59万元，下降4.73%,主要原因是：本年在职人员减少，相应人员经费较上年减少。</w:t>
      </w:r>
    </w:p>
    <w:p w14:paraId="052CC53D">
      <w:pPr>
        <w:spacing w:line="580" w:lineRule="exact"/>
        <w:ind w:firstLine="640"/>
        <w:jc w:val="both"/>
      </w:pPr>
      <w:r>
        <w:rPr>
          <w:rFonts w:ascii="仿宋_GB2312" w:hAnsi="仿宋_GB2312" w:eastAsia="仿宋_GB2312"/>
          <w:b w:val="0"/>
          <w:sz w:val="32"/>
        </w:rPr>
        <w:t>2.文化旅游体育与传媒支出(类)文化和旅游(款)其他文化和旅游支出(项):支出决算数为11.68万元，比上年决算减少53.83万元，下降82.17%,主要原因是：本年减少2021年游客集散中心电子大屏项目和2021年文化保护传承利用工程项目支出；委托业务费、专用材料费支出减少，相应支出减少。</w:t>
      </w:r>
    </w:p>
    <w:p w14:paraId="7A7791D8">
      <w:pPr>
        <w:spacing w:line="580" w:lineRule="exact"/>
        <w:ind w:firstLine="640"/>
        <w:jc w:val="both"/>
      </w:pPr>
      <w:r>
        <w:rPr>
          <w:rFonts w:ascii="仿宋_GB2312" w:hAnsi="仿宋_GB2312" w:eastAsia="仿宋_GB2312"/>
          <w:b w:val="0"/>
          <w:sz w:val="32"/>
        </w:rPr>
        <w:t>3.文化旅游体育与传媒支出(类)文物(款)历史名城与古迹(项):支出决算数为993.73万元，比上年决算增加993.73万元，增长100.00%,主要原因是：本年新增喀拉峻景区基础设施建设项目。</w:t>
      </w:r>
    </w:p>
    <w:p w14:paraId="234FB189">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基本养老保险缴费支出(项):支出决算数为42.10万元，比上年决算增加5.94万元，增长16.43%,主要原因是：本年在职人员工资基数调增，养老缴费基数上涨，相应支出增加。</w:t>
      </w:r>
    </w:p>
    <w:p w14:paraId="046F4B82">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医疗(项):支出决算数为20.85万元，比上年决算增加4.47万元，增长27.29%,主要原因是：本年在职人员工资基数调增，医疗缴费基数上涨，相应支出增加。</w:t>
      </w:r>
    </w:p>
    <w:p w14:paraId="4B454414">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医疗支出(项):支出决算数为0.32万元，比上年决算增加0.00万元，增长0.00%,主要原因是：本年大病、工伤等</w:t>
      </w:r>
      <w:r>
        <w:rPr>
          <w:rFonts w:hint="eastAsia" w:ascii="仿宋_GB2312" w:hAnsi="仿宋_GB2312" w:eastAsia="仿宋_GB2312"/>
          <w:b w:val="0"/>
          <w:sz w:val="32"/>
          <w:lang w:val="en-US" w:eastAsia="zh-CN"/>
        </w:rPr>
        <w:t>医疗缴费</w:t>
      </w:r>
      <w:r>
        <w:rPr>
          <w:rFonts w:ascii="仿宋_GB2312" w:hAnsi="仿宋_GB2312" w:eastAsia="仿宋_GB2312"/>
          <w:b w:val="0"/>
          <w:sz w:val="32"/>
        </w:rPr>
        <w:t>与上年一致无变化。</w:t>
      </w:r>
    </w:p>
    <w:p w14:paraId="7A96FD60">
      <w:pPr>
        <w:spacing w:line="580" w:lineRule="exact"/>
        <w:ind w:firstLine="640"/>
        <w:jc w:val="both"/>
      </w:pPr>
      <w:r>
        <w:rPr>
          <w:rFonts w:ascii="仿宋_GB2312" w:hAnsi="仿宋_GB2312" w:eastAsia="仿宋_GB2312"/>
          <w:b w:val="0"/>
          <w:sz w:val="32"/>
        </w:rPr>
        <w:t>7.住房保障支出(类)住房改革支出(款)住房公积金(项):支出决算数为31.89万元，比上年决算增加3.06万元，增长10.61%,主要原因是：本年在职人员工资基数调增，公积金缴费基数上涨，相应支出增加。</w:t>
      </w:r>
    </w:p>
    <w:p w14:paraId="501F6AA8">
      <w:pPr>
        <w:spacing w:line="640" w:lineRule="exact"/>
        <w:ind w:firstLine="640"/>
        <w:jc w:val="both"/>
        <w:outlineLvl w:val="2"/>
      </w:pPr>
      <w:r>
        <w:rPr>
          <w:rFonts w:ascii="黑体" w:hAnsi="黑体" w:eastAsia="黑体"/>
          <w:sz w:val="32"/>
        </w:rPr>
        <w:t>六、一般公共预算财政拨款基本支出决算情况说明</w:t>
      </w:r>
    </w:p>
    <w:p w14:paraId="1155F7A7">
      <w:pPr>
        <w:spacing w:line="580" w:lineRule="exact"/>
        <w:ind w:firstLine="640"/>
        <w:jc w:val="both"/>
      </w:pPr>
      <w:r>
        <w:rPr>
          <w:rFonts w:ascii="仿宋_GB2312" w:hAnsi="仿宋_GB2312" w:eastAsia="仿宋_GB2312"/>
          <w:b w:val="0"/>
          <w:sz w:val="32"/>
        </w:rPr>
        <w:t>2024年度一般公共预算财政拨款基本支出497.86万元，其中：</w:t>
      </w:r>
      <w:r>
        <w:rPr>
          <w:rFonts w:ascii="仿宋_GB2312" w:hAnsi="仿宋_GB2312" w:eastAsia="仿宋_GB2312"/>
          <w:b/>
          <w:sz w:val="32"/>
        </w:rPr>
        <w:t>人员经费395.49万元，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w:t>
      </w:r>
    </w:p>
    <w:p w14:paraId="5D1CD84F">
      <w:pPr>
        <w:spacing w:line="580" w:lineRule="exact"/>
        <w:ind w:firstLine="640"/>
        <w:jc w:val="both"/>
      </w:pPr>
      <w:r>
        <w:rPr>
          <w:rFonts w:ascii="仿宋_GB2312" w:hAnsi="仿宋_GB2312" w:eastAsia="仿宋_GB2312"/>
          <w:b/>
          <w:sz w:val="32"/>
        </w:rPr>
        <w:t>公用经费102.37万元，</w:t>
      </w:r>
      <w:r>
        <w:rPr>
          <w:rFonts w:ascii="仿宋_GB2312" w:hAnsi="仿宋_GB2312" w:eastAsia="仿宋_GB2312"/>
          <w:b w:val="0"/>
          <w:sz w:val="32"/>
        </w:rPr>
        <w:t>包括：办公费、水费、电费、邮电费、取暖费、差旅费、委托业务费、工会经费、公务用车运行维护费、其他交通费用、其他商品和服务支出。</w:t>
      </w:r>
    </w:p>
    <w:p w14:paraId="4D2C1B26">
      <w:pPr>
        <w:spacing w:line="640" w:lineRule="exact"/>
        <w:ind w:firstLine="640"/>
        <w:jc w:val="both"/>
        <w:outlineLvl w:val="2"/>
      </w:pPr>
      <w:r>
        <w:rPr>
          <w:rFonts w:ascii="黑体" w:hAnsi="黑体" w:eastAsia="黑体"/>
          <w:sz w:val="32"/>
        </w:rPr>
        <w:t>七、政府性基金预算财政拨款收入支出决算情况说明</w:t>
      </w:r>
    </w:p>
    <w:p w14:paraId="3F9EE326">
      <w:pPr>
        <w:spacing w:line="580" w:lineRule="exact"/>
        <w:ind w:firstLine="640"/>
        <w:jc w:val="both"/>
      </w:pPr>
      <w:r>
        <w:rPr>
          <w:rFonts w:ascii="仿宋_GB2312" w:hAnsi="仿宋_GB2312" w:eastAsia="仿宋_GB2312"/>
          <w:b/>
          <w:sz w:val="32"/>
        </w:rPr>
        <w:t>2024年度政府性基金预算财政拨款收入总计3,010.35万元，</w:t>
      </w:r>
      <w:r>
        <w:rPr>
          <w:rFonts w:ascii="仿宋_GB2312" w:hAnsi="仿宋_GB2312" w:eastAsia="仿宋_GB2312"/>
          <w:b w:val="0"/>
          <w:sz w:val="32"/>
        </w:rPr>
        <w:t>其中：年初结转和结余0.00万元，本年收入3,010.35万元。</w:t>
      </w:r>
      <w:r>
        <w:rPr>
          <w:rFonts w:ascii="仿宋_GB2312" w:hAnsi="仿宋_GB2312" w:eastAsia="仿宋_GB2312"/>
          <w:b/>
          <w:sz w:val="32"/>
        </w:rPr>
        <w:t>政府性基金预算财政拨款支出总计3,010.35万元，</w:t>
      </w:r>
      <w:r>
        <w:rPr>
          <w:rFonts w:ascii="仿宋_GB2312" w:hAnsi="仿宋_GB2312" w:eastAsia="仿宋_GB2312"/>
          <w:b w:val="0"/>
          <w:sz w:val="32"/>
        </w:rPr>
        <w:t>其中：年末结转和结余0.00万元，本年支出3,010.35万元。</w:t>
      </w:r>
    </w:p>
    <w:p w14:paraId="054DAA19">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减少11,391.04万元，下降79.10%，主要原因是：本年伊犁州特克斯县八卦城AAAA级景区旅游基础配套设施建设项目</w:t>
      </w:r>
      <w:r>
        <w:rPr>
          <w:rFonts w:hint="eastAsia" w:ascii="仿宋_GB2312" w:hAnsi="仿宋_GB2312" w:eastAsia="仿宋_GB2312"/>
          <w:b w:val="0"/>
          <w:sz w:val="32"/>
          <w:lang w:val="en-US" w:eastAsia="zh-CN"/>
        </w:rPr>
        <w:t>经费</w:t>
      </w:r>
      <w:r>
        <w:rPr>
          <w:rFonts w:ascii="仿宋_GB2312" w:hAnsi="仿宋_GB2312" w:eastAsia="仿宋_GB2312"/>
          <w:b w:val="0"/>
          <w:sz w:val="32"/>
        </w:rPr>
        <w:t>较上年减少，导致经费较上年减少。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1,598.61万元，决算数3,010.35万元，预决算差异率88.31%，主要原因是：年中追加伊犁州特克斯县八卦城历史文化名城传统文化传承利用工程项目、伊犁州特克斯县八卦城4A级景区特色文化街区基础设施建设项目等经费导致预决算存在差异。</w:t>
      </w:r>
    </w:p>
    <w:p w14:paraId="6D1CEF52">
      <w:pPr>
        <w:spacing w:line="580" w:lineRule="exact"/>
        <w:ind w:firstLine="640"/>
        <w:jc w:val="both"/>
      </w:pPr>
      <w:r>
        <w:rPr>
          <w:rFonts w:ascii="仿宋_GB2312" w:hAnsi="仿宋_GB2312" w:eastAsia="仿宋_GB2312"/>
          <w:b w:val="0"/>
          <w:sz w:val="32"/>
        </w:rPr>
        <w:t>政府性基金预算财政拨款支出3,010.35万元。</w:t>
      </w:r>
    </w:p>
    <w:p w14:paraId="53AE4135">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3,010.35万元，比上年决算减少11,391.04万元，下降79.10%,主要原因是：本年伊犁州特克斯县八卦城AAAA级景区旅游基础配套设施建设项目支出较上年减少，导致经费较上年减少。</w:t>
      </w:r>
    </w:p>
    <w:p w14:paraId="0922D2B1">
      <w:pPr>
        <w:spacing w:line="640" w:lineRule="exact"/>
        <w:ind w:firstLine="640"/>
        <w:jc w:val="both"/>
        <w:outlineLvl w:val="2"/>
      </w:pPr>
      <w:r>
        <w:rPr>
          <w:rFonts w:ascii="黑体" w:hAnsi="黑体" w:eastAsia="黑体"/>
          <w:sz w:val="32"/>
        </w:rPr>
        <w:t>八、国有资本经营预算财政拨款收入支出决算情况说明</w:t>
      </w:r>
    </w:p>
    <w:p w14:paraId="2DDE56F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66801ADE">
      <w:pPr>
        <w:spacing w:line="640" w:lineRule="exact"/>
        <w:ind w:firstLine="640"/>
        <w:jc w:val="both"/>
        <w:outlineLvl w:val="2"/>
      </w:pPr>
      <w:r>
        <w:rPr>
          <w:rFonts w:ascii="黑体" w:hAnsi="黑体" w:eastAsia="黑体"/>
          <w:sz w:val="32"/>
        </w:rPr>
        <w:t>九、财政拨款“三公”经费支出决算情况说明</w:t>
      </w:r>
    </w:p>
    <w:p w14:paraId="4A5CE367">
      <w:pPr>
        <w:spacing w:line="580" w:lineRule="exact"/>
        <w:ind w:firstLine="640"/>
        <w:jc w:val="both"/>
      </w:pPr>
      <w:r>
        <w:rPr>
          <w:rFonts w:ascii="仿宋_GB2312" w:hAnsi="仿宋_GB2312" w:eastAsia="仿宋_GB2312"/>
          <w:b/>
          <w:sz w:val="32"/>
        </w:rPr>
        <w:t>2024年度财政拨款“三公”经费支出0.46万元，</w:t>
      </w:r>
      <w:r>
        <w:rPr>
          <w:rFonts w:ascii="仿宋_GB2312" w:hAnsi="仿宋_GB2312" w:eastAsia="仿宋_GB2312"/>
          <w:b w:val="0"/>
          <w:sz w:val="32"/>
        </w:rPr>
        <w:t>比上年减少0.07万元，下降13.21%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0.46万元，占100.00%，比上年减少0.07万元，下降13.21%，主要原因是：严格落实中央八项规定精神，厉行节约，减少公务用车运行维护费。公务接待费支出0.00万元，占0.00%，比上年增加0.00万元，增长0.00%，主要原因是：2023年与2024年均未安排公务接待费支出。</w:t>
      </w:r>
    </w:p>
    <w:p w14:paraId="0D3EEAB3">
      <w:pPr>
        <w:spacing w:line="580" w:lineRule="exact"/>
        <w:ind w:firstLine="640"/>
        <w:jc w:val="both"/>
      </w:pPr>
      <w:r>
        <w:rPr>
          <w:rFonts w:ascii="仿宋_GB2312" w:hAnsi="仿宋_GB2312" w:eastAsia="仿宋_GB2312"/>
          <w:b/>
          <w:sz w:val="32"/>
        </w:rPr>
        <w:t>具体情况如下：</w:t>
      </w:r>
    </w:p>
    <w:p w14:paraId="04B0053E">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35790D2">
      <w:pPr>
        <w:spacing w:line="580" w:lineRule="exact"/>
        <w:ind w:firstLine="640"/>
        <w:jc w:val="both"/>
      </w:pPr>
      <w:r>
        <w:rPr>
          <w:rFonts w:ascii="仿宋_GB2312" w:hAnsi="仿宋_GB2312" w:eastAsia="仿宋_GB2312"/>
          <w:b w:val="0"/>
          <w:sz w:val="32"/>
        </w:rPr>
        <w:t>公务用车购置及运行维护费0.46万元，其中：公务用车购置费0.00万元，公务用车运行维护费0.46万元。公务用车运行维护费开支内容包括车辆保险费。公务用车购置数0辆，公务用车保有量3辆。国有资产占用情况中固定资产车辆3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2C658882">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166038B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0.46万元，决算数0.46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0.46万元，决算数0.46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FEEBED2">
      <w:pPr>
        <w:spacing w:line="640" w:lineRule="exact"/>
        <w:ind w:firstLine="640"/>
        <w:jc w:val="both"/>
        <w:outlineLvl w:val="2"/>
      </w:pPr>
      <w:r>
        <w:rPr>
          <w:rFonts w:ascii="黑体" w:hAnsi="黑体" w:eastAsia="黑体"/>
          <w:sz w:val="32"/>
        </w:rPr>
        <w:t>十、其他重要事项的情况说明</w:t>
      </w:r>
    </w:p>
    <w:p w14:paraId="32F6A479">
      <w:pPr>
        <w:spacing w:line="640" w:lineRule="exact"/>
        <w:ind w:firstLine="640"/>
        <w:jc w:val="both"/>
        <w:outlineLvl w:val="3"/>
      </w:pPr>
      <w:r>
        <w:rPr>
          <w:rFonts w:ascii="楷体_GB2312" w:hAnsi="楷体_GB2312" w:eastAsia="楷体_GB2312"/>
          <w:b/>
          <w:sz w:val="32"/>
        </w:rPr>
        <w:t>（一）机关运行经费及公用经费支出情况</w:t>
      </w:r>
    </w:p>
    <w:p w14:paraId="18E8CF2F">
      <w:pPr>
        <w:spacing w:line="580" w:lineRule="exact"/>
        <w:ind w:firstLine="640"/>
        <w:jc w:val="both"/>
      </w:pPr>
      <w:r>
        <w:rPr>
          <w:rFonts w:ascii="仿宋_GB2312" w:hAnsi="仿宋_GB2312" w:eastAsia="仿宋_GB2312"/>
          <w:b w:val="0"/>
          <w:sz w:val="32"/>
        </w:rPr>
        <w:t>2024年度特克斯县八卦名城旅游风景区管理委员会（事业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）公用经费支出102.37万元，比上年增加9.72万元，增长10.49%，主要原因是：本年业务量增加，公用经费增加。</w:t>
      </w:r>
    </w:p>
    <w:p w14:paraId="2310E0A1">
      <w:pPr>
        <w:spacing w:line="640" w:lineRule="exact"/>
        <w:ind w:firstLine="640"/>
        <w:jc w:val="both"/>
        <w:outlineLvl w:val="3"/>
      </w:pPr>
      <w:r>
        <w:rPr>
          <w:rFonts w:ascii="楷体_GB2312" w:hAnsi="楷体_GB2312" w:eastAsia="楷体_GB2312"/>
          <w:b/>
          <w:sz w:val="32"/>
        </w:rPr>
        <w:t>（二）政府采购情况</w:t>
      </w:r>
    </w:p>
    <w:p w14:paraId="2E5DA838">
      <w:pPr>
        <w:spacing w:line="580" w:lineRule="exact"/>
        <w:ind w:firstLine="640"/>
        <w:jc w:val="both"/>
      </w:pPr>
      <w:r>
        <w:rPr>
          <w:rFonts w:ascii="仿宋_GB2312" w:hAnsi="仿宋_GB2312" w:eastAsia="仿宋_GB2312"/>
          <w:b w:val="0"/>
          <w:sz w:val="32"/>
        </w:rPr>
        <w:t>2024年度政府采购支出总额11.49万元，其中：政府采购货物支出5.35万元、政府采购工程支出0.00万元、政府采购服务支出6.14万元。</w:t>
      </w:r>
    </w:p>
    <w:p w14:paraId="64FA3B51">
      <w:pPr>
        <w:spacing w:line="580" w:lineRule="exact"/>
        <w:ind w:firstLine="640"/>
        <w:jc w:val="both"/>
      </w:pPr>
      <w:r>
        <w:rPr>
          <w:rFonts w:ascii="仿宋_GB2312" w:hAnsi="仿宋_GB2312" w:eastAsia="仿宋_GB2312"/>
          <w:b w:val="0"/>
          <w:sz w:val="32"/>
        </w:rPr>
        <w:t>授予中小企业合同金额8.99万元，占政府采购支出总额的78.24%，其中：授予小微企业合同金额8.49万元，占政府采购支出总额的73.89%。</w:t>
      </w:r>
    </w:p>
    <w:p w14:paraId="7FF468FD">
      <w:pPr>
        <w:spacing w:line="640" w:lineRule="exact"/>
        <w:ind w:firstLine="640"/>
        <w:jc w:val="both"/>
        <w:outlineLvl w:val="3"/>
      </w:pPr>
      <w:r>
        <w:rPr>
          <w:rFonts w:ascii="楷体_GB2312" w:hAnsi="楷体_GB2312" w:eastAsia="楷体_GB2312"/>
          <w:b/>
          <w:sz w:val="32"/>
        </w:rPr>
        <w:t>（三）国有资产占用情况说明</w:t>
      </w:r>
    </w:p>
    <w:p w14:paraId="7204B2B7">
      <w:pPr>
        <w:spacing w:line="580" w:lineRule="exact"/>
        <w:ind w:firstLine="640"/>
        <w:jc w:val="both"/>
      </w:pPr>
      <w:r>
        <w:rPr>
          <w:rFonts w:ascii="仿宋_GB2312" w:hAnsi="仿宋_GB2312" w:eastAsia="仿宋_GB2312"/>
          <w:b w:val="0"/>
          <w:sz w:val="32"/>
        </w:rPr>
        <w:t>截至2024年12月31日，房屋3,271.00平方米，价值1,035.09万元。车辆3辆，价值51.54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6台（套）。</w:t>
      </w:r>
    </w:p>
    <w:p w14:paraId="4B569079">
      <w:pPr>
        <w:spacing w:line="640" w:lineRule="exact"/>
        <w:ind w:firstLine="640"/>
        <w:jc w:val="both"/>
        <w:outlineLvl w:val="2"/>
      </w:pPr>
      <w:r>
        <w:rPr>
          <w:rFonts w:ascii="黑体" w:hAnsi="黑体" w:eastAsia="黑体"/>
          <w:sz w:val="32"/>
        </w:rPr>
        <w:t>十一、预算绩效的情况说明</w:t>
      </w:r>
    </w:p>
    <w:p w14:paraId="4E03F86D">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4,505.88万元，实际执行总额4,505.88万元；预算绩效评价项目2个，全年预算数1,092.93万元，全年执行数1,092.93万元。预算绩效管理取得的成效：一是明确了项目实施的主要目的和意义；二是能够严格把控项目资金，基本杜绝了资金被挤占和挪用现象的发生，跟踪检查到位。发现的问题及原因：一是项目本身存在聘用人员因刚毕业、工资低、环境等各种因素流动性大；二是绩效管理方面专业知识的系统性学习有待加强，各项指标的设置要进一步优化、完善，主要在细化、量化上改进。下一步改进措施：一是项目本身需要优化工资结构，提高聘用成功率，减少人才流失；二是绩效管理工作需加强组织领导，提高对预算绩效管理工作重要性的认识，总结经验查找问题，抓紧研究制定更全面更完善的绩效评价管理办法。具体附整体支出绩效自评表，项目支出绩效自评表和评价报告。</w:t>
      </w:r>
    </w:p>
    <w:p w14:paraId="49B8BDD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7EDB96D">
        <w:tblPrEx>
          <w:tblCellMar>
            <w:top w:w="0" w:type="dxa"/>
            <w:left w:w="108" w:type="dxa"/>
            <w:bottom w:w="0" w:type="dxa"/>
            <w:right w:w="108" w:type="dxa"/>
          </w:tblCellMar>
        </w:tblPrEx>
        <w:tc>
          <w:tcPr>
            <w:tcW w:w="8840" w:type="dxa"/>
            <w:gridSpan w:val="8"/>
            <w:vAlign w:val="center"/>
          </w:tcPr>
          <w:p w14:paraId="7D4EC9A0">
            <w:pPr>
              <w:jc w:val="center"/>
            </w:pPr>
            <w:r>
              <w:rPr>
                <w:rFonts w:hint="eastAsia" w:ascii="宋体" w:hAnsi="宋体"/>
                <w:sz w:val="24"/>
                <w:lang w:eastAsia="zh-CN"/>
              </w:rPr>
              <w:t>单位</w:t>
            </w:r>
            <w:r>
              <w:rPr>
                <w:rFonts w:ascii="宋体" w:hAnsi="宋体" w:eastAsia="宋体"/>
                <w:sz w:val="24"/>
              </w:rPr>
              <w:t>整体支出绩效自评表</w:t>
            </w:r>
          </w:p>
        </w:tc>
      </w:tr>
      <w:tr w14:paraId="058BC7B2">
        <w:tblPrEx>
          <w:tblCellMar>
            <w:top w:w="0" w:type="dxa"/>
            <w:left w:w="108" w:type="dxa"/>
            <w:bottom w:w="0" w:type="dxa"/>
            <w:right w:w="108" w:type="dxa"/>
          </w:tblCellMar>
        </w:tblPrEx>
        <w:tc>
          <w:tcPr>
            <w:tcW w:w="8840" w:type="dxa"/>
            <w:gridSpan w:val="8"/>
            <w:vAlign w:val="center"/>
          </w:tcPr>
          <w:p w14:paraId="079AD685">
            <w:pPr>
              <w:jc w:val="center"/>
            </w:pPr>
            <w:r>
              <w:rPr>
                <w:rFonts w:ascii="宋体" w:hAnsi="宋体" w:eastAsia="宋体"/>
                <w:sz w:val="24"/>
              </w:rPr>
              <w:t>（2024年度）</w:t>
            </w:r>
          </w:p>
        </w:tc>
      </w:tr>
      <w:tr w14:paraId="39E9B40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1B83F">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0D6517">
            <w:pPr>
              <w:jc w:val="center"/>
            </w:pPr>
            <w:r>
              <w:rPr>
                <w:rFonts w:ascii="宋体" w:hAnsi="宋体" w:eastAsia="宋体"/>
                <w:sz w:val="16"/>
              </w:rPr>
              <w:t>特克斯县八卦名城旅游风景区管理委员会</w:t>
            </w:r>
          </w:p>
        </w:tc>
      </w:tr>
      <w:tr w14:paraId="3FF5C59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AAA7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0D88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0BE9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7D2259">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24515">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CE72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1B03B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D683E">
            <w:pPr>
              <w:jc w:val="center"/>
            </w:pPr>
            <w:r>
              <w:rPr>
                <w:rFonts w:ascii="宋体" w:hAnsi="宋体" w:eastAsia="宋体"/>
                <w:sz w:val="16"/>
              </w:rPr>
              <w:t>得分</w:t>
            </w:r>
          </w:p>
        </w:tc>
      </w:tr>
      <w:tr w14:paraId="189996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DE3B4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31BFA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765951">
            <w:pPr>
              <w:jc w:val="center"/>
            </w:pPr>
            <w:r>
              <w:rPr>
                <w:rFonts w:ascii="宋体" w:hAnsi="宋体" w:eastAsia="宋体"/>
                <w:sz w:val="16"/>
              </w:rPr>
              <w:t>1,489.83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27E09">
            <w:pPr>
              <w:jc w:val="center"/>
            </w:pPr>
            <w:r>
              <w:rPr>
                <w:rFonts w:ascii="宋体" w:hAnsi="宋体" w:eastAsia="宋体"/>
                <w:sz w:val="16"/>
              </w:rPr>
              <w:t>4,505.88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B994B6">
            <w:pPr>
              <w:jc w:val="center"/>
            </w:pPr>
            <w:r>
              <w:rPr>
                <w:rFonts w:ascii="宋体" w:hAnsi="宋体" w:eastAsia="宋体"/>
                <w:sz w:val="16"/>
              </w:rPr>
              <w:t>4,505.88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30D5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23A9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E2D8C">
            <w:pPr>
              <w:jc w:val="center"/>
            </w:pPr>
            <w:r>
              <w:rPr>
                <w:rFonts w:ascii="宋体" w:hAnsi="宋体" w:eastAsia="宋体"/>
                <w:sz w:val="16"/>
              </w:rPr>
              <w:t>10</w:t>
            </w:r>
          </w:p>
        </w:tc>
      </w:tr>
      <w:tr w14:paraId="11E7FC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87568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6647B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6EA7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792CD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C5F21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4824F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2D790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89DEA7">
            <w:pPr>
              <w:jc w:val="center"/>
            </w:pPr>
            <w:r>
              <w:rPr>
                <w:rFonts w:ascii="宋体" w:hAnsi="宋体" w:eastAsia="宋体"/>
                <w:sz w:val="16"/>
              </w:rPr>
              <w:t>-</w:t>
            </w:r>
          </w:p>
        </w:tc>
      </w:tr>
      <w:tr w14:paraId="28950A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02959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EEA787">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0E8928">
            <w:pPr>
              <w:jc w:val="center"/>
            </w:pPr>
            <w:r>
              <w:rPr>
                <w:rFonts w:ascii="宋体" w:hAnsi="宋体" w:eastAsia="宋体"/>
                <w:sz w:val="16"/>
              </w:rPr>
              <w:t>1,469.83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E9D811">
            <w:pPr>
              <w:jc w:val="center"/>
            </w:pPr>
            <w:r>
              <w:rPr>
                <w:rFonts w:ascii="宋体" w:hAnsi="宋体" w:eastAsia="宋体"/>
                <w:sz w:val="16"/>
              </w:rPr>
              <w:t>4,505.88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953F11">
            <w:pPr>
              <w:jc w:val="center"/>
            </w:pPr>
            <w:r>
              <w:rPr>
                <w:rFonts w:ascii="宋体" w:hAnsi="宋体" w:eastAsia="宋体"/>
                <w:sz w:val="16"/>
              </w:rPr>
              <w:t>4,505.88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11753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237BE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0A2A3">
            <w:pPr>
              <w:jc w:val="center"/>
            </w:pPr>
            <w:r>
              <w:rPr>
                <w:rFonts w:ascii="宋体" w:hAnsi="宋体" w:eastAsia="宋体"/>
                <w:sz w:val="16"/>
              </w:rPr>
              <w:t>-</w:t>
            </w:r>
          </w:p>
        </w:tc>
      </w:tr>
      <w:tr w14:paraId="04D123C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3FC8B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71FA45">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39F26">
            <w:pPr>
              <w:jc w:val="center"/>
            </w:pPr>
            <w:r>
              <w:rPr>
                <w:rFonts w:ascii="宋体" w:hAnsi="宋体" w:eastAsia="宋体"/>
                <w:sz w:val="16"/>
              </w:rPr>
              <w:t>20.00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402C9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5C8D1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FCB2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EAC2A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A3BA0E">
            <w:pPr>
              <w:jc w:val="center"/>
            </w:pPr>
            <w:r>
              <w:rPr>
                <w:rFonts w:ascii="宋体" w:hAnsi="宋体" w:eastAsia="宋体"/>
                <w:sz w:val="16"/>
              </w:rPr>
              <w:t>-</w:t>
            </w:r>
          </w:p>
        </w:tc>
      </w:tr>
      <w:tr w14:paraId="51C3E00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709B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AACB1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F6C113">
            <w:pPr>
              <w:jc w:val="center"/>
            </w:pPr>
            <w:r>
              <w:rPr>
                <w:rFonts w:ascii="宋体" w:hAnsi="宋体" w:eastAsia="宋体"/>
                <w:sz w:val="16"/>
              </w:rPr>
              <w:t>实际完成情况</w:t>
            </w:r>
          </w:p>
        </w:tc>
      </w:tr>
      <w:tr w14:paraId="590E0E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CB61D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06C79D">
            <w:pPr>
              <w:jc w:val="both"/>
            </w:pPr>
            <w:r>
              <w:rPr>
                <w:rFonts w:ascii="宋体" w:hAnsi="宋体" w:eastAsia="宋体"/>
                <w:sz w:val="16"/>
              </w:rPr>
              <w:t>2024年，我委将始终坚持以习近平新时代中国特色社会主义思想、党的二十大精神为指导，深入贯彻落实习近平总书记关于新疆工作重要讲话指示精神，新时代党的治疆方略，推进文化铸魂、实施文化赋能，推进旅游为民、实施旅游带动，不断丰富品牌内涵，提振文旅消费信心，满足游客多元化、个性化需求，不断推动文化和旅游发展迈上新台阶。一是完善服务功能，有效优化旅游环境；二是强化宣传推广，有效提升品牌影响力；三是突出文化特色，有效延伸产业链条；四是加快文旅项目建设，有效促进文旅产业提质增效；五是全力以赴抓招商，有效丰富景区业态；六是加强安全管理，有效打造游客放心景区。</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981F24">
            <w:pPr>
              <w:jc w:val="both"/>
            </w:pPr>
            <w:r>
              <w:rPr>
                <w:rFonts w:ascii="宋体" w:hAnsi="宋体" w:eastAsia="宋体"/>
                <w:sz w:val="16"/>
              </w:rPr>
              <w:t>一年来，在县委、县政府的坚强领导下，特克斯县八卦名城景区管委会以习近平新时代中国特色社会主义思想为指导，全面贯彻落实党的二十届三中全会精神，坚持“以文塑旅、以旅彰文”，着力在丰富优质文旅产品供给，提升旅游服务质量上下功夫，奋力推动文旅深度融合实现新成效。 （一）2024年全县累计接待游客1050万人次，同比增长83.57%，实现旅游综合收入60亿元，同比增长81.6%;2024年非税收入已完成3483.60万元，超额完成。（二）积极与中南大学对接《新疆喀拉峻国际生态旅游总体规划》《新疆喀拉峻国际旅游区控制性详规》修编工作，规划初稿已编制完成，目前正在修改完善。（三）完善景区基础设施建设，打造喀拉峻景区自驾游线路58公里，补充阿克塔斯景区停车场、露营地、直升机平台、避雨棚、观景平台等基础配套设施，打造八卦城景区文化节点。（四）2024年景区开展各类培训200余场次，受众人员达2.7万人次；常态化巡查景区安全生产、服务质量、环境卫生、业态经营180余次，联合市监、文旅、发改、公安等部门开展联合执法6次。（五）全力推进招商引资。引进新疆东澳文化旅游开发有限责任公司运营管理奇石馆、天鹅驿站、公主郡等，四川中正瑞鼎文化传媒有限公司开发使用八卦红公社，对八卦城景区1号民宿、初九坊酒吧等6处资产进行公开招拍租。（六）保障了部门</w:t>
            </w:r>
            <w:r>
              <w:rPr>
                <w:rFonts w:hint="eastAsia" w:ascii="宋体" w:hAnsi="宋体"/>
                <w:sz w:val="16"/>
                <w:lang w:eastAsia="zh-CN"/>
              </w:rPr>
              <w:t>单位</w:t>
            </w:r>
            <w:r>
              <w:rPr>
                <w:rFonts w:ascii="宋体" w:hAnsi="宋体" w:eastAsia="宋体"/>
                <w:sz w:val="16"/>
              </w:rPr>
              <w:t>人员工资福利发放及正常运转，通过对景区的管理，完善景区（点）基础及服务设施，进一步提升景区的服务水平，创造良好的旅游环境，扩大了景区美誉度和知名度，切实推动文旅融合深度发展。</w:t>
            </w:r>
          </w:p>
        </w:tc>
      </w:tr>
      <w:tr w14:paraId="2956FCB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582852">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3977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9336E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7FE05B">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6DA77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4F1D8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BEA9B">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11F158">
            <w:pPr>
              <w:jc w:val="center"/>
            </w:pPr>
            <w:r>
              <w:rPr>
                <w:rFonts w:ascii="宋体" w:hAnsi="宋体" w:eastAsia="宋体"/>
                <w:sz w:val="16"/>
              </w:rPr>
              <w:t>得分</w:t>
            </w:r>
          </w:p>
        </w:tc>
      </w:tr>
      <w:tr w14:paraId="5B604B7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66CB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5DA0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9DA7E5">
            <w:pPr>
              <w:jc w:val="center"/>
            </w:pPr>
            <w:r>
              <w:rPr>
                <w:rFonts w:ascii="宋体" w:hAnsi="宋体" w:eastAsia="宋体"/>
                <w:sz w:val="16"/>
              </w:rPr>
              <w:t>非税收入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D8D94">
            <w:pPr>
              <w:jc w:val="center"/>
            </w:pPr>
            <w:r>
              <w:rPr>
                <w:rFonts w:ascii="宋体" w:hAnsi="宋体" w:eastAsia="宋体"/>
                <w:sz w:val="16"/>
              </w:rPr>
              <w:t>&gt;=3300万元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AB4E7">
            <w:pPr>
              <w:jc w:val="center"/>
            </w:pPr>
            <w:r>
              <w:rPr>
                <w:rFonts w:ascii="宋体" w:hAnsi="宋体" w:eastAsia="宋体"/>
                <w:sz w:val="16"/>
              </w:rPr>
              <w:t>《特克斯县八卦名城旅游风景区管理委员会2024年工作计划》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55F011">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6D4266">
            <w:pPr>
              <w:jc w:val="center"/>
            </w:pPr>
            <w:r>
              <w:rPr>
                <w:rFonts w:ascii="宋体" w:hAnsi="宋体" w:eastAsia="宋体"/>
                <w:sz w:val="16"/>
              </w:rPr>
              <w:t>3483.6万元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3A9032">
            <w:pPr>
              <w:jc w:val="center"/>
            </w:pPr>
            <w:r>
              <w:rPr>
                <w:rFonts w:ascii="宋体" w:hAnsi="宋体" w:eastAsia="宋体"/>
                <w:sz w:val="16"/>
              </w:rPr>
              <w:t>25</w:t>
            </w:r>
          </w:p>
        </w:tc>
      </w:tr>
      <w:tr w14:paraId="1155164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625B2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DF2DC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0E535">
            <w:pPr>
              <w:jc w:val="center"/>
            </w:pPr>
            <w:r>
              <w:rPr>
                <w:rFonts w:ascii="宋体" w:hAnsi="宋体" w:eastAsia="宋体"/>
                <w:sz w:val="16"/>
              </w:rPr>
              <w:t>旅游人次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142747">
            <w:pPr>
              <w:jc w:val="center"/>
            </w:pPr>
            <w:r>
              <w:rPr>
                <w:rFonts w:ascii="宋体" w:hAnsi="宋体" w:eastAsia="宋体"/>
                <w:sz w:val="16"/>
              </w:rPr>
              <w:t>&gt;=689万人次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9CBB19">
            <w:pPr>
              <w:jc w:val="center"/>
            </w:pPr>
            <w:r>
              <w:rPr>
                <w:rFonts w:ascii="宋体" w:hAnsi="宋体" w:eastAsia="宋体"/>
                <w:sz w:val="16"/>
              </w:rPr>
              <w:t>《特克斯县八卦名城旅游风景区管理委员会2024年工作计划》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0E16FA">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CADF4C">
            <w:pPr>
              <w:jc w:val="center"/>
            </w:pPr>
            <w:r>
              <w:rPr>
                <w:rFonts w:ascii="宋体" w:hAnsi="宋体" w:eastAsia="宋体"/>
                <w:sz w:val="16"/>
              </w:rPr>
              <w:t>1050万人次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EA58AF">
            <w:pPr>
              <w:jc w:val="center"/>
            </w:pPr>
            <w:r>
              <w:rPr>
                <w:rFonts w:ascii="宋体" w:hAnsi="宋体" w:eastAsia="宋体"/>
                <w:sz w:val="16"/>
              </w:rPr>
              <w:t>25</w:t>
            </w:r>
          </w:p>
        </w:tc>
      </w:tr>
      <w:tr w14:paraId="60B45B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A4CB5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80C23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092BF">
            <w:pPr>
              <w:jc w:val="center"/>
            </w:pPr>
            <w:r>
              <w:rPr>
                <w:rFonts w:ascii="宋体" w:hAnsi="宋体" w:eastAsia="宋体"/>
                <w:sz w:val="16"/>
              </w:rPr>
              <w:t>创建文旅品牌数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6E1C60">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663219">
            <w:pPr>
              <w:jc w:val="center"/>
            </w:pPr>
            <w:r>
              <w:rPr>
                <w:rFonts w:ascii="宋体" w:hAnsi="宋体" w:eastAsia="宋体"/>
                <w:sz w:val="16"/>
              </w:rPr>
              <w:t>《特克斯县八卦名城旅游风景区管理委员会2024年工作计划》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05673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D2120">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C275F">
            <w:pPr>
              <w:jc w:val="center"/>
            </w:pPr>
            <w:r>
              <w:rPr>
                <w:rFonts w:ascii="宋体" w:hAnsi="宋体" w:eastAsia="宋体"/>
                <w:sz w:val="16"/>
              </w:rPr>
              <w:t>20</w:t>
            </w:r>
          </w:p>
        </w:tc>
      </w:tr>
      <w:tr w14:paraId="281C499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32F26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5BD99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B25AD">
            <w:pPr>
              <w:jc w:val="center"/>
            </w:pPr>
            <w:r>
              <w:rPr>
                <w:rFonts w:ascii="宋体" w:hAnsi="宋体" w:eastAsia="宋体"/>
                <w:sz w:val="16"/>
              </w:rPr>
              <w:t>推出旅游文创产品种类</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D2C89">
            <w:pPr>
              <w:jc w:val="center"/>
            </w:pPr>
            <w:r>
              <w:rPr>
                <w:rFonts w:ascii="宋体" w:hAnsi="宋体" w:eastAsia="宋体"/>
                <w:sz w:val="16"/>
              </w:rPr>
              <w:t>&gt;=5种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AA9F41">
            <w:pPr>
              <w:jc w:val="center"/>
            </w:pPr>
            <w:r>
              <w:rPr>
                <w:rFonts w:ascii="宋体" w:hAnsi="宋体" w:eastAsia="宋体"/>
                <w:sz w:val="16"/>
              </w:rPr>
              <w:t>《特克斯县八卦名城旅游风景区管理委员会2024年工作计划》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4DE5F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6499F4">
            <w:pPr>
              <w:jc w:val="center"/>
            </w:pPr>
            <w:r>
              <w:rPr>
                <w:rFonts w:ascii="宋体" w:hAnsi="宋体" w:eastAsia="宋体"/>
                <w:sz w:val="16"/>
              </w:rPr>
              <w:t>5种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6C847">
            <w:pPr>
              <w:jc w:val="center"/>
            </w:pPr>
            <w:r>
              <w:rPr>
                <w:rFonts w:ascii="宋体" w:hAnsi="宋体" w:eastAsia="宋体"/>
                <w:sz w:val="16"/>
              </w:rPr>
              <w:t>20</w:t>
            </w:r>
          </w:p>
        </w:tc>
      </w:tr>
    </w:tbl>
    <w:p w14:paraId="551B9D1A">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4"/>
        <w:gridCol w:w="626"/>
        <w:gridCol w:w="856"/>
        <w:gridCol w:w="696"/>
        <w:gridCol w:w="629"/>
        <w:gridCol w:w="626"/>
        <w:gridCol w:w="624"/>
        <w:gridCol w:w="624"/>
        <w:gridCol w:w="624"/>
        <w:gridCol w:w="624"/>
        <w:gridCol w:w="631"/>
      </w:tblGrid>
      <w:tr w14:paraId="7AE72E3B">
        <w:tc>
          <w:tcPr>
            <w:tcW w:w="8848" w:type="dxa"/>
            <w:gridSpan w:val="14"/>
            <w:vAlign w:val="center"/>
          </w:tcPr>
          <w:p w14:paraId="39E08AE6">
            <w:pPr>
              <w:jc w:val="center"/>
            </w:pPr>
            <w:r>
              <w:rPr>
                <w:rFonts w:ascii="宋体" w:hAnsi="宋体" w:eastAsia="宋体"/>
                <w:sz w:val="24"/>
              </w:rPr>
              <w:t>项目支出绩效自评表</w:t>
            </w:r>
          </w:p>
        </w:tc>
      </w:tr>
      <w:tr w14:paraId="63CC2135">
        <w:tblPrEx>
          <w:tblCellMar>
            <w:top w:w="0" w:type="dxa"/>
            <w:left w:w="108" w:type="dxa"/>
            <w:bottom w:w="0" w:type="dxa"/>
            <w:right w:w="108" w:type="dxa"/>
          </w:tblCellMar>
        </w:tblPrEx>
        <w:tc>
          <w:tcPr>
            <w:tcW w:w="8848" w:type="dxa"/>
            <w:gridSpan w:val="14"/>
            <w:vAlign w:val="center"/>
          </w:tcPr>
          <w:p w14:paraId="2A670247">
            <w:pPr>
              <w:jc w:val="center"/>
            </w:pPr>
            <w:r>
              <w:rPr>
                <w:rFonts w:ascii="宋体" w:hAnsi="宋体" w:eastAsia="宋体"/>
                <w:sz w:val="24"/>
              </w:rPr>
              <w:t>(2024年度)</w:t>
            </w:r>
          </w:p>
        </w:tc>
      </w:tr>
      <w:tr w14:paraId="2DB1BA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9F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882B9A">
            <w:pPr>
              <w:jc w:val="center"/>
            </w:pPr>
            <w:r>
              <w:rPr>
                <w:rFonts w:ascii="宋体" w:hAnsi="宋体" w:eastAsia="宋体"/>
                <w:sz w:val="16"/>
              </w:rPr>
              <w:t>喀拉峻景区基础设施建设（消化暂付款）</w:t>
            </w:r>
          </w:p>
        </w:tc>
      </w:tr>
      <w:tr w14:paraId="3C26CA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85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9C082C">
            <w:pPr>
              <w:jc w:val="center"/>
            </w:pPr>
            <w:r>
              <w:rPr>
                <w:rFonts w:ascii="宋体" w:hAnsi="宋体" w:eastAsia="宋体"/>
                <w:sz w:val="16"/>
              </w:rPr>
              <w:t>特克斯县八卦名城旅游风景区管理委员会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276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6AFE57">
            <w:pPr>
              <w:jc w:val="center"/>
            </w:pPr>
            <w:r>
              <w:rPr>
                <w:rFonts w:ascii="宋体" w:hAnsi="宋体" w:eastAsia="宋体"/>
                <w:sz w:val="16"/>
              </w:rPr>
              <w:t>特克斯县八卦名城旅游风景区管理委员会</w:t>
            </w:r>
          </w:p>
        </w:tc>
      </w:tr>
      <w:tr w14:paraId="425AB0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0C1E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41C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5E5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D1D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9C0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7FF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47D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EF8A">
            <w:pPr>
              <w:jc w:val="center"/>
            </w:pPr>
            <w:r>
              <w:rPr>
                <w:rFonts w:ascii="宋体" w:hAnsi="宋体" w:eastAsia="宋体"/>
                <w:sz w:val="16"/>
              </w:rPr>
              <w:t>得分</w:t>
            </w:r>
          </w:p>
        </w:tc>
      </w:tr>
      <w:tr w14:paraId="01038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1AA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BE4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A5195">
            <w:pPr>
              <w:jc w:val="center"/>
            </w:pPr>
            <w:r>
              <w:rPr>
                <w:rFonts w:ascii="宋体" w:hAnsi="宋体" w:eastAsia="宋体"/>
                <w:sz w:val="16"/>
              </w:rPr>
              <w:t>993.73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2479B">
            <w:pPr>
              <w:jc w:val="center"/>
            </w:pPr>
            <w:r>
              <w:rPr>
                <w:rFonts w:ascii="宋体" w:hAnsi="宋体" w:eastAsia="宋体"/>
                <w:sz w:val="16"/>
              </w:rPr>
              <w:t>993.73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49C46">
            <w:pPr>
              <w:jc w:val="center"/>
            </w:pPr>
            <w:r>
              <w:rPr>
                <w:rFonts w:ascii="宋体" w:hAnsi="宋体" w:eastAsia="宋体"/>
                <w:sz w:val="16"/>
              </w:rPr>
              <w:t>993.73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F5F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B73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B4F1">
            <w:pPr>
              <w:jc w:val="center"/>
            </w:pPr>
            <w:r>
              <w:rPr>
                <w:rFonts w:ascii="宋体" w:hAnsi="宋体" w:eastAsia="宋体"/>
                <w:sz w:val="16"/>
              </w:rPr>
              <w:t>10.00</w:t>
            </w:r>
          </w:p>
        </w:tc>
      </w:tr>
      <w:tr w14:paraId="472AE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ED9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12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20B96">
            <w:pPr>
              <w:jc w:val="center"/>
            </w:pPr>
            <w:r>
              <w:rPr>
                <w:rFonts w:ascii="宋体" w:hAnsi="宋体" w:eastAsia="宋体"/>
                <w:sz w:val="16"/>
              </w:rPr>
              <w:t>993.73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4A0B3">
            <w:pPr>
              <w:jc w:val="center"/>
            </w:pPr>
            <w:r>
              <w:rPr>
                <w:rFonts w:ascii="宋体" w:hAnsi="宋体" w:eastAsia="宋体"/>
                <w:sz w:val="16"/>
              </w:rPr>
              <w:t>993.73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479E1">
            <w:pPr>
              <w:jc w:val="center"/>
            </w:pPr>
            <w:r>
              <w:rPr>
                <w:rFonts w:ascii="宋体" w:hAnsi="宋体" w:eastAsia="宋体"/>
                <w:sz w:val="16"/>
              </w:rPr>
              <w:t>993.73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A94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C90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B9FE">
            <w:pPr>
              <w:jc w:val="center"/>
            </w:pPr>
            <w:r>
              <w:rPr>
                <w:rFonts w:ascii="宋体" w:hAnsi="宋体" w:eastAsia="宋体"/>
                <w:sz w:val="16"/>
              </w:rPr>
              <w:t>—</w:t>
            </w:r>
          </w:p>
        </w:tc>
      </w:tr>
      <w:tr w14:paraId="429D5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F39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627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824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400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EE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762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DBE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0DD5">
            <w:pPr>
              <w:jc w:val="center"/>
            </w:pPr>
            <w:r>
              <w:rPr>
                <w:rFonts w:ascii="宋体" w:hAnsi="宋体" w:eastAsia="宋体"/>
                <w:sz w:val="16"/>
              </w:rPr>
              <w:t>—</w:t>
            </w:r>
          </w:p>
        </w:tc>
      </w:tr>
      <w:tr w14:paraId="6F4111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E73A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148E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663E21">
            <w:pPr>
              <w:jc w:val="center"/>
            </w:pPr>
            <w:r>
              <w:rPr>
                <w:rFonts w:ascii="宋体" w:hAnsi="宋体" w:eastAsia="宋体"/>
                <w:sz w:val="16"/>
              </w:rPr>
              <w:t>实际完成情况</w:t>
            </w:r>
          </w:p>
        </w:tc>
      </w:tr>
      <w:tr w14:paraId="2FAC4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0B2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32E5D">
            <w:pPr>
              <w:jc w:val="both"/>
            </w:pPr>
            <w:r>
              <w:rPr>
                <w:rFonts w:ascii="宋体" w:hAnsi="宋体" w:eastAsia="宋体"/>
                <w:sz w:val="16"/>
              </w:rPr>
              <w:t>用于保障喀拉峻景区2023年管理人员工资、运营维护、市场营销、公共卫生设施建设及环境卫生管理等。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279457">
            <w:pPr>
              <w:jc w:val="both"/>
            </w:pPr>
            <w:r>
              <w:rPr>
                <w:rFonts w:ascii="宋体" w:hAnsi="宋体" w:eastAsia="宋体"/>
                <w:sz w:val="16"/>
              </w:rPr>
              <w:t>保障了喀拉峻景区2023年管理工作人员1680人工资福利772万元、基础设施建设及维护116.98万元、市场宣传营销107.75万元，提升喀拉峻国际生态旅游区环境卫生的管理，保证景区健康持续发展，不断提升景区的服务水平，创造良好的旅游环境。</w:t>
            </w:r>
          </w:p>
        </w:tc>
      </w:tr>
      <w:tr w14:paraId="37B263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588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0A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62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31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7E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1B2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E5D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EC4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72D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D4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E0C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10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26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2531">
            <w:pPr>
              <w:jc w:val="center"/>
            </w:pPr>
            <w:r>
              <w:rPr>
                <w:rFonts w:ascii="宋体" w:hAnsi="宋体" w:eastAsia="宋体"/>
                <w:sz w:val="16"/>
              </w:rPr>
              <w:t>偏差原因分析及改进措施</w:t>
            </w:r>
          </w:p>
        </w:tc>
      </w:tr>
      <w:tr w14:paraId="1146A8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099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EC2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69A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F57E">
            <w:pPr>
              <w:jc w:val="center"/>
            </w:pPr>
            <w:r>
              <w:rPr>
                <w:rFonts w:ascii="宋体" w:hAnsi="宋体" w:eastAsia="宋体"/>
                <w:sz w:val="16"/>
              </w:rPr>
              <w:t>景区员工工资发放人数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07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D9DB">
            <w:pPr>
              <w:jc w:val="center"/>
            </w:pPr>
            <w:r>
              <w:rPr>
                <w:rFonts w:ascii="宋体" w:hAnsi="宋体" w:eastAsia="宋体"/>
                <w:sz w:val="16"/>
              </w:rPr>
              <w:t>&gt;=1680人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8206">
            <w:pPr>
              <w:jc w:val="center"/>
            </w:pPr>
            <w:r>
              <w:rPr>
                <w:rFonts w:ascii="宋体" w:hAnsi="宋体" w:eastAsia="宋体"/>
                <w:sz w:val="16"/>
              </w:rPr>
              <w:t>1680人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8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EA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E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2B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4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5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A5B9">
            <w:pPr>
              <w:jc w:val="center"/>
            </w:pPr>
          </w:p>
        </w:tc>
      </w:tr>
      <w:tr w14:paraId="25EBBD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58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24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151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C7E9">
            <w:pPr>
              <w:jc w:val="center"/>
            </w:pPr>
            <w:r>
              <w:rPr>
                <w:rFonts w:ascii="宋体" w:hAnsi="宋体" w:eastAsia="宋体"/>
                <w:sz w:val="16"/>
              </w:rPr>
              <w:t>基础设施维修次数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53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2A79">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74F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7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AB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CF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A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C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36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D50B">
            <w:pPr>
              <w:jc w:val="center"/>
            </w:pPr>
          </w:p>
        </w:tc>
      </w:tr>
      <w:tr w14:paraId="5D252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D6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730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FF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6DCF">
            <w:pPr>
              <w:jc w:val="center"/>
            </w:pPr>
            <w:r>
              <w:rPr>
                <w:rFonts w:ascii="宋体" w:hAnsi="宋体" w:eastAsia="宋体"/>
                <w:sz w:val="16"/>
              </w:rPr>
              <w:t>营销宣传服务合同签订数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44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5DD4">
            <w:pPr>
              <w:jc w:val="center"/>
            </w:pPr>
            <w:r>
              <w:rPr>
                <w:rFonts w:ascii="宋体" w:hAnsi="宋体" w:eastAsia="宋体"/>
                <w:sz w:val="16"/>
              </w:rPr>
              <w:t>&gt;=3份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5503">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5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9B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8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DE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C8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28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3DE1">
            <w:pPr>
              <w:jc w:val="center"/>
            </w:pPr>
          </w:p>
        </w:tc>
      </w:tr>
      <w:tr w14:paraId="11BFA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A0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F55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77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C321">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61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DF74">
            <w:pPr>
              <w:jc w:val="center"/>
            </w:pPr>
            <w:r>
              <w:rPr>
                <w:rFonts w:ascii="宋体" w:hAnsi="宋体" w:eastAsia="宋体"/>
                <w:sz w:val="16"/>
              </w:rPr>
              <w:t>&gt;=93%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13E3">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4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18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4D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0A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7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DC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6B66">
            <w:pPr>
              <w:jc w:val="center"/>
            </w:pPr>
          </w:p>
        </w:tc>
      </w:tr>
      <w:tr w14:paraId="59FCC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EA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1D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E4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42AA">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BD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7E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36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8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97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E0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AB1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E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8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BE01">
            <w:pPr>
              <w:jc w:val="center"/>
            </w:pPr>
          </w:p>
        </w:tc>
      </w:tr>
      <w:tr w14:paraId="34791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786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5AB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18D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C1DA">
            <w:pPr>
              <w:jc w:val="center"/>
            </w:pPr>
            <w:r>
              <w:rPr>
                <w:rFonts w:ascii="宋体" w:hAnsi="宋体" w:eastAsia="宋体"/>
                <w:sz w:val="16"/>
              </w:rPr>
              <w:t>景区员工工资发放金额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8AF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F146">
            <w:pPr>
              <w:jc w:val="center"/>
            </w:pPr>
            <w:r>
              <w:rPr>
                <w:rFonts w:ascii="宋体" w:hAnsi="宋体" w:eastAsia="宋体"/>
                <w:sz w:val="16"/>
              </w:rPr>
              <w:t>&lt;=772万元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C9E7">
            <w:pPr>
              <w:jc w:val="center"/>
            </w:pPr>
            <w:r>
              <w:rPr>
                <w:rFonts w:ascii="宋体" w:hAnsi="宋体" w:eastAsia="宋体"/>
                <w:sz w:val="16"/>
              </w:rPr>
              <w:t>772万元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5D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8EE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BE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B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7C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45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F875">
            <w:pPr>
              <w:jc w:val="center"/>
            </w:pPr>
          </w:p>
        </w:tc>
      </w:tr>
      <w:tr w14:paraId="38B39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29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3DA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11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2420">
            <w:pPr>
              <w:jc w:val="center"/>
            </w:pPr>
            <w:r>
              <w:rPr>
                <w:rFonts w:ascii="宋体" w:hAnsi="宋体" w:eastAsia="宋体"/>
                <w:sz w:val="16"/>
              </w:rPr>
              <w:t>基础设施维修成本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817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D4CA">
            <w:pPr>
              <w:jc w:val="center"/>
            </w:pPr>
            <w:r>
              <w:rPr>
                <w:rFonts w:ascii="宋体" w:hAnsi="宋体" w:eastAsia="宋体"/>
                <w:sz w:val="16"/>
              </w:rPr>
              <w:t>&lt;=116.98万元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2FFD">
            <w:pPr>
              <w:jc w:val="center"/>
            </w:pPr>
            <w:r>
              <w:rPr>
                <w:rFonts w:ascii="宋体" w:hAnsi="宋体" w:eastAsia="宋体"/>
                <w:sz w:val="16"/>
              </w:rPr>
              <w:t>116.98万元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F8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BD6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78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00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1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37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F04C">
            <w:pPr>
              <w:jc w:val="center"/>
            </w:pPr>
          </w:p>
        </w:tc>
      </w:tr>
      <w:tr w14:paraId="1AAFE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AF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96B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29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6123">
            <w:pPr>
              <w:jc w:val="center"/>
            </w:pPr>
            <w:r>
              <w:rPr>
                <w:rFonts w:ascii="宋体" w:hAnsi="宋体" w:eastAsia="宋体"/>
                <w:sz w:val="16"/>
              </w:rPr>
              <w:t>营销宣传成本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B1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F1D7">
            <w:pPr>
              <w:jc w:val="center"/>
            </w:pPr>
            <w:r>
              <w:rPr>
                <w:rFonts w:ascii="宋体" w:hAnsi="宋体" w:eastAsia="宋体"/>
                <w:sz w:val="16"/>
              </w:rPr>
              <w:t>&lt;=104.75万元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BF9E">
            <w:pPr>
              <w:jc w:val="center"/>
            </w:pPr>
            <w:r>
              <w:rPr>
                <w:rFonts w:ascii="宋体" w:hAnsi="宋体" w:eastAsia="宋体"/>
                <w:sz w:val="16"/>
              </w:rPr>
              <w:t>104.75万元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E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E0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0C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26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C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AF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FF14">
            <w:pPr>
              <w:jc w:val="center"/>
            </w:pPr>
          </w:p>
        </w:tc>
      </w:tr>
      <w:tr w14:paraId="65DE4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E37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8DC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62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D063">
            <w:pPr>
              <w:jc w:val="center"/>
            </w:pPr>
            <w:r>
              <w:rPr>
                <w:rFonts w:ascii="宋体" w:hAnsi="宋体" w:eastAsia="宋体"/>
                <w:sz w:val="16"/>
              </w:rPr>
              <w:t>提升景区服务水平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EC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B60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1D1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57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23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22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EC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0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0D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992F">
            <w:pPr>
              <w:jc w:val="center"/>
            </w:pPr>
          </w:p>
        </w:tc>
      </w:tr>
      <w:tr w14:paraId="365A4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FC5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BC4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009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E78E">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FA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F6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B1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93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3B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4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5C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EB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03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A4B5">
            <w:pPr>
              <w:jc w:val="center"/>
            </w:pPr>
          </w:p>
        </w:tc>
      </w:tr>
      <w:tr w14:paraId="00CCFBD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E158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5C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86AC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B9F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8B5B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9F8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1C6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B61E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C4AA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B855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72480"/>
        </w:tc>
      </w:tr>
    </w:tbl>
    <w:p w14:paraId="1B151C6B">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4"/>
        <w:gridCol w:w="627"/>
        <w:gridCol w:w="696"/>
        <w:gridCol w:w="696"/>
        <w:gridCol w:w="776"/>
        <w:gridCol w:w="632"/>
        <w:gridCol w:w="624"/>
        <w:gridCol w:w="627"/>
        <w:gridCol w:w="625"/>
        <w:gridCol w:w="625"/>
        <w:gridCol w:w="632"/>
      </w:tblGrid>
      <w:tr w14:paraId="34558FC9">
        <w:tblPrEx>
          <w:tblCellMar>
            <w:top w:w="0" w:type="dxa"/>
            <w:left w:w="108" w:type="dxa"/>
            <w:bottom w:w="0" w:type="dxa"/>
            <w:right w:w="108" w:type="dxa"/>
          </w:tblCellMar>
        </w:tblPrEx>
        <w:tc>
          <w:tcPr>
            <w:tcW w:w="8848" w:type="dxa"/>
            <w:gridSpan w:val="14"/>
            <w:vAlign w:val="center"/>
          </w:tcPr>
          <w:p w14:paraId="36B79CB7">
            <w:pPr>
              <w:jc w:val="center"/>
            </w:pPr>
            <w:r>
              <w:rPr>
                <w:rFonts w:ascii="宋体" w:hAnsi="宋体" w:eastAsia="宋体"/>
                <w:sz w:val="24"/>
              </w:rPr>
              <w:t>项目支出绩效自评表</w:t>
            </w:r>
          </w:p>
        </w:tc>
      </w:tr>
      <w:tr w14:paraId="4E4A16F6">
        <w:tblPrEx>
          <w:tblCellMar>
            <w:top w:w="0" w:type="dxa"/>
            <w:left w:w="108" w:type="dxa"/>
            <w:bottom w:w="0" w:type="dxa"/>
            <w:right w:w="108" w:type="dxa"/>
          </w:tblCellMar>
        </w:tblPrEx>
        <w:tc>
          <w:tcPr>
            <w:tcW w:w="8848" w:type="dxa"/>
            <w:gridSpan w:val="14"/>
            <w:vAlign w:val="center"/>
          </w:tcPr>
          <w:p w14:paraId="50665A4E">
            <w:pPr>
              <w:jc w:val="center"/>
            </w:pPr>
            <w:r>
              <w:rPr>
                <w:rFonts w:ascii="宋体" w:hAnsi="宋体" w:eastAsia="宋体"/>
                <w:sz w:val="24"/>
              </w:rPr>
              <w:t>(2024年度)</w:t>
            </w:r>
          </w:p>
        </w:tc>
      </w:tr>
      <w:tr w14:paraId="2BF3E9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429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8430D5">
            <w:pPr>
              <w:jc w:val="center"/>
            </w:pPr>
            <w:r>
              <w:rPr>
                <w:rFonts w:ascii="宋体" w:hAnsi="宋体" w:eastAsia="宋体"/>
                <w:sz w:val="16"/>
              </w:rPr>
              <w:t>游客集散中心运行维护费（年初本级）</w:t>
            </w:r>
          </w:p>
        </w:tc>
      </w:tr>
      <w:tr w14:paraId="2492BE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B2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EBAEB">
            <w:pPr>
              <w:jc w:val="center"/>
            </w:pPr>
            <w:r>
              <w:rPr>
                <w:rFonts w:ascii="宋体" w:hAnsi="宋体" w:eastAsia="宋体"/>
                <w:sz w:val="16"/>
              </w:rPr>
              <w:t>特克斯县八卦名城旅游风景区管理委员会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710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CF8EFA">
            <w:pPr>
              <w:jc w:val="center"/>
            </w:pPr>
            <w:r>
              <w:rPr>
                <w:rFonts w:ascii="宋体" w:hAnsi="宋体" w:eastAsia="宋体"/>
                <w:sz w:val="16"/>
              </w:rPr>
              <w:t>特克斯县八卦名城旅游风景区管理委员会</w:t>
            </w:r>
          </w:p>
        </w:tc>
      </w:tr>
      <w:tr w14:paraId="54EFF9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5B5A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5BE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EDE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B85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4B6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4EE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DA0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D8A3">
            <w:pPr>
              <w:jc w:val="center"/>
            </w:pPr>
            <w:r>
              <w:rPr>
                <w:rFonts w:ascii="宋体" w:hAnsi="宋体" w:eastAsia="宋体"/>
                <w:sz w:val="16"/>
              </w:rPr>
              <w:t>得分</w:t>
            </w:r>
          </w:p>
        </w:tc>
      </w:tr>
      <w:tr w14:paraId="0F3748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0E3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589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33955">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7F5BC">
            <w:pPr>
              <w:jc w:val="center"/>
            </w:pPr>
            <w:r>
              <w:rPr>
                <w:rFonts w:ascii="宋体" w:hAnsi="宋体" w:eastAsia="宋体"/>
                <w:sz w:val="16"/>
              </w:rPr>
              <w:t>99.20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59F3A">
            <w:pPr>
              <w:jc w:val="center"/>
            </w:pPr>
            <w:r>
              <w:rPr>
                <w:rFonts w:ascii="宋体" w:hAnsi="宋体" w:eastAsia="宋体"/>
                <w:sz w:val="16"/>
              </w:rPr>
              <w:t>99.20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385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A6B1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ABAC">
            <w:pPr>
              <w:jc w:val="center"/>
            </w:pPr>
            <w:r>
              <w:rPr>
                <w:rFonts w:ascii="宋体" w:hAnsi="宋体" w:eastAsia="宋体"/>
                <w:sz w:val="16"/>
              </w:rPr>
              <w:t>10.00</w:t>
            </w:r>
          </w:p>
        </w:tc>
      </w:tr>
      <w:tr w14:paraId="69473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A5C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D32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CAFDE">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5C2F6">
            <w:pPr>
              <w:jc w:val="center"/>
            </w:pPr>
            <w:r>
              <w:rPr>
                <w:rFonts w:ascii="宋体" w:hAnsi="宋体" w:eastAsia="宋体"/>
                <w:sz w:val="16"/>
              </w:rPr>
              <w:t>99.20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D21DB">
            <w:pPr>
              <w:jc w:val="center"/>
            </w:pPr>
            <w:r>
              <w:rPr>
                <w:rFonts w:ascii="宋体" w:hAnsi="宋体" w:eastAsia="宋体"/>
                <w:sz w:val="16"/>
              </w:rPr>
              <w:t>99.20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5E6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576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6EF9">
            <w:pPr>
              <w:jc w:val="center"/>
            </w:pPr>
            <w:r>
              <w:rPr>
                <w:rFonts w:ascii="宋体" w:hAnsi="宋体" w:eastAsia="宋体"/>
                <w:sz w:val="16"/>
              </w:rPr>
              <w:t>—</w:t>
            </w:r>
          </w:p>
        </w:tc>
      </w:tr>
      <w:tr w14:paraId="4DE15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667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DDB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B42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BC7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A69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F09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6A0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7313">
            <w:pPr>
              <w:jc w:val="center"/>
            </w:pPr>
            <w:r>
              <w:rPr>
                <w:rFonts w:ascii="宋体" w:hAnsi="宋体" w:eastAsia="宋体"/>
                <w:sz w:val="16"/>
              </w:rPr>
              <w:t>—</w:t>
            </w:r>
          </w:p>
        </w:tc>
      </w:tr>
      <w:tr w14:paraId="0AB0B2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C401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2CC4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AE1063">
            <w:pPr>
              <w:jc w:val="center"/>
            </w:pPr>
            <w:r>
              <w:rPr>
                <w:rFonts w:ascii="宋体" w:hAnsi="宋体" w:eastAsia="宋体"/>
                <w:sz w:val="16"/>
              </w:rPr>
              <w:t>实际完成情况</w:t>
            </w:r>
          </w:p>
        </w:tc>
      </w:tr>
      <w:tr w14:paraId="49881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734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FC9F44">
            <w:pPr>
              <w:jc w:val="both"/>
            </w:pPr>
            <w:r>
              <w:rPr>
                <w:rFonts w:ascii="宋体" w:hAnsi="宋体" w:eastAsia="宋体"/>
                <w:sz w:val="16"/>
              </w:rPr>
              <w:t>保障游客集散中心2024年正常运行所需人员工资、社保、办公（水电暖、后勤、维修维护、车辆运转等）及周易研究学会服务费等日常开支。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7DE61F">
            <w:pPr>
              <w:jc w:val="both"/>
            </w:pPr>
            <w:r>
              <w:rPr>
                <w:rFonts w:ascii="宋体" w:hAnsi="宋体" w:eastAsia="宋体"/>
                <w:sz w:val="16"/>
              </w:rPr>
              <w:t>完成了游客集散中心2024年聘用人员15人工资及社保51.44万元、公用经费（日常办公、水电暖、后勤、维修维护、车辆运转等）31.26万元，周易研究学会服务费16.5万元，保障了游客集散中心正常运行。</w:t>
            </w:r>
          </w:p>
        </w:tc>
      </w:tr>
      <w:tr w14:paraId="495146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A1E1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0E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B6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B2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060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58A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224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F30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545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EB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2F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51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92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D18F">
            <w:pPr>
              <w:jc w:val="center"/>
            </w:pPr>
            <w:r>
              <w:rPr>
                <w:rFonts w:ascii="宋体" w:hAnsi="宋体" w:eastAsia="宋体"/>
                <w:sz w:val="16"/>
              </w:rPr>
              <w:t>偏差原因分析及改进措施</w:t>
            </w:r>
          </w:p>
        </w:tc>
      </w:tr>
      <w:tr w14:paraId="1491E0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AE5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78C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E8E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C8F2">
            <w:pPr>
              <w:jc w:val="center"/>
            </w:pPr>
            <w:r>
              <w:rPr>
                <w:rFonts w:ascii="宋体" w:hAnsi="宋体" w:eastAsia="宋体"/>
                <w:sz w:val="16"/>
              </w:rPr>
              <w:t>聘用人员人数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10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2821">
            <w:pPr>
              <w:jc w:val="center"/>
            </w:pPr>
            <w:r>
              <w:rPr>
                <w:rFonts w:ascii="宋体" w:hAnsi="宋体" w:eastAsia="宋体"/>
                <w:sz w:val="16"/>
              </w:rPr>
              <w:t>&lt;=17人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98D1">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76AD">
            <w:pPr>
              <w:jc w:val="center"/>
            </w:pPr>
            <w:r>
              <w:rPr>
                <w:rFonts w:ascii="宋体" w:hAnsi="宋体" w:eastAsia="宋体"/>
                <w:sz w:val="16"/>
              </w:rPr>
              <w:t>94.12%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110A">
            <w:pPr>
              <w:jc w:val="center"/>
            </w:pPr>
            <w:r>
              <w:rPr>
                <w:rFonts w:ascii="宋体" w:hAnsi="宋体" w:eastAsia="宋体"/>
                <w:sz w:val="16"/>
              </w:rPr>
              <w:t>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4A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B6F2E">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7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FE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C179">
            <w:pPr>
              <w:jc w:val="center"/>
            </w:pPr>
            <w:r>
              <w:rPr>
                <w:rFonts w:ascii="宋体" w:hAnsi="宋体" w:eastAsia="宋体"/>
                <w:sz w:val="16"/>
              </w:rPr>
              <w:t>执行财政</w:t>
            </w:r>
            <w:r>
              <w:rPr>
                <w:rFonts w:hint="eastAsia" w:ascii="宋体" w:hAnsi="宋体"/>
                <w:sz w:val="16"/>
                <w:lang w:eastAsia="zh-CN"/>
              </w:rPr>
              <w:t>减少</w:t>
            </w:r>
            <w:r>
              <w:rPr>
                <w:rFonts w:ascii="宋体" w:hAnsi="宋体" w:eastAsia="宋体"/>
                <w:sz w:val="16"/>
              </w:rPr>
              <w:t>政策，经费预算偏少，景区管理人员工资偏低，人员流动性大</w:t>
            </w:r>
          </w:p>
        </w:tc>
      </w:tr>
      <w:tr w14:paraId="4F132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43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0A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89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5EA0">
            <w:pPr>
              <w:jc w:val="center"/>
            </w:pPr>
            <w:r>
              <w:rPr>
                <w:rFonts w:ascii="宋体" w:hAnsi="宋体" w:eastAsia="宋体"/>
                <w:sz w:val="16"/>
              </w:rPr>
              <w:t>周易研究学会服务次数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40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130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3B49">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8B8B">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5FF8">
            <w:pPr>
              <w:jc w:val="center"/>
            </w:pPr>
            <w:r>
              <w:rPr>
                <w:rFonts w:ascii="宋体" w:hAnsi="宋体" w:eastAsia="宋体"/>
                <w:sz w:val="16"/>
              </w:rPr>
              <w:t>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3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858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6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26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2728">
            <w:pPr>
              <w:jc w:val="center"/>
            </w:pPr>
            <w:r>
              <w:rPr>
                <w:rFonts w:ascii="宋体" w:hAnsi="宋体" w:eastAsia="宋体"/>
                <w:sz w:val="16"/>
              </w:rPr>
              <w:t>因预算经费不足，第12次服务费未按时拨付</w:t>
            </w:r>
          </w:p>
        </w:tc>
      </w:tr>
      <w:tr w14:paraId="3C113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7D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09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63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1B63">
            <w:pPr>
              <w:jc w:val="center"/>
            </w:pPr>
            <w:r>
              <w:rPr>
                <w:rFonts w:ascii="宋体" w:hAnsi="宋体" w:eastAsia="宋体"/>
                <w:sz w:val="16"/>
              </w:rPr>
              <w:t>游客集散中心服务质量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00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B7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049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6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96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C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61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F7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EF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F37A">
            <w:pPr>
              <w:jc w:val="center"/>
            </w:pPr>
          </w:p>
        </w:tc>
      </w:tr>
      <w:tr w14:paraId="18B10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6F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514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66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A79E">
            <w:pPr>
              <w:jc w:val="center"/>
            </w:pPr>
            <w:r>
              <w:rPr>
                <w:rFonts w:ascii="宋体" w:hAnsi="宋体" w:eastAsia="宋体"/>
                <w:sz w:val="16"/>
              </w:rPr>
              <w:t>保障运营维护期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A8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CC6E">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3C21">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C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0A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FD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A0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4B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B3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FAE4">
            <w:pPr>
              <w:jc w:val="center"/>
            </w:pPr>
          </w:p>
        </w:tc>
      </w:tr>
      <w:tr w14:paraId="1EE75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289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5A9C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BA3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3B8F">
            <w:pPr>
              <w:jc w:val="center"/>
            </w:pPr>
            <w:r>
              <w:rPr>
                <w:rFonts w:ascii="宋体" w:hAnsi="宋体" w:eastAsia="宋体"/>
                <w:sz w:val="16"/>
              </w:rPr>
              <w:t>月平均工资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516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9BEB">
            <w:pPr>
              <w:jc w:val="center"/>
            </w:pPr>
            <w:r>
              <w:rPr>
                <w:rFonts w:ascii="宋体" w:hAnsi="宋体" w:eastAsia="宋体"/>
                <w:sz w:val="16"/>
              </w:rPr>
              <w:t>&lt;=4.67万元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671D">
            <w:pPr>
              <w:jc w:val="center"/>
            </w:pPr>
            <w:r>
              <w:rPr>
                <w:rFonts w:ascii="宋体" w:hAnsi="宋体" w:eastAsia="宋体"/>
                <w:sz w:val="16"/>
              </w:rPr>
              <w:t>4.29万元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CD8B">
            <w:pPr>
              <w:jc w:val="center"/>
            </w:pPr>
            <w:r>
              <w:rPr>
                <w:rFonts w:ascii="宋体" w:hAnsi="宋体" w:eastAsia="宋体"/>
                <w:sz w:val="16"/>
              </w:rPr>
              <w:t>91.86%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C920">
            <w:pPr>
              <w:jc w:val="center"/>
            </w:pPr>
            <w:r>
              <w:rPr>
                <w:rFonts w:ascii="宋体" w:hAnsi="宋体" w:eastAsia="宋体"/>
                <w:sz w:val="16"/>
              </w:rPr>
              <w:t>6.43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58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98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05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1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EE6D">
            <w:pPr>
              <w:jc w:val="center"/>
            </w:pPr>
            <w:r>
              <w:rPr>
                <w:rFonts w:ascii="宋体" w:hAnsi="宋体" w:eastAsia="宋体"/>
                <w:sz w:val="16"/>
              </w:rPr>
              <w:t>执行财政</w:t>
            </w:r>
            <w:r>
              <w:rPr>
                <w:rFonts w:hint="eastAsia" w:ascii="宋体" w:hAnsi="宋体"/>
                <w:sz w:val="16"/>
                <w:lang w:eastAsia="zh-CN"/>
              </w:rPr>
              <w:t>减少</w:t>
            </w:r>
            <w:r>
              <w:rPr>
                <w:rFonts w:ascii="宋体" w:hAnsi="宋体" w:eastAsia="宋体"/>
                <w:sz w:val="16"/>
              </w:rPr>
              <w:t>政策，人数减少，支出减少</w:t>
            </w:r>
          </w:p>
        </w:tc>
      </w:tr>
      <w:tr w14:paraId="126A1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C7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D3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16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E2A0">
            <w:pPr>
              <w:jc w:val="center"/>
            </w:pPr>
            <w:r>
              <w:rPr>
                <w:rFonts w:ascii="宋体" w:hAnsi="宋体" w:eastAsia="宋体"/>
                <w:sz w:val="16"/>
              </w:rPr>
              <w:t>周易研究学会月平均服务费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84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CB94">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A088">
            <w:pPr>
              <w:jc w:val="center"/>
            </w:pPr>
            <w:r>
              <w:rPr>
                <w:rFonts w:ascii="宋体" w:hAnsi="宋体" w:eastAsia="宋体"/>
                <w:sz w:val="16"/>
              </w:rPr>
              <w: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D538">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9277">
            <w:pPr>
              <w:jc w:val="center"/>
            </w:pPr>
            <w:r>
              <w:rPr>
                <w:rFonts w:ascii="宋体" w:hAnsi="宋体" w:eastAsia="宋体"/>
                <w:sz w:val="16"/>
              </w:rPr>
              <w:t>6.44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96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A94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51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12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DC83">
            <w:pPr>
              <w:jc w:val="center"/>
            </w:pPr>
            <w:r>
              <w:rPr>
                <w:rFonts w:ascii="宋体" w:hAnsi="宋体" w:eastAsia="宋体"/>
                <w:sz w:val="16"/>
              </w:rPr>
              <w:t>因预算经费不足，第12次服务费未按时拨付</w:t>
            </w:r>
          </w:p>
        </w:tc>
      </w:tr>
      <w:tr w14:paraId="78C8F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73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91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4D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A0FB">
            <w:pPr>
              <w:jc w:val="center"/>
            </w:pPr>
            <w:r>
              <w:rPr>
                <w:rFonts w:ascii="宋体" w:hAnsi="宋体" w:eastAsia="宋体"/>
                <w:sz w:val="16"/>
              </w:rPr>
              <w:t>游客集散中心月平均办公支出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42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75F2">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D18F">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E072">
            <w:pPr>
              <w:jc w:val="center"/>
            </w:pPr>
            <w:r>
              <w:rPr>
                <w:rFonts w:ascii="宋体" w:hAnsi="宋体" w:eastAsia="宋体"/>
                <w:sz w:val="16"/>
              </w:rPr>
              <w:t>123.81%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00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0C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7E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AE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F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ED4C">
            <w:pPr>
              <w:jc w:val="center"/>
            </w:pPr>
            <w:r>
              <w:rPr>
                <w:rFonts w:hint="eastAsia" w:ascii="宋体" w:hAnsi="宋体"/>
                <w:sz w:val="16"/>
                <w:lang w:eastAsia="zh-CN"/>
              </w:rPr>
              <w:t>单位</w:t>
            </w:r>
            <w:r>
              <w:rPr>
                <w:rFonts w:ascii="宋体" w:hAnsi="宋体" w:eastAsia="宋体"/>
                <w:sz w:val="16"/>
              </w:rPr>
              <w:t>业务范围增加，车辆运行增加，年底增加水土保持费，导致办公费增加</w:t>
            </w:r>
          </w:p>
        </w:tc>
      </w:tr>
      <w:tr w14:paraId="0484C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670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A4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BF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3FDA">
            <w:pPr>
              <w:jc w:val="center"/>
            </w:pPr>
            <w:r>
              <w:rPr>
                <w:rFonts w:ascii="宋体" w:hAnsi="宋体" w:eastAsia="宋体"/>
                <w:sz w:val="16"/>
              </w:rPr>
              <w:t>服务功能提升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93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27F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0F57">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A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7D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3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FE9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E5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CF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02F5">
            <w:pPr>
              <w:jc w:val="center"/>
            </w:pPr>
          </w:p>
        </w:tc>
      </w:tr>
      <w:tr w14:paraId="35B7B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BDC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DD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31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8F58">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EC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AF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2478">
            <w:pPr>
              <w:jc w:val="center"/>
            </w:pPr>
            <w:r>
              <w:rPr>
                <w:rFonts w:ascii="宋体" w:hAnsi="宋体" w:eastAsia="宋体"/>
                <w:sz w:val="16"/>
              </w:rPr>
              <w:t>96.88%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0396">
            <w:pPr>
              <w:jc w:val="center"/>
            </w:pPr>
            <w:r>
              <w:rPr>
                <w:rFonts w:ascii="宋体" w:hAnsi="宋体" w:eastAsia="宋体"/>
                <w:sz w:val="16"/>
              </w:rPr>
              <w:t>101.98%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0C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F6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8F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1A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A6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B358">
            <w:pPr>
              <w:jc w:val="center"/>
            </w:pPr>
            <w:r>
              <w:rPr>
                <w:rFonts w:ascii="宋体" w:hAnsi="宋体" w:eastAsia="宋体"/>
                <w:sz w:val="16"/>
              </w:rPr>
              <w:t>服务质量提升，游客满意度提高</w:t>
            </w:r>
          </w:p>
        </w:tc>
      </w:tr>
      <w:tr w14:paraId="65FEB76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C49A5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CF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36A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A9E2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283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08D7">
            <w:pPr>
              <w:jc w:val="center"/>
            </w:pPr>
            <w:r>
              <w:rPr>
                <w:rFonts w:ascii="宋体" w:hAnsi="宋体" w:eastAsia="宋体"/>
                <w:sz w:val="16"/>
              </w:rPr>
              <w:t>97.45分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913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582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2FBF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E623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B06285"/>
        </w:tc>
      </w:tr>
    </w:tbl>
    <w:p w14:paraId="0502422B">
      <w:r>
        <w:br w:type="page"/>
      </w:r>
    </w:p>
    <w:p w14:paraId="4177015F">
      <w:pPr>
        <w:spacing w:line="640" w:lineRule="exact"/>
        <w:ind w:firstLine="640"/>
        <w:jc w:val="both"/>
        <w:outlineLvl w:val="2"/>
      </w:pPr>
      <w:r>
        <w:rPr>
          <w:rFonts w:ascii="黑体" w:hAnsi="黑体" w:eastAsia="黑体"/>
          <w:sz w:val="32"/>
        </w:rPr>
        <w:t>十二、其他需说明的事项</w:t>
      </w:r>
    </w:p>
    <w:p w14:paraId="4EDC569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1E7B6BD9">
      <w:r>
        <w:br w:type="page"/>
      </w:r>
    </w:p>
    <w:p w14:paraId="20632412">
      <w:pPr>
        <w:spacing w:line="240" w:lineRule="auto"/>
        <w:jc w:val="center"/>
        <w:outlineLvl w:val="1"/>
      </w:pPr>
      <w:r>
        <w:rPr>
          <w:rFonts w:ascii="黑体" w:hAnsi="黑体" w:eastAsia="黑体"/>
          <w:sz w:val="32"/>
        </w:rPr>
        <w:t>第三部分 专业名词解释</w:t>
      </w:r>
    </w:p>
    <w:p w14:paraId="472C6B7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202F08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046D63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7E98D8B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51FA3B9">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36B0667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7248057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D754C0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7746B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56BC4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BA8CD3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6D75ED81">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043F8FA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7E77EC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350A4004">
      <w:r>
        <w:br w:type="page"/>
      </w:r>
    </w:p>
    <w:p w14:paraId="4D8DAB21">
      <w:pPr>
        <w:spacing w:line="240" w:lineRule="auto"/>
        <w:jc w:val="center"/>
        <w:outlineLvl w:val="1"/>
      </w:pPr>
      <w:r>
        <w:rPr>
          <w:rFonts w:ascii="黑体" w:hAnsi="黑体" w:eastAsia="黑体"/>
          <w:sz w:val="32"/>
        </w:rPr>
        <w:t>第四部分 部门决算报表（见附表）</w:t>
      </w:r>
    </w:p>
    <w:p w14:paraId="791B6FA1">
      <w:pPr>
        <w:spacing w:line="240" w:lineRule="auto"/>
        <w:ind w:firstLine="640"/>
        <w:jc w:val="both"/>
      </w:pPr>
      <w:r>
        <w:rPr>
          <w:rFonts w:ascii="仿宋_GB2312" w:hAnsi="仿宋_GB2312" w:eastAsia="仿宋_GB2312"/>
          <w:b w:val="0"/>
          <w:sz w:val="32"/>
        </w:rPr>
        <w:t>一、《收入支出决算总表》</w:t>
      </w:r>
    </w:p>
    <w:p w14:paraId="485BF3EA">
      <w:pPr>
        <w:spacing w:line="240" w:lineRule="auto"/>
        <w:ind w:firstLine="640"/>
        <w:jc w:val="both"/>
      </w:pPr>
      <w:r>
        <w:rPr>
          <w:rFonts w:ascii="仿宋_GB2312" w:hAnsi="仿宋_GB2312" w:eastAsia="仿宋_GB2312"/>
          <w:b w:val="0"/>
          <w:sz w:val="32"/>
        </w:rPr>
        <w:t>二、《收入决算表》</w:t>
      </w:r>
    </w:p>
    <w:p w14:paraId="14977CDB">
      <w:pPr>
        <w:spacing w:line="240" w:lineRule="auto"/>
        <w:ind w:firstLine="640"/>
        <w:jc w:val="both"/>
      </w:pPr>
      <w:r>
        <w:rPr>
          <w:rFonts w:ascii="仿宋_GB2312" w:hAnsi="仿宋_GB2312" w:eastAsia="仿宋_GB2312"/>
          <w:b w:val="0"/>
          <w:sz w:val="32"/>
        </w:rPr>
        <w:t>三、《支出决算表》</w:t>
      </w:r>
    </w:p>
    <w:p w14:paraId="1A345E50">
      <w:pPr>
        <w:spacing w:line="240" w:lineRule="auto"/>
        <w:ind w:firstLine="640"/>
        <w:jc w:val="both"/>
      </w:pPr>
      <w:r>
        <w:rPr>
          <w:rFonts w:ascii="仿宋_GB2312" w:hAnsi="仿宋_GB2312" w:eastAsia="仿宋_GB2312"/>
          <w:b w:val="0"/>
          <w:sz w:val="32"/>
        </w:rPr>
        <w:t>四、《财政拨款收入支出决算总表》</w:t>
      </w:r>
    </w:p>
    <w:p w14:paraId="285DC675">
      <w:pPr>
        <w:spacing w:line="240" w:lineRule="auto"/>
        <w:ind w:firstLine="640"/>
        <w:jc w:val="both"/>
      </w:pPr>
      <w:r>
        <w:rPr>
          <w:rFonts w:ascii="仿宋_GB2312" w:hAnsi="仿宋_GB2312" w:eastAsia="仿宋_GB2312"/>
          <w:b w:val="0"/>
          <w:sz w:val="32"/>
        </w:rPr>
        <w:t>五、《一般公共预算财政拨款支出决算表》</w:t>
      </w:r>
    </w:p>
    <w:p w14:paraId="4AC3034E">
      <w:pPr>
        <w:spacing w:line="240" w:lineRule="auto"/>
        <w:ind w:firstLine="640"/>
        <w:jc w:val="both"/>
      </w:pPr>
      <w:r>
        <w:rPr>
          <w:rFonts w:ascii="仿宋_GB2312" w:hAnsi="仿宋_GB2312" w:eastAsia="仿宋_GB2312"/>
          <w:b w:val="0"/>
          <w:sz w:val="32"/>
        </w:rPr>
        <w:t>六、《一般公共预算财政拨款基本支出决算表》</w:t>
      </w:r>
    </w:p>
    <w:p w14:paraId="45FA676D">
      <w:pPr>
        <w:spacing w:line="240" w:lineRule="auto"/>
        <w:ind w:firstLine="640"/>
        <w:jc w:val="both"/>
      </w:pPr>
      <w:r>
        <w:rPr>
          <w:rFonts w:ascii="仿宋_GB2312" w:hAnsi="仿宋_GB2312" w:eastAsia="仿宋_GB2312"/>
          <w:b w:val="0"/>
          <w:sz w:val="32"/>
        </w:rPr>
        <w:t>七、《政府性基金预算财政拨款收入支出决算表》</w:t>
      </w:r>
    </w:p>
    <w:p w14:paraId="01929E36">
      <w:pPr>
        <w:spacing w:line="240" w:lineRule="auto"/>
        <w:ind w:firstLine="640"/>
        <w:jc w:val="both"/>
      </w:pPr>
      <w:r>
        <w:rPr>
          <w:rFonts w:ascii="仿宋_GB2312" w:hAnsi="仿宋_GB2312" w:eastAsia="仿宋_GB2312"/>
          <w:b w:val="0"/>
          <w:sz w:val="32"/>
        </w:rPr>
        <w:t>八、《国有资本经营预算财政拨款收入支出决算表》</w:t>
      </w:r>
    </w:p>
    <w:p w14:paraId="1F7D4CEE">
      <w:pPr>
        <w:spacing w:line="240" w:lineRule="auto"/>
        <w:ind w:firstLine="640"/>
        <w:jc w:val="both"/>
      </w:pPr>
      <w:r>
        <w:rPr>
          <w:rFonts w:ascii="仿宋_GB2312" w:hAnsi="仿宋_GB2312" w:eastAsia="仿宋_GB2312"/>
          <w:b w:val="0"/>
          <w:sz w:val="32"/>
        </w:rPr>
        <w:t>九、《财政拨款“三公”经费支出决算表》</w:t>
      </w:r>
    </w:p>
    <w:p w14:paraId="4E62E8F5">
      <w:pPr>
        <w:spacing w:line="240" w:lineRule="auto"/>
        <w:ind w:firstLine="640"/>
        <w:jc w:val="both"/>
      </w:pPr>
    </w:p>
    <w:p w14:paraId="48FA927F">
      <w:pPr>
        <w:spacing w:line="240" w:lineRule="auto"/>
        <w:ind w:firstLine="640"/>
        <w:jc w:val="both"/>
      </w:pPr>
    </w:p>
    <w:p w14:paraId="5559093B">
      <w:pPr>
        <w:spacing w:line="240" w:lineRule="auto"/>
        <w:ind w:firstLine="640"/>
        <w:jc w:val="both"/>
      </w:pPr>
    </w:p>
    <w:p w14:paraId="0933C239">
      <w:pPr>
        <w:spacing w:line="240" w:lineRule="auto"/>
        <w:ind w:firstLine="640"/>
        <w:jc w:val="both"/>
      </w:pPr>
    </w:p>
    <w:p w14:paraId="4A5506A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8C0661C-E08D-453F-9FC2-85F3457563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FAC46CD-0BDE-40A0-9498-B8A3BA8904FE}"/>
  </w:font>
  <w:font w:name="仿宋_GB2312">
    <w:panose1 w:val="02010609030101010101"/>
    <w:charset w:val="86"/>
    <w:family w:val="modern"/>
    <w:pitch w:val="default"/>
    <w:sig w:usb0="00000001" w:usb1="080E0000" w:usb2="00000000" w:usb3="00000000" w:csb0="00040000" w:csb1="00000000"/>
    <w:embedRegular r:id="rId3" w:fontKey="{9AC791C2-9FE9-4F36-A115-53CC21B8D6F2}"/>
  </w:font>
  <w:font w:name="楷体_GB2312">
    <w:panose1 w:val="02010609030101010101"/>
    <w:charset w:val="86"/>
    <w:family w:val="auto"/>
    <w:pitch w:val="default"/>
    <w:sig w:usb0="00000001" w:usb1="080E0000" w:usb2="00000000" w:usb3="00000000" w:csb0="00040000" w:csb1="00000000"/>
    <w:embedRegular r:id="rId4" w:fontKey="{E67066EE-1676-41FD-9C82-B5392D70420A}"/>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A66E63"/>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9D4F4F"/>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C1F025F"/>
    <w:rsid w:val="5FA17648"/>
    <w:rsid w:val="5FD320BD"/>
    <w:rsid w:val="60DE4D57"/>
    <w:rsid w:val="613409CB"/>
    <w:rsid w:val="61A46A97"/>
    <w:rsid w:val="62CC043C"/>
    <w:rsid w:val="62DD7D21"/>
    <w:rsid w:val="65D97752"/>
    <w:rsid w:val="664C500C"/>
    <w:rsid w:val="67D111AB"/>
    <w:rsid w:val="68DB0208"/>
    <w:rsid w:val="68DF36D5"/>
    <w:rsid w:val="69846A0E"/>
    <w:rsid w:val="69AD798C"/>
    <w:rsid w:val="6B68175F"/>
    <w:rsid w:val="6B8B5C99"/>
    <w:rsid w:val="6CA7198F"/>
    <w:rsid w:val="6D8919A8"/>
    <w:rsid w:val="6DBB3B60"/>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5d21cef3-782a-427c-9f06-a1b1ecd83ada</errorID>
      <errorWord>债</errorWord>
      <group>L1_Sensitive</group>
      <groupName>敏感问题</groupName>
      <ability>L2_UserSensitive</ability>
      <abilityName>自定义敏感词</abilityName>
      <candidateList/>
      <explain>来自自定义敏感词库。</explain>
      <paraID>53AE4135</paraID>
      <start>21</start>
      <end>22</end>
      <status>unmodified</status>
      <modifiedWord/>
      <trackRevisions>false</trackRevisions>
    </reviewItem>
    <reviewItem>
      <errorID>05746904-4594-4474-a891-02045bf30f0d</errorID>
      <errorWord>债</errorWord>
      <group>L1_Sensitive</group>
      <groupName>敏感问题</groupName>
      <ability>L2_UserSensitive</ability>
      <abilityName>自定义敏感词</abilityName>
      <candidateList/>
      <explain>来自自定义敏感词库。</explain>
      <paraID>53AE4135</paraID>
      <start>47</start>
      <end>48</end>
      <status>unmodified</status>
      <modifiedWord/>
      <trackRevisions>false</trackRevisions>
    </reviewItem>
    <reviewItem>
      <errorID>63c262b1-0a1e-4e65-bc4e-6ebe4590673c</errorID>
      <errorWord>2月31日</errorWord>
      <group>L1_Sensitive</group>
      <groupName>敏感问题</groupName>
      <ability>L2_UserSensitive</ability>
      <abilityName>自定义敏感词</abilityName>
      <candidateList/>
      <explain>来自自定义敏感词库。</explain>
      <paraID>7204B2B7</paraID>
      <start>8</start>
      <end>13</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d9b7c9-a3c3-493b-8fb4-a4f6311e4a3b}">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5172</Words>
  <Characters>5992</Characters>
  <Lines>0</Lines>
  <Paragraphs>0</Paragraphs>
  <TotalTime>55</TotalTime>
  <ScaleCrop>false</ScaleCrop>
  <LinksUpToDate>false</LinksUpToDate>
  <CharactersWithSpaces>6000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2025-08-28T10:09:56Z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