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特克斯县发展和改革委员会2024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BD35894">
      <w:r>
        <w:br w:type="page"/>
      </w:r>
    </w:p>
    <w:p w14:paraId="1FB63DF8">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00993BC1">
      <w:pPr>
        <w:spacing w:line="640" w:lineRule="exact"/>
        <w:ind w:firstLine="640"/>
        <w:jc w:val="both"/>
        <w:outlineLvl w:val="2"/>
      </w:pPr>
      <w:r>
        <w:rPr>
          <w:rFonts w:ascii="黑体" w:hAnsi="黑体" w:eastAsia="黑体"/>
          <w:sz w:val="32"/>
        </w:rPr>
        <w:t>一、主要职能</w:t>
      </w:r>
    </w:p>
    <w:p w14:paraId="5D46C2B9">
      <w:pPr>
        <w:spacing w:line="580" w:lineRule="exact"/>
        <w:ind w:firstLine="640"/>
        <w:jc w:val="both"/>
      </w:pPr>
      <w:r>
        <w:rPr>
          <w:rFonts w:ascii="仿宋_GB2312" w:hAnsi="仿宋_GB2312" w:eastAsia="仿宋_GB2312"/>
          <w:sz w:val="32"/>
        </w:rPr>
        <w:t>（一）研究提出全县国民经济和社会发展战略、中长期规划和年度发展计划；贯彻执行国家、自治区和自治州国民经济和社会发展方针、政策；研究提出总量平衡、发展速度和结构调整的调控目标及调控政策；研究提出和组织实施重点专项规划，衔接和平衡县直各部门主要行业规划；受县人民政府委托向县人大提交国民经济和社会发展计划的报告。</w:t>
      </w:r>
    </w:p>
    <w:p w14:paraId="720BA564">
      <w:pPr>
        <w:spacing w:line="580" w:lineRule="exact"/>
        <w:ind w:firstLine="640"/>
        <w:jc w:val="both"/>
      </w:pPr>
      <w:r>
        <w:rPr>
          <w:rFonts w:ascii="仿宋_GB2312" w:hAnsi="仿宋_GB2312" w:eastAsia="仿宋_GB2312"/>
          <w:sz w:val="32"/>
        </w:rPr>
        <w:t>（二）负责监测全县宏观</w:t>
      </w:r>
      <w:r>
        <w:rPr>
          <w:rFonts w:hint="eastAsia" w:ascii="仿宋_GB2312" w:hAnsi="仿宋_GB2312" w:eastAsia="仿宋_GB2312"/>
          <w:sz w:val="32"/>
          <w:lang w:eastAsia="zh-CN"/>
        </w:rPr>
        <w:t>经济</w:t>
      </w:r>
      <w:r>
        <w:rPr>
          <w:rFonts w:ascii="仿宋_GB2312" w:hAnsi="仿宋_GB2312" w:eastAsia="仿宋_GB2312"/>
          <w:sz w:val="32"/>
        </w:rPr>
        <w:t>和社会发展态势，承担预测、预警和信息引导的责任，提出促进全县经济高质量发展的政策建议；研究涉及全县经济安全及总体产业安全等重要问题，提出政策措施和建议。</w:t>
      </w:r>
    </w:p>
    <w:p w14:paraId="1414AE3E">
      <w:pPr>
        <w:spacing w:line="580" w:lineRule="exact"/>
        <w:ind w:firstLine="640"/>
        <w:jc w:val="both"/>
      </w:pPr>
      <w:r>
        <w:rPr>
          <w:rFonts w:ascii="仿宋_GB2312" w:hAnsi="仿宋_GB2312" w:eastAsia="仿宋_GB2312"/>
          <w:sz w:val="32"/>
        </w:rPr>
        <w:t>（三）负责汇总分析全县财政、金融、产业、价格政策等方面的情况和执行效果，提出政策建议；执</w:t>
      </w:r>
      <w:r>
        <w:rPr>
          <w:rFonts w:hint="eastAsia" w:ascii="仿宋_GB2312" w:hAnsi="仿宋_GB2312" w:eastAsia="仿宋_GB2312"/>
          <w:sz w:val="32"/>
          <w:lang w:eastAsia="zh-CN"/>
        </w:rPr>
        <w:t>行和</w:t>
      </w:r>
      <w:r>
        <w:rPr>
          <w:rFonts w:ascii="仿宋_GB2312" w:hAnsi="仿宋_GB2312" w:eastAsia="仿宋_GB2312"/>
          <w:sz w:val="32"/>
        </w:rPr>
        <w:t>组织实施价格政策；制定和调整政府管理的重要商品价格、服务价格和收费项目、标准，发布重大价格信息，规范市场价格行为等。</w:t>
      </w:r>
    </w:p>
    <w:p w14:paraId="228DF150">
      <w:pPr>
        <w:spacing w:line="580" w:lineRule="exact"/>
        <w:ind w:firstLine="640"/>
        <w:jc w:val="both"/>
      </w:pPr>
      <w:r>
        <w:rPr>
          <w:rFonts w:ascii="仿宋_GB2312" w:hAnsi="仿宋_GB2312" w:eastAsia="仿宋_GB2312"/>
          <w:sz w:val="32"/>
        </w:rPr>
        <w:t>（四）承担经济体制改革责任，研究全县经济体制改革和对外开放的重大问题，组织拟订全县综合性经济体制改革方案，协调有关专项经济体制改革方案，指导经济体制改革试点工作；组织实施区域经济协调发展规划和政策；负责全县对口援疆有关综合协调工作；负责县推进实施“一带一路”建设的日常组织协调工作；推进西部大开发战略和重大政策的实施；推进全县城镇化建设。</w:t>
      </w:r>
    </w:p>
    <w:p w14:paraId="30134A0F">
      <w:pPr>
        <w:spacing w:line="580" w:lineRule="exact"/>
        <w:ind w:firstLine="640"/>
        <w:jc w:val="both"/>
      </w:pPr>
      <w:r>
        <w:rPr>
          <w:rFonts w:ascii="仿宋_GB2312" w:hAnsi="仿宋_GB2312" w:eastAsia="仿宋_GB2312"/>
          <w:sz w:val="32"/>
        </w:rPr>
        <w:t>（五）研究提出全县全社会固定资产投资总规模和投资结构的目标政策及措施，规划重大项目和生产力布局；编制全县固定资产投资计划、重点项目建设计划和前期项目计划；负责全县重点项目的管理和组织协调；安排县财政预算内建设资金，引导社会投资方向；按照管理权限，负责审核上报、审批、核准、备案固定资产投资项目，审查、审批权限内项目初步设计和招标方案；组织实施全县固定资产投资项目节能评估审查工作；指导和协调全县招投标工作；会同有关部门拟定全县招投标配套法规、综合性政策；负责全县重点项目招投标活动有关监督管理工作。</w:t>
      </w:r>
    </w:p>
    <w:p w14:paraId="40783F0A">
      <w:pPr>
        <w:spacing w:line="580" w:lineRule="exact"/>
        <w:ind w:firstLine="640"/>
        <w:jc w:val="both"/>
      </w:pPr>
      <w:r>
        <w:rPr>
          <w:rFonts w:ascii="仿宋_GB2312" w:hAnsi="仿宋_GB2312" w:eastAsia="仿宋_GB2312"/>
          <w:sz w:val="32"/>
        </w:rPr>
        <w:t>（六）推进产业结构战略性调整和升级；负责协调第一、二、三产业发展的重大问题，做好与国民经济和社会发展规划计划的衔接平衡，提出国民经济重要产业的发展战略和规划，组织审核上报、审批专项规划；研究并协调农业和农村经济社会发展的有关重大问题，协调衔接农村专项规划和政策；拟订并实施以工代赈规划和计划；研究提出能源发展战略规划；组织研究提出高技术产业发展、产业技术进步的战略和规划，推动高技术产业化发展；规划、指导服务业的建设与发展。</w:t>
      </w:r>
    </w:p>
    <w:p w14:paraId="63D3F799">
      <w:pPr>
        <w:spacing w:line="580" w:lineRule="exact"/>
        <w:ind w:firstLine="640"/>
        <w:jc w:val="both"/>
      </w:pPr>
      <w:r>
        <w:rPr>
          <w:rFonts w:ascii="仿宋_GB2312" w:hAnsi="仿宋_GB2312" w:eastAsia="仿宋_GB2312"/>
          <w:sz w:val="32"/>
        </w:rPr>
        <w:t>（七）研究提出利用外资和境外投资的战略、总量平衡和结构优化的目标、政策；监测国外资金利用和境外投资情况及全县外债结构优化状况；按照管理权限，负责审核上报国外贷款项目、外商直接投资项目和境外投资项目；会同有关部门协调和审查利用重大内外资项目；会同有关部门做好招商引资工作。</w:t>
      </w:r>
    </w:p>
    <w:p w14:paraId="259845D8">
      <w:pPr>
        <w:spacing w:line="580" w:lineRule="exact"/>
        <w:ind w:firstLine="640"/>
        <w:jc w:val="both"/>
      </w:pPr>
      <w:r>
        <w:rPr>
          <w:rFonts w:ascii="仿宋_GB2312" w:hAnsi="仿宋_GB2312" w:eastAsia="仿宋_GB2312"/>
          <w:sz w:val="32"/>
        </w:rPr>
        <w:t>（八）承担重要商品总量平衡和宏观调控的责任，研究分析国内外市场的供求状况，编制全县重要农产品、工业品和原材料进出口总量计划并监督执行。</w:t>
      </w:r>
    </w:p>
    <w:p w14:paraId="08CE9398">
      <w:pPr>
        <w:spacing w:line="580" w:lineRule="exact"/>
        <w:ind w:firstLine="640"/>
        <w:jc w:val="both"/>
      </w:pPr>
      <w:r>
        <w:rPr>
          <w:rFonts w:ascii="仿宋_GB2312" w:hAnsi="仿宋_GB2312" w:eastAsia="仿宋_GB2312"/>
          <w:sz w:val="32"/>
        </w:rPr>
        <w:t>（九）负责全县社会发展与国民经济发展的政策衔接，组织拟订社会发展战略、总体规划和年度计划；参与拟订人口和</w:t>
      </w:r>
      <w:r>
        <w:rPr>
          <w:rFonts w:hint="eastAsia" w:ascii="仿宋_GB2312" w:hAnsi="仿宋_GB2312" w:eastAsia="仿宋_GB2312"/>
          <w:sz w:val="32"/>
          <w:lang w:eastAsia="zh-CN"/>
        </w:rPr>
        <w:t>JHSY</w:t>
      </w:r>
      <w:r>
        <w:rPr>
          <w:rFonts w:ascii="仿宋_GB2312" w:hAnsi="仿宋_GB2312" w:eastAsia="仿宋_GB2312"/>
          <w:sz w:val="32"/>
        </w:rPr>
        <w:t>、科学技术、教育、文化、卫生、民政等发展政策，协调全县社会事业发展的重大问题；研究提出促进就业、消费、调整收入分配、完善社会保障与经济协调发展的政策。</w:t>
      </w:r>
    </w:p>
    <w:p w14:paraId="0A0FB032">
      <w:pPr>
        <w:spacing w:line="580" w:lineRule="exact"/>
        <w:ind w:firstLine="640"/>
        <w:jc w:val="both"/>
      </w:pPr>
      <w:r>
        <w:rPr>
          <w:rFonts w:ascii="仿宋_GB2312" w:hAnsi="仿宋_GB2312" w:eastAsia="仿宋_GB2312"/>
          <w:sz w:val="32"/>
        </w:rPr>
        <w:t>（十）推进可持续发展战略，负责全县社会节能综合协调工作，组织拟订发展循环经济、全社会能源资源节约和综合利用规划及政策措施并协调实施；会同有关部门提出全县生态建设、环境保护规划、资源节约综合利用规划和政策，协调生态建设、环保产业和资源节约综合利用的重大问题；综合协调环保产业和清洁生产促进有关工作。</w:t>
      </w:r>
    </w:p>
    <w:p w14:paraId="2B799C9E">
      <w:pPr>
        <w:spacing w:line="580" w:lineRule="exact"/>
        <w:ind w:firstLine="640"/>
        <w:jc w:val="both"/>
      </w:pPr>
      <w:r>
        <w:rPr>
          <w:rFonts w:ascii="仿宋_GB2312" w:hAnsi="仿宋_GB2312" w:eastAsia="仿宋_GB2312"/>
          <w:sz w:val="32"/>
        </w:rPr>
        <w:t>（十一）贯彻落实国家、自治区、自治州粮食和物资储备的方针政策和法律法规，拟订粮食流通、地方储备粮油和物资储备管理的法规、规章草案和有关政策；研究提出地方储备粮油和物资储备规划、储备品种目录的建议，负责编制粮油、食糖、食盐等重要商品储备、轮换和投放计划；组织实施地方储备粮油、食糖、食盐等物资的储备、轮换和日常管理；承担中央级生活类救灾物资储备管理及自治区、自治州及县政府救灾物资采购和储备管理工作，落实有关动用计划和指令；负责全县地方储备粮油行政管理工作，指导和协调地方储备粮油管理，研究提出地方储备粮油总体布局和收购、销售、轮换计划建议。承担粮食监测预警和应急责任，承担粮食安全县长责任制考核的日常工作；承担粮食和物资储备系统军民融合工作。</w:t>
      </w:r>
    </w:p>
    <w:p w14:paraId="17DEFEA2">
      <w:pPr>
        <w:spacing w:line="580" w:lineRule="exact"/>
        <w:ind w:firstLine="640"/>
        <w:jc w:val="both"/>
      </w:pPr>
      <w:r>
        <w:rPr>
          <w:rFonts w:ascii="仿宋_GB2312" w:hAnsi="仿宋_GB2312" w:eastAsia="仿宋_GB2312"/>
          <w:sz w:val="32"/>
        </w:rPr>
        <w:t>（十二）组织实施国家粮食和物资储备仓储管理有关技术标准和规范，指导粮食流通和物资储备承储</w:t>
      </w:r>
      <w:r>
        <w:rPr>
          <w:rFonts w:hint="eastAsia" w:ascii="仿宋_GB2312" w:hAnsi="仿宋_GB2312" w:eastAsia="仿宋_GB2312"/>
          <w:sz w:val="32"/>
          <w:lang w:eastAsia="zh-CN"/>
        </w:rPr>
        <w:t>单位</w:t>
      </w:r>
      <w:r>
        <w:rPr>
          <w:rFonts w:ascii="仿宋_GB2312" w:hAnsi="仿宋_GB2312" w:eastAsia="仿宋_GB2312"/>
          <w:sz w:val="32"/>
        </w:rPr>
        <w:t>安全生产工作；拟订储备基础设施、粮食流通设施规划并组织实施，管理有关储备基础设施和粮食流通设施国家和自治区、自治州投资项目；负责对管理的政府储备、企业储备以及在储备政策落实情况和粮食流通进行监督检查，负责粮食收购、储存、运输环节质量安全和原粮卫生的监督检查，组织实施粮食库存检查工作；负责粮食流通行政管理、行业指导，起草粮食行业发展规划，组织实施国家、自治区、自治州粮食流通和物资储备有关标准、粮食质量标准和技术规范，监督执行粮食流通和物资储备有关地方标准和技术规范；承担粮食流通的对外合作与交流。</w:t>
      </w:r>
    </w:p>
    <w:p w14:paraId="5CA26278">
      <w:pPr>
        <w:spacing w:line="580" w:lineRule="exact"/>
        <w:ind w:firstLine="640"/>
        <w:jc w:val="both"/>
      </w:pPr>
      <w:r>
        <w:rPr>
          <w:rFonts w:ascii="仿宋_GB2312" w:hAnsi="仿宋_GB2312" w:eastAsia="仿宋_GB2312"/>
          <w:sz w:val="32"/>
        </w:rPr>
        <w:t>（十三）起草全县国民经济和社会发展以及经济体制改革、对外开放的有关地方性法规和规章。</w:t>
      </w:r>
    </w:p>
    <w:p w14:paraId="216C76DB">
      <w:pPr>
        <w:spacing w:line="640" w:lineRule="exact"/>
        <w:ind w:firstLine="640"/>
        <w:jc w:val="both"/>
        <w:outlineLvl w:val="2"/>
      </w:pPr>
      <w:r>
        <w:rPr>
          <w:rFonts w:ascii="黑体" w:hAnsi="黑体" w:eastAsia="黑体"/>
          <w:sz w:val="32"/>
        </w:rPr>
        <w:t>二、机构设置及人员情况</w:t>
      </w:r>
    </w:p>
    <w:p w14:paraId="2AD2FB5C">
      <w:pPr>
        <w:spacing w:line="580" w:lineRule="exact"/>
        <w:ind w:firstLine="640"/>
        <w:jc w:val="both"/>
      </w:pPr>
      <w:r>
        <w:rPr>
          <w:rFonts w:ascii="仿宋_GB2312" w:hAnsi="仿宋_GB2312" w:eastAsia="仿宋_GB2312"/>
          <w:sz w:val="32"/>
        </w:rPr>
        <w:t>特克斯县发展和改革委员会2024年度，实有人数65人，其中：在职人员26人，减少1人；离休人员0人，增加0人；退休人员39人,增加0人。</w:t>
      </w:r>
    </w:p>
    <w:p w14:paraId="4B880BCB">
      <w:pPr>
        <w:spacing w:line="580" w:lineRule="exact"/>
        <w:ind w:firstLine="640"/>
        <w:jc w:val="both"/>
      </w:pPr>
      <w:r>
        <w:rPr>
          <w:rFonts w:ascii="仿宋_GB2312" w:hAnsi="仿宋_GB2312" w:eastAsia="仿宋_GB2312"/>
          <w:sz w:val="32"/>
        </w:rPr>
        <w:t>特克斯县发展和改革委员会无下属预算</w:t>
      </w:r>
      <w:r>
        <w:rPr>
          <w:rFonts w:hint="eastAsia" w:ascii="仿宋_GB2312" w:hAnsi="仿宋_GB2312" w:eastAsia="仿宋_GB2312"/>
          <w:sz w:val="32"/>
          <w:lang w:eastAsia="zh-CN"/>
        </w:rPr>
        <w:t>单位</w:t>
      </w:r>
      <w:r>
        <w:rPr>
          <w:rFonts w:ascii="仿宋_GB2312" w:hAnsi="仿宋_GB2312" w:eastAsia="仿宋_GB2312"/>
          <w:sz w:val="32"/>
        </w:rPr>
        <w:t>，下设5个科室，分别是：价格认证中心、粮食执法科、综合科、项目管理办公室、国防动员办公室。</w:t>
      </w:r>
    </w:p>
    <w:p w14:paraId="5530BA66">
      <w:r>
        <w:br w:type="page"/>
      </w:r>
    </w:p>
    <w:p w14:paraId="2C13F68A">
      <w:pPr>
        <w:spacing w:line="240" w:lineRule="auto"/>
        <w:jc w:val="center"/>
        <w:outlineLvl w:val="1"/>
      </w:pPr>
      <w:r>
        <w:rPr>
          <w:rFonts w:ascii="黑体" w:hAnsi="黑体" w:eastAsia="黑体"/>
          <w:sz w:val="32"/>
        </w:rPr>
        <w:t>第二部分 部门决算情况说明</w:t>
      </w:r>
    </w:p>
    <w:p w14:paraId="7C0D91F5">
      <w:pPr>
        <w:spacing w:line="640" w:lineRule="exact"/>
        <w:ind w:firstLine="640"/>
        <w:jc w:val="both"/>
        <w:outlineLvl w:val="2"/>
      </w:pPr>
      <w:r>
        <w:rPr>
          <w:rFonts w:ascii="黑体" w:hAnsi="黑体" w:eastAsia="黑体"/>
          <w:sz w:val="32"/>
        </w:rPr>
        <w:t>一、收入支出决算总体情况说明</w:t>
      </w:r>
    </w:p>
    <w:p w14:paraId="2F75AEFA">
      <w:pPr>
        <w:spacing w:line="580" w:lineRule="exact"/>
        <w:ind w:firstLine="640"/>
        <w:jc w:val="both"/>
      </w:pPr>
      <w:r>
        <w:rPr>
          <w:rFonts w:ascii="仿宋_GB2312" w:hAnsi="仿宋_GB2312" w:eastAsia="仿宋_GB2312"/>
          <w:b/>
          <w:sz w:val="32"/>
        </w:rPr>
        <w:t>2024年度收入总计2,493.13万元，</w:t>
      </w:r>
      <w:r>
        <w:rPr>
          <w:rFonts w:ascii="仿宋_GB2312" w:hAnsi="仿宋_GB2312" w:eastAsia="仿宋_GB2312"/>
          <w:b w:val="0"/>
          <w:sz w:val="32"/>
        </w:rPr>
        <w:t>其中：本年收入合计2,493.13万元，使用非财政拨款结余（含专用结余）0.00万元，年初结转和结余0.00万元。</w:t>
      </w:r>
    </w:p>
    <w:p w14:paraId="33F15869">
      <w:pPr>
        <w:spacing w:line="580" w:lineRule="exact"/>
        <w:ind w:firstLine="640"/>
        <w:jc w:val="both"/>
      </w:pPr>
      <w:r>
        <w:rPr>
          <w:rFonts w:ascii="仿宋_GB2312" w:hAnsi="仿宋_GB2312" w:eastAsia="仿宋_GB2312"/>
          <w:b/>
          <w:sz w:val="32"/>
        </w:rPr>
        <w:t>2024年度支出总计2,493.13万元，</w:t>
      </w:r>
      <w:r>
        <w:rPr>
          <w:rFonts w:ascii="仿宋_GB2312" w:hAnsi="仿宋_GB2312" w:eastAsia="仿宋_GB2312"/>
          <w:b w:val="0"/>
          <w:sz w:val="32"/>
        </w:rPr>
        <w:t>其中：本年支出合计2,493.13万元，结余分配0.00万元，年末结转和结余0.00万元。</w:t>
      </w:r>
    </w:p>
    <w:p w14:paraId="634FA0FB">
      <w:pPr>
        <w:spacing w:line="580" w:lineRule="exact"/>
        <w:ind w:firstLine="640"/>
        <w:jc w:val="both"/>
      </w:pPr>
      <w:r>
        <w:rPr>
          <w:rFonts w:ascii="仿宋_GB2312" w:hAnsi="仿宋_GB2312" w:eastAsia="仿宋_GB2312"/>
          <w:b w:val="0"/>
          <w:sz w:val="32"/>
        </w:rPr>
        <w:t>收入支出总体与上年相比，减少142.87万元，下降5.42%，主要原因是：本年较上年减少2023年中央财政衔接推进乡村振兴补助资金。</w:t>
      </w:r>
    </w:p>
    <w:p w14:paraId="108FF6F4">
      <w:pPr>
        <w:spacing w:line="640" w:lineRule="exact"/>
        <w:ind w:firstLine="640"/>
        <w:jc w:val="both"/>
        <w:outlineLvl w:val="2"/>
      </w:pPr>
      <w:r>
        <w:rPr>
          <w:rFonts w:ascii="黑体" w:hAnsi="黑体" w:eastAsia="黑体"/>
          <w:sz w:val="32"/>
        </w:rPr>
        <w:t>二、收入决算情况说明</w:t>
      </w:r>
    </w:p>
    <w:p w14:paraId="4E620996">
      <w:pPr>
        <w:spacing w:line="580" w:lineRule="exact"/>
        <w:ind w:firstLine="640"/>
        <w:jc w:val="both"/>
      </w:pPr>
      <w:r>
        <w:rPr>
          <w:rFonts w:ascii="仿宋_GB2312" w:hAnsi="仿宋_GB2312" w:eastAsia="仿宋_GB2312"/>
          <w:b/>
          <w:sz w:val="32"/>
        </w:rPr>
        <w:t>本年收入2,493.13万元，</w:t>
      </w:r>
      <w:r>
        <w:rPr>
          <w:rFonts w:ascii="仿宋_GB2312" w:hAnsi="仿宋_GB2312" w:eastAsia="仿宋_GB2312"/>
          <w:b w:val="0"/>
          <w:sz w:val="32"/>
        </w:rPr>
        <w:t>其中：财政拨款收入2,278.55万元，占91.39%；上级补助收入0.00万元，占0.00%；事业收入0.00万元，占0.00%；经营收入0.00万元，占0.00%；附属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上缴收入0.00万元，占0.00%；其他收入214.59万元，占8.61%。</w:t>
      </w:r>
    </w:p>
    <w:p w14:paraId="76AE62CA">
      <w:pPr>
        <w:spacing w:line="640" w:lineRule="exact"/>
        <w:ind w:firstLine="640"/>
        <w:jc w:val="both"/>
        <w:outlineLvl w:val="2"/>
      </w:pPr>
      <w:r>
        <w:rPr>
          <w:rFonts w:ascii="黑体" w:hAnsi="黑体" w:eastAsia="黑体"/>
          <w:sz w:val="32"/>
        </w:rPr>
        <w:t>三、支出决算情况说明</w:t>
      </w:r>
    </w:p>
    <w:p w14:paraId="73C0DA79">
      <w:pPr>
        <w:spacing w:line="580" w:lineRule="exact"/>
        <w:ind w:firstLine="640"/>
        <w:jc w:val="both"/>
      </w:pPr>
      <w:r>
        <w:rPr>
          <w:rFonts w:ascii="仿宋_GB2312" w:hAnsi="仿宋_GB2312" w:eastAsia="仿宋_GB2312"/>
          <w:b/>
          <w:sz w:val="32"/>
        </w:rPr>
        <w:t>本年支出2,493.13万元，</w:t>
      </w:r>
      <w:r>
        <w:rPr>
          <w:rFonts w:ascii="仿宋_GB2312" w:hAnsi="仿宋_GB2312" w:eastAsia="仿宋_GB2312"/>
          <w:b w:val="0"/>
          <w:sz w:val="32"/>
        </w:rPr>
        <w:t>其中：基本支出479.35万元，占19.23%；项目支出2,013.78万元，占80.77%；上缴上级支出0.00万元，占0.00%；经营支出0.00万元，占0.00%；对附属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501E11F">
      <w:pPr>
        <w:spacing w:line="640" w:lineRule="exact"/>
        <w:ind w:firstLine="640"/>
        <w:jc w:val="both"/>
        <w:outlineLvl w:val="2"/>
      </w:pPr>
      <w:r>
        <w:rPr>
          <w:rFonts w:ascii="黑体" w:hAnsi="黑体" w:eastAsia="黑体"/>
          <w:sz w:val="32"/>
        </w:rPr>
        <w:t>四、财政拨款收入支出决算总体情况说明</w:t>
      </w:r>
    </w:p>
    <w:p w14:paraId="1B12E3DB">
      <w:pPr>
        <w:spacing w:line="580" w:lineRule="exact"/>
        <w:ind w:firstLine="640"/>
        <w:jc w:val="both"/>
      </w:pPr>
      <w:r>
        <w:rPr>
          <w:rFonts w:ascii="仿宋_GB2312" w:hAnsi="仿宋_GB2312" w:eastAsia="仿宋_GB2312"/>
          <w:b/>
          <w:sz w:val="32"/>
        </w:rPr>
        <w:t>2024年度财政拨款收入总计2,278.55万元，</w:t>
      </w:r>
      <w:r>
        <w:rPr>
          <w:rFonts w:ascii="仿宋_GB2312" w:hAnsi="仿宋_GB2312" w:eastAsia="仿宋_GB2312"/>
          <w:b w:val="0"/>
          <w:sz w:val="32"/>
        </w:rPr>
        <w:t>其中：年初财政拨款结转和结余0.00万元，本年财政拨款收入2,278.55万元。</w:t>
      </w:r>
      <w:r>
        <w:rPr>
          <w:rFonts w:ascii="仿宋_GB2312" w:hAnsi="仿宋_GB2312" w:eastAsia="仿宋_GB2312"/>
          <w:b/>
          <w:sz w:val="32"/>
        </w:rPr>
        <w:t>财政拨款支出总计2,278.55万元，</w:t>
      </w:r>
      <w:r>
        <w:rPr>
          <w:rFonts w:ascii="仿宋_GB2312" w:hAnsi="仿宋_GB2312" w:eastAsia="仿宋_GB2312"/>
          <w:b w:val="0"/>
          <w:sz w:val="32"/>
        </w:rPr>
        <w:t>其中：年末财政拨款结转和结余0.00万元，本年财政拨款支出2,278.55万元。</w:t>
      </w:r>
    </w:p>
    <w:p w14:paraId="5E5B4B8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减少357.45万元，下降13.56%，主要原因是：本年较上年减少2023年中央财政衔接推进乡村振兴补助资金。</w:t>
      </w:r>
      <w:r>
        <w:rPr>
          <w:rFonts w:ascii="仿宋_GB2312" w:hAnsi="仿宋_GB2312" w:eastAsia="仿宋_GB2312"/>
          <w:b/>
          <w:sz w:val="32"/>
        </w:rPr>
        <w:t>与年初预算相比，</w:t>
      </w:r>
      <w:r>
        <w:rPr>
          <w:rFonts w:ascii="仿宋_GB2312" w:hAnsi="仿宋_GB2312" w:eastAsia="仿宋_GB2312"/>
          <w:b w:val="0"/>
          <w:sz w:val="32"/>
        </w:rPr>
        <w:t>年初预算数3,296.88万元，决算数2,278.55万元，预决算差异率-30.89%，主要原因是：年中调减2024年智慧粮库运维费用项目资金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68B7DC55">
      <w:pPr>
        <w:spacing w:line="640" w:lineRule="exact"/>
        <w:ind w:firstLine="640"/>
        <w:jc w:val="both"/>
        <w:outlineLvl w:val="2"/>
      </w:pPr>
      <w:r>
        <w:rPr>
          <w:rFonts w:ascii="黑体" w:hAnsi="黑体" w:eastAsia="黑体"/>
          <w:sz w:val="32"/>
        </w:rPr>
        <w:t>五、一般公共预算财政拨款支出决算情况说明</w:t>
      </w:r>
    </w:p>
    <w:p w14:paraId="4D15A0EE">
      <w:pPr>
        <w:spacing w:line="640" w:lineRule="exact"/>
        <w:ind w:firstLine="640"/>
        <w:jc w:val="both"/>
        <w:outlineLvl w:val="3"/>
      </w:pPr>
      <w:r>
        <w:rPr>
          <w:rFonts w:ascii="楷体_GB2312" w:hAnsi="楷体_GB2312" w:eastAsia="楷体_GB2312"/>
          <w:b/>
          <w:sz w:val="32"/>
        </w:rPr>
        <w:t>（一）一般公共预算财政拨款支出决算总体情况</w:t>
      </w:r>
    </w:p>
    <w:p w14:paraId="5D15E8A0">
      <w:pPr>
        <w:spacing w:line="580" w:lineRule="exact"/>
        <w:ind w:firstLine="640"/>
        <w:jc w:val="both"/>
      </w:pPr>
      <w:r>
        <w:rPr>
          <w:rFonts w:ascii="仿宋_GB2312" w:hAnsi="仿宋_GB2312" w:eastAsia="仿宋_GB2312"/>
          <w:b/>
          <w:sz w:val="32"/>
        </w:rPr>
        <w:t>2024年度一般公共预算财政拨款支出2,278.55万元，</w:t>
      </w:r>
      <w:r>
        <w:rPr>
          <w:rFonts w:ascii="仿宋_GB2312" w:hAnsi="仿宋_GB2312" w:eastAsia="仿宋_GB2312"/>
          <w:b w:val="0"/>
          <w:sz w:val="32"/>
        </w:rPr>
        <w:t>占本年支出合计的91.39%。</w:t>
      </w:r>
      <w:r>
        <w:rPr>
          <w:rFonts w:ascii="仿宋_GB2312" w:hAnsi="仿宋_GB2312" w:eastAsia="仿宋_GB2312"/>
          <w:b/>
          <w:sz w:val="32"/>
        </w:rPr>
        <w:t>与上年相比，</w:t>
      </w:r>
      <w:r>
        <w:rPr>
          <w:rFonts w:ascii="仿宋_GB2312" w:hAnsi="仿宋_GB2312" w:eastAsia="仿宋_GB2312"/>
          <w:b w:val="0"/>
          <w:sz w:val="32"/>
        </w:rPr>
        <w:t>减少357.45万元，下降13.56%，主要原因是：本年较上年减少2023年中央财政衔接推进乡村振兴补助资金。</w:t>
      </w:r>
      <w:r>
        <w:rPr>
          <w:rFonts w:ascii="仿宋_GB2312" w:hAnsi="仿宋_GB2312" w:eastAsia="仿宋_GB2312"/>
          <w:b/>
          <w:sz w:val="32"/>
        </w:rPr>
        <w:t>与年初预算相比,</w:t>
      </w:r>
      <w:r>
        <w:rPr>
          <w:rFonts w:ascii="仿宋_GB2312" w:hAnsi="仿宋_GB2312" w:eastAsia="仿宋_GB2312"/>
          <w:b w:val="0"/>
          <w:sz w:val="32"/>
        </w:rPr>
        <w:t>年初预算数3,296.88万元，决算数2,278.55万元，预决算差异率-30.89%，主要原因是：年中调减2024年智慧粮库运维费用项目资金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325C54FC">
      <w:pPr>
        <w:spacing w:line="640" w:lineRule="exact"/>
        <w:ind w:firstLine="640"/>
        <w:jc w:val="both"/>
        <w:outlineLvl w:val="3"/>
      </w:pPr>
      <w:r>
        <w:rPr>
          <w:rFonts w:ascii="楷体_GB2312" w:hAnsi="楷体_GB2312" w:eastAsia="楷体_GB2312"/>
          <w:b/>
          <w:sz w:val="32"/>
        </w:rPr>
        <w:t>（二）一般公共预算财政拨款支出决算结构情况</w:t>
      </w:r>
    </w:p>
    <w:p w14:paraId="61DB6474">
      <w:pPr>
        <w:spacing w:line="580" w:lineRule="exact"/>
        <w:ind w:firstLine="640"/>
        <w:jc w:val="both"/>
      </w:pPr>
      <w:r>
        <w:rPr>
          <w:rFonts w:ascii="仿宋_GB2312" w:hAnsi="仿宋_GB2312" w:eastAsia="仿宋_GB2312"/>
          <w:b w:val="0"/>
          <w:sz w:val="32"/>
        </w:rPr>
        <w:t>1.一般公共服务支出(类)363.45万元,占15.95%。</w:t>
      </w:r>
    </w:p>
    <w:p w14:paraId="61639817">
      <w:pPr>
        <w:spacing w:line="580" w:lineRule="exact"/>
        <w:ind w:firstLine="640"/>
        <w:jc w:val="both"/>
      </w:pPr>
      <w:r>
        <w:rPr>
          <w:rFonts w:ascii="仿宋_GB2312" w:hAnsi="仿宋_GB2312" w:eastAsia="仿宋_GB2312"/>
          <w:b w:val="0"/>
          <w:sz w:val="32"/>
        </w:rPr>
        <w:t>2.社会保障和就业支出(类)69.17万元,占3.04%。</w:t>
      </w:r>
    </w:p>
    <w:p w14:paraId="1850E8DD">
      <w:pPr>
        <w:spacing w:line="580" w:lineRule="exact"/>
        <w:ind w:firstLine="640"/>
        <w:jc w:val="both"/>
      </w:pPr>
      <w:r>
        <w:rPr>
          <w:rFonts w:ascii="仿宋_GB2312" w:hAnsi="仿宋_GB2312" w:eastAsia="仿宋_GB2312"/>
          <w:b w:val="0"/>
          <w:sz w:val="32"/>
        </w:rPr>
        <w:t>3.卫生健康支出(类)17.52万元,占0.77%。</w:t>
      </w:r>
    </w:p>
    <w:p w14:paraId="147DD404">
      <w:pPr>
        <w:spacing w:line="580" w:lineRule="exact"/>
        <w:ind w:firstLine="640"/>
        <w:jc w:val="both"/>
      </w:pPr>
      <w:r>
        <w:rPr>
          <w:rFonts w:ascii="仿宋_GB2312" w:hAnsi="仿宋_GB2312" w:eastAsia="仿宋_GB2312"/>
          <w:b w:val="0"/>
          <w:sz w:val="32"/>
        </w:rPr>
        <w:t>4.农林水支出(类)1,471.70万元,占64.59%。</w:t>
      </w:r>
    </w:p>
    <w:p w14:paraId="46505F65">
      <w:pPr>
        <w:spacing w:line="580" w:lineRule="exact"/>
        <w:ind w:firstLine="640"/>
        <w:jc w:val="both"/>
      </w:pPr>
      <w:r>
        <w:rPr>
          <w:rFonts w:ascii="仿宋_GB2312" w:hAnsi="仿宋_GB2312" w:eastAsia="仿宋_GB2312"/>
          <w:b w:val="0"/>
          <w:sz w:val="32"/>
        </w:rPr>
        <w:t>5.交通运输支出(类)55.76万元,占2.45%。</w:t>
      </w:r>
    </w:p>
    <w:p w14:paraId="4FDC85AA">
      <w:pPr>
        <w:spacing w:line="580" w:lineRule="exact"/>
        <w:ind w:firstLine="640"/>
        <w:jc w:val="both"/>
      </w:pPr>
      <w:r>
        <w:rPr>
          <w:rFonts w:ascii="仿宋_GB2312" w:hAnsi="仿宋_GB2312" w:eastAsia="仿宋_GB2312"/>
          <w:b w:val="0"/>
          <w:sz w:val="32"/>
        </w:rPr>
        <w:t>6.住房保障支出(类)32.61万元,占1.43%。</w:t>
      </w:r>
    </w:p>
    <w:p w14:paraId="0BA3010F">
      <w:pPr>
        <w:spacing w:line="580" w:lineRule="exact"/>
        <w:ind w:firstLine="640"/>
        <w:jc w:val="both"/>
      </w:pPr>
      <w:r>
        <w:rPr>
          <w:rFonts w:ascii="仿宋_GB2312" w:hAnsi="仿宋_GB2312" w:eastAsia="仿宋_GB2312"/>
          <w:b w:val="0"/>
          <w:sz w:val="32"/>
        </w:rPr>
        <w:t>7.粮油物资储备支出(类)268.34万元,占11.78%。</w:t>
      </w:r>
    </w:p>
    <w:p w14:paraId="6A0D0EF0">
      <w:pPr>
        <w:spacing w:line="640" w:lineRule="exact"/>
        <w:ind w:firstLine="640"/>
        <w:jc w:val="both"/>
        <w:outlineLvl w:val="3"/>
      </w:pPr>
      <w:r>
        <w:rPr>
          <w:rFonts w:ascii="楷体_GB2312" w:hAnsi="楷体_GB2312" w:eastAsia="楷体_GB2312"/>
          <w:b/>
          <w:sz w:val="32"/>
        </w:rPr>
        <w:t>（三）一般公共预算财政拨款支出决算具体情况</w:t>
      </w:r>
    </w:p>
    <w:p w14:paraId="1B782909">
      <w:pPr>
        <w:spacing w:line="580" w:lineRule="exact"/>
        <w:ind w:firstLine="640"/>
        <w:jc w:val="both"/>
      </w:pPr>
      <w:r>
        <w:rPr>
          <w:rFonts w:ascii="仿宋_GB2312" w:hAnsi="仿宋_GB2312" w:eastAsia="仿宋_GB2312"/>
          <w:b w:val="0"/>
          <w:sz w:val="32"/>
        </w:rPr>
        <w:t>1.一般公共服务支出(类)发展与改革事务(款)行政运行(项):支出决算数为360.05万元，比上年决算增加5.82万元，增长1.64%,主要原因是：本年在职人员工资调增，导致相关人员经费较上年有所增加。</w:t>
      </w:r>
    </w:p>
    <w:p w14:paraId="2A45D678">
      <w:pPr>
        <w:spacing w:line="580" w:lineRule="exact"/>
        <w:ind w:firstLine="640"/>
        <w:jc w:val="both"/>
      </w:pPr>
      <w:r>
        <w:rPr>
          <w:rFonts w:ascii="仿宋_GB2312" w:hAnsi="仿宋_GB2312" w:eastAsia="仿宋_GB2312"/>
          <w:b w:val="0"/>
          <w:sz w:val="32"/>
        </w:rPr>
        <w:t>2.一般公共服务支出(类)发展与改革事务(款)战略规划与实施(项):支出决算数为3.00万元，比上年决算增加3.00万元，增长100.00%,主要原因是：本年新增伊犁州特克斯县2024年以工代赈、五小工程、专项债券经费。</w:t>
      </w:r>
    </w:p>
    <w:p w14:paraId="71899525">
      <w:pPr>
        <w:spacing w:line="580" w:lineRule="exact"/>
        <w:ind w:firstLine="640"/>
        <w:jc w:val="both"/>
      </w:pPr>
      <w:r>
        <w:rPr>
          <w:rFonts w:ascii="仿宋_GB2312" w:hAnsi="仿宋_GB2312" w:eastAsia="仿宋_GB2312"/>
          <w:b w:val="0"/>
          <w:sz w:val="32"/>
        </w:rPr>
        <w:t>3.一般公共服务支出(类)发展与改革事务(款)其他发展与改革事务支出(项):支出决算数为0.40万元，比上年决算增加0.40万元，增长100.00%,主要原因是：本年新增上级拨入2024年度农产品成本调查经费。</w:t>
      </w:r>
    </w:p>
    <w:p w14:paraId="51094158">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基本养老保险缴费支出(项):支出决算数为45.66万元，比上年决算增加6.04万元，增长15.24%,主要原因是：本年在职人员工资基数调增，养老缴费基数上涨，相应支出增加。</w:t>
      </w:r>
    </w:p>
    <w:p w14:paraId="61281830">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职业年金缴费支出(项):支出决算数为0.00万元，比上年决算减少5.65万元，下降100.00%,主要原因是：本年无新增退休人员，职业年金缴费较上年减少。</w:t>
      </w:r>
    </w:p>
    <w:p w14:paraId="26737652">
      <w:pPr>
        <w:spacing w:line="580" w:lineRule="exact"/>
        <w:ind w:firstLine="640"/>
        <w:jc w:val="both"/>
      </w:pPr>
      <w:r>
        <w:rPr>
          <w:rFonts w:ascii="仿宋_GB2312" w:hAnsi="仿宋_GB2312" w:eastAsia="仿宋_GB2312"/>
          <w:b w:val="0"/>
          <w:sz w:val="32"/>
        </w:rPr>
        <w:t>6.社会保障和就业支出(类)抚恤(款)死亡抚恤(项):支出决算数为23.51万元，比上年决算减少77.65万元，下降76.76%,主要原因是：本年新增死亡人员</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，死亡抚恤支出较上年减少。</w:t>
      </w:r>
    </w:p>
    <w:p w14:paraId="5390CA53">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医疗(项):支出决算数为8.41万元，比上年决算减少1.85万元，下降18.03%,主要原因是：本年行政在职人员减少，行政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65C798FC">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医疗(项):支出决算数为8.57万元，比上年决算增加0.37万元，增长4.51%,主要原因是：本年事业在职人员工资基数调增，医疗缴费基数上涨，相应支出增加。</w:t>
      </w:r>
    </w:p>
    <w:p w14:paraId="4332D9DE">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医疗(款)公务员医疗补助(项):支出决算数为0.23万元，比上年决算减少0.09万元，下降28.12%,主要原因是：本年行政在职人员减少，公务员医疗补助支出较上年减少。</w:t>
      </w:r>
    </w:p>
    <w:p w14:paraId="611AD494">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医疗支出(项):支出决算数为0.31万元，比上年决算减少0.46万元，下降59.74%,主要原因是：本年在职人员减少，其他行政事业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6A5A65B2">
      <w:pPr>
        <w:spacing w:line="580" w:lineRule="exact"/>
        <w:ind w:firstLine="640"/>
        <w:jc w:val="both"/>
      </w:pPr>
      <w:r>
        <w:rPr>
          <w:rFonts w:ascii="仿宋_GB2312" w:hAnsi="仿宋_GB2312" w:eastAsia="仿宋_GB2312"/>
          <w:b w:val="0"/>
          <w:sz w:val="32"/>
        </w:rPr>
        <w:t>11.农林水支出(类)巩固脱贫攻坚成果衔接乡村振兴(款)农村基础设施建设(项):支出决算数为1,471.70万元，比上年决算减少482.16万元，下降24.68%,主要原因是：本年较上年减少2023年中央财政衔接推进乡村振兴补助资金。</w:t>
      </w:r>
    </w:p>
    <w:p w14:paraId="5D934F0E">
      <w:pPr>
        <w:spacing w:line="580" w:lineRule="exact"/>
        <w:ind w:firstLine="640"/>
        <w:jc w:val="both"/>
      </w:pPr>
      <w:r>
        <w:rPr>
          <w:rFonts w:ascii="仿宋_GB2312" w:hAnsi="仿宋_GB2312" w:eastAsia="仿宋_GB2312"/>
          <w:b w:val="0"/>
          <w:sz w:val="32"/>
        </w:rPr>
        <w:t>12.交通运输支出(类)民用航空运输(款)机场建设(项):支出决算数为55.76万元，比上年决算增加55.76万元，增长100.00%,主要原因是：本年新增2024年第一批自治区预算内投资特克斯县通用机场前期费。</w:t>
      </w:r>
    </w:p>
    <w:p w14:paraId="5A69AD36">
      <w:pPr>
        <w:spacing w:line="580" w:lineRule="exact"/>
        <w:ind w:firstLine="640"/>
        <w:jc w:val="both"/>
      </w:pPr>
      <w:r>
        <w:rPr>
          <w:rFonts w:ascii="仿宋_GB2312" w:hAnsi="仿宋_GB2312" w:eastAsia="仿宋_GB2312"/>
          <w:b w:val="0"/>
          <w:sz w:val="32"/>
        </w:rPr>
        <w:t>13.住房保障支出(类)住房改革支出(款)住房公积金(项):支出决算数为32.61万元，比上年决算增加1.63万元，增长5.26%,主要原因是：本年在职人员工资基数调增，公积金缴费基数上涨，相应支出增加。</w:t>
      </w:r>
    </w:p>
    <w:p w14:paraId="7A3F23AE">
      <w:pPr>
        <w:spacing w:line="580" w:lineRule="exact"/>
        <w:ind w:firstLine="640"/>
        <w:jc w:val="both"/>
      </w:pPr>
      <w:r>
        <w:rPr>
          <w:rFonts w:ascii="仿宋_GB2312" w:hAnsi="仿宋_GB2312" w:eastAsia="仿宋_GB2312"/>
          <w:b w:val="0"/>
          <w:sz w:val="32"/>
        </w:rPr>
        <w:t>14.粮油物资储备支出(类)粮油物资事务(款)粮食风险基金(项):支出决算数为0.00万元，比上年决算减少79.94万元，下降100.00%,主要原因是：本年功能科目调整，特克斯县县级地方储备及应急成品粮油费用补贴项目上年度在粮食风险基金科目列支，本年在储备粮油补贴科目列支，导致经费较上年减少。</w:t>
      </w:r>
    </w:p>
    <w:p w14:paraId="3D087956">
      <w:pPr>
        <w:spacing w:line="580" w:lineRule="exact"/>
        <w:ind w:firstLine="640"/>
        <w:jc w:val="both"/>
      </w:pPr>
      <w:r>
        <w:rPr>
          <w:rFonts w:ascii="仿宋_GB2312" w:hAnsi="仿宋_GB2312" w:eastAsia="仿宋_GB2312"/>
          <w:b w:val="0"/>
          <w:sz w:val="32"/>
        </w:rPr>
        <w:t>15.粮油物资储备支出(类)粮油物资事务(款)其他粮油物资事务支出(项):支出决算数为1.00万元，比上年决算增加0.00万元，增长0.00%,主要原因是：本年智慧粮库运维费用与上年一致无变化。</w:t>
      </w:r>
    </w:p>
    <w:p w14:paraId="53F65FD7">
      <w:pPr>
        <w:spacing w:line="580" w:lineRule="exact"/>
        <w:ind w:firstLine="640"/>
        <w:jc w:val="both"/>
      </w:pPr>
      <w:r>
        <w:rPr>
          <w:rFonts w:ascii="仿宋_GB2312" w:hAnsi="仿宋_GB2312" w:eastAsia="仿宋_GB2312"/>
          <w:b w:val="0"/>
          <w:sz w:val="32"/>
        </w:rPr>
        <w:t>16.粮油物资储备支出(类)粮油储备(款)储备粮油补贴(项):支出决算数为94.75万元，比上年决算增加94.75万元，增长100.00%,主要原因是：本年功能科目调整，特克斯县县级地方储备及应急成品粮油费用补贴项目上年度在粮食风险基金科目列支，本年在储备粮油补贴科目列支，导致经费较上年增加。</w:t>
      </w:r>
    </w:p>
    <w:p w14:paraId="0E644128">
      <w:pPr>
        <w:spacing w:line="580" w:lineRule="exact"/>
        <w:ind w:firstLine="640"/>
        <w:jc w:val="both"/>
      </w:pPr>
      <w:r>
        <w:rPr>
          <w:rFonts w:ascii="仿宋_GB2312" w:hAnsi="仿宋_GB2312" w:eastAsia="仿宋_GB2312"/>
          <w:b w:val="0"/>
          <w:sz w:val="32"/>
        </w:rPr>
        <w:t>17.粮油物资储备支出(类)粮油储备(款)储备粮（油）库建设(项):支出决算数为172.59万元，比上年决算增加122.59万元，增长245.18%,主要原因是：本年新增专项业务经费。</w:t>
      </w:r>
    </w:p>
    <w:p w14:paraId="6A528425">
      <w:pPr>
        <w:spacing w:line="640" w:lineRule="exact"/>
        <w:ind w:firstLine="640"/>
        <w:jc w:val="both"/>
        <w:outlineLvl w:val="2"/>
      </w:pPr>
      <w:r>
        <w:rPr>
          <w:rFonts w:ascii="黑体" w:hAnsi="黑体" w:eastAsia="黑体"/>
          <w:sz w:val="32"/>
        </w:rPr>
        <w:t>六、一般公共预算财政拨款基本支出决算情况说明</w:t>
      </w:r>
    </w:p>
    <w:p w14:paraId="136919DB">
      <w:pPr>
        <w:spacing w:line="580" w:lineRule="exact"/>
        <w:ind w:firstLine="640"/>
        <w:jc w:val="both"/>
        <w:rPr>
          <w:rFonts w:hint="eastAsia" w:eastAsia="仿宋_GB2312"/>
          <w:lang w:eastAsia="zh-CN"/>
        </w:rPr>
      </w:pPr>
      <w:r>
        <w:rPr>
          <w:rFonts w:ascii="仿宋_GB2312" w:hAnsi="仿宋_GB2312" w:eastAsia="仿宋_GB2312"/>
          <w:b w:val="0"/>
          <w:sz w:val="32"/>
        </w:rPr>
        <w:t>2024年度一般公共预算财政拨款基本支出479.35万元，其中：</w:t>
      </w:r>
      <w:r>
        <w:rPr>
          <w:rFonts w:ascii="仿宋_GB2312" w:hAnsi="仿宋_GB2312" w:eastAsia="仿宋_GB2312"/>
          <w:b/>
          <w:sz w:val="32"/>
        </w:rPr>
        <w:t>人员经费452.95万元，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基本养老保险缴费、职工基本医疗保险缴费、公务员医疗补助缴费、其他社会保障缴费、住房公积金、退休费、抚恤金</w:t>
      </w:r>
      <w:r>
        <w:rPr>
          <w:rFonts w:hint="eastAsia" w:ascii="仿宋_GB2312" w:hAnsi="仿宋_GB2312" w:eastAsia="仿宋_GB2312"/>
          <w:b w:val="0"/>
          <w:sz w:val="32"/>
          <w:lang w:eastAsia="zh-CN"/>
        </w:rPr>
        <w:t>。</w:t>
      </w:r>
    </w:p>
    <w:p w14:paraId="47C864DA">
      <w:pPr>
        <w:spacing w:line="580" w:lineRule="exact"/>
        <w:ind w:firstLine="640"/>
        <w:jc w:val="both"/>
      </w:pPr>
      <w:r>
        <w:rPr>
          <w:rFonts w:ascii="仿宋_GB2312" w:hAnsi="仿宋_GB2312" w:eastAsia="仿宋_GB2312"/>
          <w:b/>
          <w:sz w:val="32"/>
        </w:rPr>
        <w:t>公用经费26.40万元，</w:t>
      </w:r>
      <w:r>
        <w:rPr>
          <w:rFonts w:ascii="仿宋_GB2312" w:hAnsi="仿宋_GB2312" w:eastAsia="仿宋_GB2312"/>
          <w:b w:val="0"/>
          <w:sz w:val="32"/>
        </w:rPr>
        <w:t>包括：办公费、邮电费、差旅费、工会经费、公务用车运行维护费。</w:t>
      </w:r>
    </w:p>
    <w:p w14:paraId="4E5E139E">
      <w:pPr>
        <w:spacing w:line="640" w:lineRule="exact"/>
        <w:ind w:firstLine="640"/>
        <w:jc w:val="both"/>
        <w:outlineLvl w:val="2"/>
      </w:pPr>
      <w:r>
        <w:rPr>
          <w:rFonts w:ascii="黑体" w:hAnsi="黑体" w:eastAsia="黑体"/>
          <w:sz w:val="32"/>
        </w:rPr>
        <w:t>七、政府性基金预算财政拨款收入支出决算情况说明</w:t>
      </w:r>
    </w:p>
    <w:p w14:paraId="7293AAC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6C0435C8">
      <w:pPr>
        <w:spacing w:line="640" w:lineRule="exact"/>
        <w:ind w:firstLine="640"/>
        <w:jc w:val="both"/>
        <w:outlineLvl w:val="2"/>
      </w:pPr>
      <w:r>
        <w:rPr>
          <w:rFonts w:ascii="黑体" w:hAnsi="黑体" w:eastAsia="黑体"/>
          <w:sz w:val="32"/>
        </w:rPr>
        <w:t>八、国有资本经营预算财政拨款收入支出决算情况说明</w:t>
      </w:r>
    </w:p>
    <w:p w14:paraId="568221A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9C5CFDE">
      <w:pPr>
        <w:spacing w:line="640" w:lineRule="exact"/>
        <w:ind w:firstLine="640"/>
        <w:jc w:val="both"/>
        <w:outlineLvl w:val="2"/>
      </w:pPr>
      <w:r>
        <w:rPr>
          <w:rFonts w:ascii="黑体" w:hAnsi="黑体" w:eastAsia="黑体"/>
          <w:sz w:val="32"/>
        </w:rPr>
        <w:t>九、财政拨款“三公”经费支出决算情况说明</w:t>
      </w:r>
    </w:p>
    <w:p w14:paraId="5B166C64">
      <w:pPr>
        <w:spacing w:line="580" w:lineRule="exact"/>
        <w:ind w:firstLine="640"/>
        <w:jc w:val="both"/>
      </w:pPr>
      <w:r>
        <w:rPr>
          <w:rFonts w:ascii="仿宋_GB2312" w:hAnsi="仿宋_GB2312" w:eastAsia="仿宋_GB2312"/>
          <w:b/>
          <w:sz w:val="32"/>
        </w:rPr>
        <w:t>2024年度财政拨款“三公”经费支出0.70万元，</w:t>
      </w:r>
      <w:r>
        <w:rPr>
          <w:rFonts w:ascii="仿宋_GB2312" w:hAnsi="仿宋_GB2312" w:eastAsia="仿宋_GB2312"/>
          <w:b w:val="0"/>
          <w:sz w:val="32"/>
        </w:rPr>
        <w:t>比上年减少0.10万元，下降12.50%，主要原因是：本年严格落实中央八项规定精神，厉行节约，减少公务用车运行维护费。其中：因公出国（境）费支出0.00万元，占0.00%，比上年增加0.00万元，增长0.00%，主要原因是：2023年与2024年均未安排因公出国（境）费支出。公务用车购置及运行维护费支出0.70万元，占100.00%，比上年减少0.10万元，下降12.50%，主要原因是：本年严格落实中央八项规定精神，厉行节约，减少公务用车运行维护费。公务接待费支出0.00万元，占0.00%，比上年增加0.00万元，增长0.00%，主要原因是：2023年与2024年均未安排公务接待费支出。</w:t>
      </w:r>
    </w:p>
    <w:p w14:paraId="4D556430">
      <w:pPr>
        <w:spacing w:line="580" w:lineRule="exact"/>
        <w:ind w:firstLine="640"/>
        <w:jc w:val="both"/>
      </w:pPr>
      <w:r>
        <w:rPr>
          <w:rFonts w:ascii="仿宋_GB2312" w:hAnsi="仿宋_GB2312" w:eastAsia="仿宋_GB2312"/>
          <w:b/>
          <w:sz w:val="32"/>
        </w:rPr>
        <w:t>具体情况如下：</w:t>
      </w:r>
    </w:p>
    <w:p w14:paraId="0249D42B">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458B09A">
      <w:pPr>
        <w:spacing w:line="580" w:lineRule="exact"/>
        <w:ind w:firstLine="640"/>
        <w:jc w:val="both"/>
      </w:pPr>
      <w:r>
        <w:rPr>
          <w:rFonts w:ascii="仿宋_GB2312" w:hAnsi="仿宋_GB2312" w:eastAsia="仿宋_GB2312"/>
          <w:b w:val="0"/>
          <w:sz w:val="32"/>
        </w:rPr>
        <w:t>公务用车购置及运行维护费0.70万元，其中：公务用车购置费0.00万元，公务用车运行维护费0.70万元。公务用车运行维护费开支内容包括车辆加油费、维修费、保险费等。公务用车购置数0辆，公务用车保有量2辆。国有资产占用情况中固定资产车辆2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220560C2">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74E7C4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0.70万元，预决算差异率-12.50%，主要原因是：本年严格落实中央八项规定精神，厉行节约，减少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0.80万元，决算数0.70万元，预决算差异率-12.50%，主要原因是：本年严格落实中央八项规定精神，厉行节约，减少经费支出。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42D16CF8">
      <w:pPr>
        <w:spacing w:line="640" w:lineRule="exact"/>
        <w:ind w:firstLine="640"/>
        <w:jc w:val="both"/>
        <w:outlineLvl w:val="2"/>
      </w:pPr>
      <w:r>
        <w:rPr>
          <w:rFonts w:ascii="黑体" w:hAnsi="黑体" w:eastAsia="黑体"/>
          <w:sz w:val="32"/>
        </w:rPr>
        <w:t>十、其他重要事项的情况说明</w:t>
      </w:r>
    </w:p>
    <w:p w14:paraId="7F19B6C1">
      <w:pPr>
        <w:spacing w:line="640" w:lineRule="exact"/>
        <w:ind w:firstLine="640"/>
        <w:jc w:val="both"/>
        <w:outlineLvl w:val="3"/>
      </w:pPr>
      <w:r>
        <w:rPr>
          <w:rFonts w:ascii="楷体_GB2312" w:hAnsi="楷体_GB2312" w:eastAsia="楷体_GB2312"/>
          <w:b/>
          <w:sz w:val="32"/>
        </w:rPr>
        <w:t>（一）机关运行经费及公用经费支出情况</w:t>
      </w:r>
    </w:p>
    <w:p w14:paraId="50A9D336">
      <w:pPr>
        <w:spacing w:line="580" w:lineRule="exact"/>
        <w:ind w:firstLine="640"/>
        <w:jc w:val="both"/>
      </w:pPr>
      <w:r>
        <w:rPr>
          <w:rFonts w:ascii="仿宋_GB2312" w:hAnsi="仿宋_GB2312" w:eastAsia="仿宋_GB2312"/>
          <w:b w:val="0"/>
          <w:sz w:val="32"/>
        </w:rPr>
        <w:t>2024年度特克斯县发展和改革委员会（行政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）机关运行经费支出26.40万元，比上年增加3.81万元，增长16.87%，主要原因是：本年业务量增加，办公费增加。</w:t>
      </w:r>
    </w:p>
    <w:p w14:paraId="3692F2F7">
      <w:pPr>
        <w:spacing w:line="640" w:lineRule="exact"/>
        <w:ind w:firstLine="640"/>
        <w:jc w:val="both"/>
        <w:outlineLvl w:val="3"/>
      </w:pPr>
      <w:r>
        <w:rPr>
          <w:rFonts w:ascii="楷体_GB2312" w:hAnsi="楷体_GB2312" w:eastAsia="楷体_GB2312"/>
          <w:b/>
          <w:sz w:val="32"/>
        </w:rPr>
        <w:t>（二）政府采购情况</w:t>
      </w:r>
    </w:p>
    <w:p w14:paraId="469BD3F6">
      <w:pPr>
        <w:spacing w:line="580" w:lineRule="exact"/>
        <w:ind w:firstLine="640"/>
        <w:jc w:val="both"/>
      </w:pPr>
      <w:r>
        <w:rPr>
          <w:rFonts w:ascii="仿宋_GB2312" w:hAnsi="仿宋_GB2312" w:eastAsia="仿宋_GB2312"/>
          <w:b w:val="0"/>
          <w:sz w:val="32"/>
        </w:rPr>
        <w:t>2024年度政府采购支出总额28.11万元，其中：政府采购货物支出1.11万元、政府采购工程支出0.00万元、政府采购服务支出27.00万元。</w:t>
      </w:r>
    </w:p>
    <w:p w14:paraId="017C77E9">
      <w:pPr>
        <w:spacing w:line="580" w:lineRule="exact"/>
        <w:ind w:firstLine="640"/>
        <w:jc w:val="both"/>
      </w:pPr>
      <w:r>
        <w:rPr>
          <w:rFonts w:ascii="仿宋_GB2312" w:hAnsi="仿宋_GB2312" w:eastAsia="仿宋_GB2312"/>
          <w:b w:val="0"/>
          <w:sz w:val="32"/>
        </w:rPr>
        <w:t>授予中小企业合同金额28.11万元，占政府采购支出总额的100.00%，其中：授予小微企业合同金额28.11万元，占政府采购支出总额的100.00%。</w:t>
      </w:r>
    </w:p>
    <w:p w14:paraId="0C0A787D">
      <w:pPr>
        <w:spacing w:line="640" w:lineRule="exact"/>
        <w:ind w:firstLine="640"/>
        <w:jc w:val="both"/>
        <w:outlineLvl w:val="3"/>
      </w:pPr>
      <w:r>
        <w:rPr>
          <w:rFonts w:ascii="楷体_GB2312" w:hAnsi="楷体_GB2312" w:eastAsia="楷体_GB2312"/>
          <w:b/>
          <w:sz w:val="32"/>
        </w:rPr>
        <w:t>（三）国有资产占用情况说明</w:t>
      </w:r>
    </w:p>
    <w:p w14:paraId="0E659D16">
      <w:pPr>
        <w:spacing w:line="580" w:lineRule="exact"/>
        <w:ind w:firstLine="640"/>
        <w:jc w:val="both"/>
      </w:pPr>
      <w:r>
        <w:rPr>
          <w:rFonts w:ascii="仿宋_GB2312" w:hAnsi="仿宋_GB2312" w:eastAsia="仿宋_GB2312"/>
          <w:b w:val="0"/>
          <w:sz w:val="32"/>
        </w:rPr>
        <w:t>截至2024年12月31日，房屋11,700.00平方米，价值3,750.19万元。车辆2辆，价值43.29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2273B475">
      <w:pPr>
        <w:spacing w:line="640" w:lineRule="exact"/>
        <w:ind w:firstLine="640"/>
        <w:jc w:val="both"/>
        <w:outlineLvl w:val="2"/>
      </w:pPr>
      <w:r>
        <w:rPr>
          <w:rFonts w:ascii="黑体" w:hAnsi="黑体" w:eastAsia="黑体"/>
          <w:sz w:val="32"/>
        </w:rPr>
        <w:t>十一、预算绩效的情况说明</w:t>
      </w:r>
    </w:p>
    <w:p w14:paraId="59F25597">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1,928.71万元，实际执行总额2,493.13万元；预算绩效评价项目2个，全年预算数252.39万元，全年执行数252.39万元。预算绩效管理取得的成效：一是加强预算管理，规范财务行为，已制定《特克斯县发展和改革委员会预算绩效管理工作实施办法》，《特克斯县发展和改革委员会财务管理制度》等健全完整的各项管理制度，有效保障了我委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部门预算资金使用符合国家法规和财务管理制度；预算资金拨付有完整的审批程序和手续，符合项目预算批复或合同规定的用途；不存在截留、挤占、挪用、虚列支出等情况，确保我部门预算资金规范运行。发现的问题及原因：预算绩效管理水平仍有欠缺。在本年预算绩效管理工作中，对全面实施预算绩效管理的要求认识还不到位，项目申报、实施等环节与预算绩效管理各个环节联系不够紧密。下一步改进措施：加强学习。进一步明确如何参照预算绩效体系，科学合理设定绩效目标，充分发挥预算绩效管理工作效用。从源头上强化对专项资金预算管理。实行专项资金预算管理，结合</w:t>
      </w:r>
      <w:r>
        <w:rPr>
          <w:rFonts w:hint="eastAsia" w:ascii="仿宋_GB2312" w:hAnsi="仿宋_GB2312" w:eastAsia="仿宋_GB2312"/>
          <w:b w:val="0"/>
          <w:sz w:val="32"/>
          <w:lang w:eastAsia="zh-CN"/>
        </w:rPr>
        <w:t>单位</w:t>
      </w:r>
      <w:r>
        <w:rPr>
          <w:rFonts w:ascii="仿宋_GB2312" w:hAnsi="仿宋_GB2312" w:eastAsia="仿宋_GB2312"/>
          <w:b w:val="0"/>
          <w:sz w:val="32"/>
        </w:rPr>
        <w:t>实际,按轻重缓急统筹安排编制预算,提高预算编制科学性和合理性,优化资金结构。按时间进度分解资金使用计划。专项资金的使用，要事前做计划，事中进行控制，事后总结提高。合理安排资金使用,充分体现资金投向的目标和效益。具体附整体支出绩效自评表，项目支出绩效自评表和评价报告。</w:t>
      </w:r>
    </w:p>
    <w:p w14:paraId="1E06159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166A306">
        <w:tblPrEx>
          <w:tblCellMar>
            <w:top w:w="0" w:type="dxa"/>
            <w:left w:w="108" w:type="dxa"/>
            <w:bottom w:w="0" w:type="dxa"/>
            <w:right w:w="108" w:type="dxa"/>
          </w:tblCellMar>
        </w:tblPrEx>
        <w:tc>
          <w:tcPr>
            <w:tcW w:w="8840" w:type="dxa"/>
            <w:gridSpan w:val="8"/>
            <w:vAlign w:val="center"/>
          </w:tcPr>
          <w:p w14:paraId="78BF7643">
            <w:pPr>
              <w:jc w:val="center"/>
            </w:pPr>
            <w:r>
              <w:rPr>
                <w:rFonts w:hint="eastAsia" w:ascii="宋体" w:hAnsi="宋体"/>
                <w:sz w:val="24"/>
                <w:lang w:eastAsia="zh-CN"/>
              </w:rPr>
              <w:t>单位</w:t>
            </w:r>
            <w:r>
              <w:rPr>
                <w:rFonts w:ascii="宋体" w:hAnsi="宋体" w:eastAsia="宋体"/>
                <w:sz w:val="24"/>
              </w:rPr>
              <w:t>整体支出绩效自评表</w:t>
            </w:r>
          </w:p>
        </w:tc>
      </w:tr>
      <w:tr w14:paraId="652E28ED">
        <w:tblPrEx>
          <w:tblCellMar>
            <w:top w:w="0" w:type="dxa"/>
            <w:left w:w="108" w:type="dxa"/>
            <w:bottom w:w="0" w:type="dxa"/>
            <w:right w:w="108" w:type="dxa"/>
          </w:tblCellMar>
        </w:tblPrEx>
        <w:tc>
          <w:tcPr>
            <w:tcW w:w="8840" w:type="dxa"/>
            <w:gridSpan w:val="8"/>
            <w:vAlign w:val="center"/>
          </w:tcPr>
          <w:p w14:paraId="3EEFC7B8">
            <w:pPr>
              <w:jc w:val="center"/>
            </w:pPr>
            <w:r>
              <w:rPr>
                <w:rFonts w:ascii="宋体" w:hAnsi="宋体" w:eastAsia="宋体"/>
                <w:sz w:val="24"/>
              </w:rPr>
              <w:t>（2024年度）</w:t>
            </w:r>
          </w:p>
        </w:tc>
      </w:tr>
      <w:tr w14:paraId="6AC57F3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3B91B">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D24BC">
            <w:pPr>
              <w:jc w:val="center"/>
            </w:pPr>
            <w:r>
              <w:rPr>
                <w:rFonts w:ascii="宋体" w:hAnsi="宋体" w:eastAsia="宋体"/>
                <w:sz w:val="16"/>
              </w:rPr>
              <w:t>特克斯县发展和改革委员会</w:t>
            </w:r>
          </w:p>
        </w:tc>
      </w:tr>
      <w:tr w14:paraId="6B71698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0957F">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01243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55F27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BD43E">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69307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9E8CD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6882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8D8C0E">
            <w:pPr>
              <w:jc w:val="center"/>
            </w:pPr>
            <w:r>
              <w:rPr>
                <w:rFonts w:ascii="宋体" w:hAnsi="宋体" w:eastAsia="宋体"/>
                <w:sz w:val="16"/>
              </w:rPr>
              <w:t>得分</w:t>
            </w:r>
          </w:p>
        </w:tc>
      </w:tr>
      <w:tr w14:paraId="3234011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B521D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293D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B5D1D5">
            <w:pPr>
              <w:jc w:val="center"/>
            </w:pPr>
            <w:r>
              <w:rPr>
                <w:rFonts w:ascii="宋体" w:hAnsi="宋体" w:eastAsia="宋体"/>
                <w:sz w:val="16"/>
              </w:rPr>
              <w:t>1,928.71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15583">
            <w:pPr>
              <w:jc w:val="center"/>
            </w:pPr>
            <w:r>
              <w:rPr>
                <w:rFonts w:ascii="宋体" w:hAnsi="宋体" w:eastAsia="宋体"/>
                <w:sz w:val="16"/>
              </w:rPr>
              <w:t>1,928.71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08662D">
            <w:pPr>
              <w:jc w:val="center"/>
            </w:pPr>
            <w:r>
              <w:rPr>
                <w:rFonts w:ascii="宋体" w:hAnsi="宋体" w:eastAsia="宋体"/>
                <w:sz w:val="16"/>
              </w:rPr>
              <w:t>2,493.13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8F35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31AB1">
            <w:pPr>
              <w:jc w:val="center"/>
            </w:pPr>
            <w:r>
              <w:rPr>
                <w:rFonts w:ascii="宋体" w:hAnsi="宋体" w:eastAsia="宋体"/>
                <w:sz w:val="16"/>
              </w:rPr>
              <w:t>129.26%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F76F3">
            <w:pPr>
              <w:jc w:val="center"/>
            </w:pPr>
            <w:r>
              <w:rPr>
                <w:rFonts w:ascii="宋体" w:hAnsi="宋体" w:eastAsia="宋体"/>
                <w:sz w:val="16"/>
              </w:rPr>
              <w:t>10</w:t>
            </w:r>
          </w:p>
        </w:tc>
      </w:tr>
      <w:tr w14:paraId="1491C9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5E41F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86233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9E8613">
            <w:pPr>
              <w:jc w:val="center"/>
            </w:pPr>
            <w:r>
              <w:rPr>
                <w:rFonts w:ascii="宋体" w:hAnsi="宋体" w:eastAsia="宋体"/>
                <w:sz w:val="16"/>
              </w:rPr>
              <w:t>1,258.40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EAD023">
            <w:pPr>
              <w:jc w:val="center"/>
            </w:pPr>
            <w:r>
              <w:rPr>
                <w:rFonts w:ascii="宋体" w:hAnsi="宋体" w:eastAsia="宋体"/>
                <w:sz w:val="16"/>
              </w:rPr>
              <w:t>1,258.40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C7AEA">
            <w:pPr>
              <w:jc w:val="center"/>
            </w:pPr>
            <w:r>
              <w:rPr>
                <w:rFonts w:ascii="宋体" w:hAnsi="宋体" w:eastAsia="宋体"/>
                <w:sz w:val="16"/>
              </w:rPr>
              <w:t>1,787.99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27CBC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AEF9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CA7E4E">
            <w:pPr>
              <w:jc w:val="center"/>
            </w:pPr>
            <w:r>
              <w:rPr>
                <w:rFonts w:ascii="宋体" w:hAnsi="宋体" w:eastAsia="宋体"/>
                <w:sz w:val="16"/>
              </w:rPr>
              <w:t>-</w:t>
            </w:r>
          </w:p>
        </w:tc>
      </w:tr>
      <w:tr w14:paraId="7640A0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310F6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267C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B798D">
            <w:pPr>
              <w:jc w:val="center"/>
            </w:pPr>
            <w:r>
              <w:rPr>
                <w:rFonts w:ascii="宋体" w:hAnsi="宋体" w:eastAsia="宋体"/>
                <w:sz w:val="16"/>
              </w:rPr>
              <w:t>452.87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A8692">
            <w:pPr>
              <w:jc w:val="center"/>
            </w:pPr>
            <w:r>
              <w:rPr>
                <w:rFonts w:ascii="宋体" w:hAnsi="宋体" w:eastAsia="宋体"/>
                <w:sz w:val="16"/>
              </w:rPr>
              <w:t>452.87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4BE317">
            <w:pPr>
              <w:jc w:val="center"/>
            </w:pPr>
            <w:r>
              <w:rPr>
                <w:rFonts w:ascii="宋体" w:hAnsi="宋体" w:eastAsia="宋体"/>
                <w:sz w:val="16"/>
              </w:rPr>
              <w:t>490.56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ED7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5E04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67F6B">
            <w:pPr>
              <w:jc w:val="center"/>
            </w:pPr>
            <w:r>
              <w:rPr>
                <w:rFonts w:ascii="宋体" w:hAnsi="宋体" w:eastAsia="宋体"/>
                <w:sz w:val="16"/>
              </w:rPr>
              <w:t>-</w:t>
            </w:r>
          </w:p>
        </w:tc>
      </w:tr>
      <w:tr w14:paraId="376C84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A9675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7076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4F84CC">
            <w:pPr>
              <w:jc w:val="center"/>
            </w:pPr>
            <w:r>
              <w:rPr>
                <w:rFonts w:ascii="宋体" w:hAnsi="宋体" w:eastAsia="宋体"/>
                <w:sz w:val="16"/>
              </w:rPr>
              <w:t>217.44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CB180">
            <w:pPr>
              <w:jc w:val="center"/>
            </w:pPr>
            <w:r>
              <w:rPr>
                <w:rFonts w:ascii="宋体" w:hAnsi="宋体" w:eastAsia="宋体"/>
                <w:sz w:val="16"/>
              </w:rPr>
              <w:t>217.44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D7C50A">
            <w:pPr>
              <w:jc w:val="center"/>
            </w:pPr>
            <w:r>
              <w:rPr>
                <w:rFonts w:ascii="宋体" w:hAnsi="宋体" w:eastAsia="宋体"/>
                <w:sz w:val="16"/>
              </w:rPr>
              <w:t>214.58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8B580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F3D2B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9551DF">
            <w:pPr>
              <w:jc w:val="center"/>
            </w:pPr>
            <w:r>
              <w:rPr>
                <w:rFonts w:ascii="宋体" w:hAnsi="宋体" w:eastAsia="宋体"/>
                <w:sz w:val="16"/>
              </w:rPr>
              <w:t>-</w:t>
            </w:r>
          </w:p>
        </w:tc>
      </w:tr>
      <w:tr w14:paraId="2220722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2543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2D3FF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14B839">
            <w:pPr>
              <w:jc w:val="center"/>
            </w:pPr>
            <w:r>
              <w:rPr>
                <w:rFonts w:ascii="宋体" w:hAnsi="宋体" w:eastAsia="宋体"/>
                <w:sz w:val="16"/>
              </w:rPr>
              <w:t>实际完成情况</w:t>
            </w:r>
          </w:p>
        </w:tc>
      </w:tr>
      <w:tr w14:paraId="2E50298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0FBF7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607508">
            <w:pPr>
              <w:jc w:val="both"/>
            </w:pPr>
            <w:r>
              <w:rPr>
                <w:rFonts w:ascii="宋体" w:hAnsi="宋体" w:eastAsia="宋体"/>
                <w:sz w:val="16"/>
              </w:rPr>
              <w:t>2024年，一是统筹提出国民经济和社会发展主要目标，监测预测预警宏观经济和社会发展态势趋势，提出宏观调控政策建议。二是申报和下达中央预算内投资计划；安排自治区财政预算内固定资产投资计划，按规定权限审批、核准、备案、审核重大项目，规划重大建设项目和生产力布局。三是拟订并推动落实鼓励民间投资政策措施。四是组织拟订并推动实施服务业及现代物流业发展规划和相关政策。五是综合研判消费变动趋势，拟订实施促进消费的综合性政策措施。六是组织拟订并推动实施服务业及现代物流业发展规划和相关政策。</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98883F">
            <w:pPr>
              <w:jc w:val="both"/>
            </w:pPr>
            <w:r>
              <w:rPr>
                <w:rFonts w:ascii="宋体" w:hAnsi="宋体" w:eastAsia="宋体"/>
                <w:sz w:val="16"/>
              </w:rPr>
              <w:t>（一）地区生产总值（GDP）。年初目标任务为55.17亿元，同比增长8%。1-9月完成38.14亿元，完成年度目标任务的68.1%，同比增长7%，增速州直排序第一。全年预计完成55.27亿元，同比增长8.2%。</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（二）固定资产投资。年初目标任务为50.47亿元，同比增长12%。1-11月完成固定资产投资50.21亿元，完成年度目标任务的99.56%，其中民间投资30.39亿元，占比60.2%。全年预计完成50.51亿元，同比增长12.09%。</w:t>
            </w:r>
          </w:p>
        </w:tc>
      </w:tr>
      <w:tr w14:paraId="445F72A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BC8C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1A2F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E657D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D8E32">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56B91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115E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E48E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2083E">
            <w:pPr>
              <w:jc w:val="center"/>
            </w:pPr>
            <w:r>
              <w:rPr>
                <w:rFonts w:ascii="宋体" w:hAnsi="宋体" w:eastAsia="宋体"/>
                <w:sz w:val="16"/>
              </w:rPr>
              <w:t>得分</w:t>
            </w:r>
          </w:p>
        </w:tc>
      </w:tr>
      <w:tr w14:paraId="362BD1C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1ECD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D87C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413D30">
            <w:pPr>
              <w:jc w:val="center"/>
            </w:pPr>
            <w:r>
              <w:rPr>
                <w:rFonts w:ascii="宋体" w:hAnsi="宋体" w:eastAsia="宋体"/>
                <w:sz w:val="16"/>
              </w:rPr>
              <w:t>全县地区生产总值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DC01A4">
            <w:pPr>
              <w:jc w:val="center"/>
            </w:pPr>
            <w:r>
              <w:rPr>
                <w:rFonts w:ascii="宋体" w:hAnsi="宋体" w:eastAsia="宋体"/>
                <w:sz w:val="16"/>
              </w:rPr>
              <w:t>&gt;=55.17亿元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2CF823">
            <w:pPr>
              <w:jc w:val="center"/>
            </w:pPr>
            <w:r>
              <w:rPr>
                <w:rFonts w:ascii="宋体" w:hAnsi="宋体" w:eastAsia="宋体"/>
                <w:sz w:val="16"/>
              </w:rPr>
              <w:t>2024年度特克斯县工作报告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494AB0">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11F25C">
            <w:pPr>
              <w:jc w:val="center"/>
            </w:pPr>
            <w:r>
              <w:rPr>
                <w:rFonts w:ascii="宋体" w:hAnsi="宋体" w:eastAsia="宋体"/>
                <w:sz w:val="16"/>
              </w:rPr>
              <w:t>55.27亿元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D72156">
            <w:pPr>
              <w:jc w:val="center"/>
            </w:pPr>
            <w:r>
              <w:rPr>
                <w:rFonts w:ascii="宋体" w:hAnsi="宋体" w:eastAsia="宋体"/>
                <w:sz w:val="16"/>
              </w:rPr>
              <w:t>13</w:t>
            </w:r>
          </w:p>
        </w:tc>
      </w:tr>
      <w:tr w14:paraId="40CF955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B9CC4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0FF2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5B658E">
            <w:pPr>
              <w:jc w:val="center"/>
            </w:pPr>
            <w:r>
              <w:rPr>
                <w:rFonts w:ascii="宋体" w:hAnsi="宋体" w:eastAsia="宋体"/>
                <w:sz w:val="16"/>
              </w:rPr>
              <w:t>全县固定资产投资总额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DB90B">
            <w:pPr>
              <w:jc w:val="center"/>
            </w:pPr>
            <w:r>
              <w:rPr>
                <w:rFonts w:ascii="宋体" w:hAnsi="宋体" w:eastAsia="宋体"/>
                <w:sz w:val="16"/>
              </w:rPr>
              <w:t>&gt;=54.07亿元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DCADFC">
            <w:pPr>
              <w:jc w:val="center"/>
            </w:pPr>
            <w:r>
              <w:rPr>
                <w:rFonts w:ascii="宋体" w:hAnsi="宋体" w:eastAsia="宋体"/>
                <w:sz w:val="16"/>
              </w:rPr>
              <w:t>2024年度特克斯县工作报告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5314C">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D344F8">
            <w:pPr>
              <w:jc w:val="center"/>
            </w:pPr>
            <w:r>
              <w:rPr>
                <w:rFonts w:ascii="宋体" w:hAnsi="宋体" w:eastAsia="宋体"/>
                <w:sz w:val="16"/>
              </w:rPr>
              <w:t>50.51亿元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F94FB">
            <w:pPr>
              <w:jc w:val="center"/>
            </w:pPr>
            <w:r>
              <w:rPr>
                <w:rFonts w:ascii="宋体" w:hAnsi="宋体" w:eastAsia="宋体"/>
                <w:sz w:val="16"/>
              </w:rPr>
              <w:t>13</w:t>
            </w:r>
          </w:p>
        </w:tc>
      </w:tr>
      <w:tr w14:paraId="62D4EA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9E588C"/>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6E452">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A2F5DE">
            <w:pPr>
              <w:jc w:val="center"/>
            </w:pPr>
            <w:r>
              <w:rPr>
                <w:rFonts w:ascii="宋体" w:hAnsi="宋体" w:eastAsia="宋体"/>
                <w:sz w:val="16"/>
              </w:rPr>
              <w:t>重大项目完成率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69180">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5B789">
            <w:pPr>
              <w:jc w:val="center"/>
            </w:pPr>
            <w:r>
              <w:rPr>
                <w:rFonts w:ascii="宋体" w:hAnsi="宋体" w:eastAsia="宋体"/>
                <w:sz w:val="16"/>
              </w:rPr>
              <w:t>2024年度发改委工作报告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B5646">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D59A0">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936F4">
            <w:pPr>
              <w:jc w:val="center"/>
            </w:pPr>
            <w:r>
              <w:rPr>
                <w:rFonts w:ascii="宋体" w:hAnsi="宋体" w:eastAsia="宋体"/>
                <w:sz w:val="16"/>
              </w:rPr>
              <w:t>13</w:t>
            </w:r>
          </w:p>
        </w:tc>
      </w:tr>
      <w:tr w14:paraId="134156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AAB21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489FA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8D19F5">
            <w:pPr>
              <w:jc w:val="center"/>
            </w:pPr>
            <w:r>
              <w:rPr>
                <w:rFonts w:ascii="宋体" w:hAnsi="宋体" w:eastAsia="宋体"/>
                <w:sz w:val="16"/>
              </w:rPr>
              <w:t>保障粮食市场和粮食产品质量合格率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8092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F82E5A">
            <w:pPr>
              <w:jc w:val="center"/>
            </w:pPr>
            <w:r>
              <w:rPr>
                <w:rFonts w:ascii="宋体" w:hAnsi="宋体" w:eastAsia="宋体"/>
                <w:sz w:val="16"/>
              </w:rPr>
              <w:t>中央要求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2D8EE">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BAA44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5BE96F">
            <w:pPr>
              <w:jc w:val="center"/>
            </w:pPr>
            <w:r>
              <w:rPr>
                <w:rFonts w:ascii="宋体" w:hAnsi="宋体" w:eastAsia="宋体"/>
                <w:sz w:val="16"/>
              </w:rPr>
              <w:t>13</w:t>
            </w:r>
          </w:p>
        </w:tc>
      </w:tr>
      <w:tr w14:paraId="3BE361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353F0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565B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6A17D7">
            <w:pPr>
              <w:jc w:val="center"/>
            </w:pPr>
            <w:r>
              <w:rPr>
                <w:rFonts w:ascii="宋体" w:hAnsi="宋体" w:eastAsia="宋体"/>
                <w:sz w:val="16"/>
              </w:rPr>
              <w:t>固定资产投资增长率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ABE92A">
            <w:pPr>
              <w:jc w:val="center"/>
            </w:pPr>
            <w:r>
              <w:rPr>
                <w:rFonts w:ascii="宋体" w:hAnsi="宋体" w:eastAsia="宋体"/>
                <w:sz w:val="16"/>
              </w:rPr>
              <w:t>&gt;=12%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E00C9">
            <w:pPr>
              <w:jc w:val="center"/>
            </w:pPr>
            <w:r>
              <w:rPr>
                <w:rFonts w:ascii="宋体" w:hAnsi="宋体" w:eastAsia="宋体"/>
                <w:sz w:val="16"/>
              </w:rPr>
              <w:t>2024年度特克斯县工作报告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05448">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66459">
            <w:pPr>
              <w:jc w:val="center"/>
            </w:pPr>
            <w:r>
              <w:rPr>
                <w:rFonts w:ascii="宋体" w:hAnsi="宋体" w:eastAsia="宋体"/>
                <w:sz w:val="16"/>
              </w:rPr>
              <w: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600AA">
            <w:pPr>
              <w:jc w:val="center"/>
            </w:pPr>
            <w:r>
              <w:rPr>
                <w:rFonts w:ascii="宋体" w:hAnsi="宋体" w:eastAsia="宋体"/>
                <w:sz w:val="16"/>
              </w:rPr>
              <w:t>13</w:t>
            </w:r>
          </w:p>
        </w:tc>
      </w:tr>
      <w:tr w14:paraId="18274C2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399CE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2B81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6E8C30">
            <w:pPr>
              <w:jc w:val="center"/>
            </w:pPr>
            <w:r>
              <w:rPr>
                <w:rFonts w:ascii="宋体" w:hAnsi="宋体" w:eastAsia="宋体"/>
                <w:sz w:val="16"/>
              </w:rPr>
              <w:t>粮食储备粮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EFA531">
            <w:pPr>
              <w:jc w:val="center"/>
            </w:pPr>
            <w:r>
              <w:rPr>
                <w:rFonts w:ascii="宋体" w:hAnsi="宋体" w:eastAsia="宋体"/>
                <w:sz w:val="16"/>
              </w:rPr>
              <w:t>&gt;=4400吨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791A80">
            <w:pPr>
              <w:jc w:val="center"/>
            </w:pPr>
            <w:r>
              <w:rPr>
                <w:rFonts w:ascii="宋体" w:hAnsi="宋体" w:eastAsia="宋体"/>
                <w:sz w:val="16"/>
              </w:rPr>
              <w:t>中央要求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9BF29">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A26FA">
            <w:pPr>
              <w:jc w:val="center"/>
            </w:pPr>
            <w:r>
              <w:rPr>
                <w:rFonts w:ascii="宋体" w:hAnsi="宋体" w:eastAsia="宋体"/>
                <w:sz w:val="16"/>
              </w:rPr>
              <w:t>4400吨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E9ECF">
            <w:pPr>
              <w:jc w:val="center"/>
            </w:pPr>
            <w:r>
              <w:rPr>
                <w:rFonts w:ascii="宋体" w:hAnsi="宋体" w:eastAsia="宋体"/>
                <w:sz w:val="16"/>
              </w:rPr>
              <w:t>13</w:t>
            </w:r>
          </w:p>
        </w:tc>
      </w:tr>
      <w:tr w14:paraId="41A3DB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59501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A673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A91D2">
            <w:pPr>
              <w:jc w:val="center"/>
            </w:pPr>
            <w:r>
              <w:rPr>
                <w:rFonts w:ascii="宋体" w:hAnsi="宋体" w:eastAsia="宋体"/>
                <w:sz w:val="16"/>
              </w:rPr>
              <w:t>按规定权限审批、核准、备案项目完成率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8F3B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9204F9">
            <w:pPr>
              <w:jc w:val="center"/>
            </w:pPr>
            <w:r>
              <w:rPr>
                <w:rFonts w:ascii="宋体" w:hAnsi="宋体" w:eastAsia="宋体"/>
                <w:sz w:val="16"/>
              </w:rPr>
              <w:t>2024年度发改委工作报告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D8A534">
            <w:pPr>
              <w:jc w:val="center"/>
            </w:pPr>
            <w:r>
              <w:rPr>
                <w:rFonts w:ascii="宋体" w:hAnsi="宋体" w:eastAsia="宋体"/>
                <w:sz w:val="16"/>
              </w:rPr>
              <w: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64EE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EF98A5">
            <w:pPr>
              <w:jc w:val="center"/>
            </w:pPr>
            <w:r>
              <w:rPr>
                <w:rFonts w:ascii="宋体" w:hAnsi="宋体" w:eastAsia="宋体"/>
                <w:sz w:val="16"/>
              </w:rPr>
              <w:t>12</w:t>
            </w:r>
          </w:p>
        </w:tc>
      </w:tr>
    </w:tbl>
    <w:p w14:paraId="18FBFC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96"/>
      </w:tblGrid>
      <w:tr w14:paraId="595AF5C5">
        <w:tblPrEx>
          <w:tblCellMar>
            <w:top w:w="0" w:type="dxa"/>
            <w:left w:w="108" w:type="dxa"/>
            <w:bottom w:w="0" w:type="dxa"/>
            <w:right w:w="108" w:type="dxa"/>
          </w:tblCellMar>
        </w:tblPrEx>
        <w:tc>
          <w:tcPr>
            <w:tcW w:w="8848" w:type="dxa"/>
            <w:gridSpan w:val="14"/>
            <w:vAlign w:val="center"/>
          </w:tcPr>
          <w:p w14:paraId="0D12DBA1">
            <w:pPr>
              <w:jc w:val="center"/>
            </w:pPr>
            <w:r>
              <w:rPr>
                <w:rFonts w:ascii="宋体" w:hAnsi="宋体" w:eastAsia="宋体"/>
                <w:sz w:val="24"/>
              </w:rPr>
              <w:t>项目支出绩效自评表</w:t>
            </w:r>
          </w:p>
        </w:tc>
      </w:tr>
      <w:tr w14:paraId="051E92C3">
        <w:tblPrEx>
          <w:tblCellMar>
            <w:top w:w="0" w:type="dxa"/>
            <w:left w:w="108" w:type="dxa"/>
            <w:bottom w:w="0" w:type="dxa"/>
            <w:right w:w="108" w:type="dxa"/>
          </w:tblCellMar>
        </w:tblPrEx>
        <w:tc>
          <w:tcPr>
            <w:tcW w:w="8848" w:type="dxa"/>
            <w:gridSpan w:val="14"/>
            <w:vAlign w:val="center"/>
          </w:tcPr>
          <w:p w14:paraId="128EDB04">
            <w:pPr>
              <w:jc w:val="center"/>
            </w:pPr>
            <w:r>
              <w:rPr>
                <w:rFonts w:ascii="宋体" w:hAnsi="宋体" w:eastAsia="宋体"/>
                <w:sz w:val="24"/>
              </w:rPr>
              <w:t>(2024年度)</w:t>
            </w:r>
          </w:p>
        </w:tc>
      </w:tr>
      <w:tr w14:paraId="236FEB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74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5D1D7C">
            <w:pPr>
              <w:jc w:val="center"/>
            </w:pPr>
            <w:r>
              <w:rPr>
                <w:rFonts w:ascii="宋体" w:hAnsi="宋体" w:eastAsia="宋体"/>
                <w:sz w:val="16"/>
              </w:rPr>
              <w:t>2024年农产品成本调查经费</w:t>
            </w:r>
          </w:p>
        </w:tc>
      </w:tr>
      <w:tr w14:paraId="70E6A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40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2C978">
            <w:pPr>
              <w:jc w:val="center"/>
            </w:pPr>
            <w:r>
              <w:rPr>
                <w:rFonts w:ascii="宋体" w:hAnsi="宋体" w:eastAsia="宋体"/>
                <w:sz w:val="16"/>
              </w:rPr>
              <w:t>特克斯县发展和改革委员会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3EA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068972">
            <w:pPr>
              <w:jc w:val="center"/>
            </w:pPr>
            <w:r>
              <w:rPr>
                <w:rFonts w:ascii="宋体" w:hAnsi="宋体" w:eastAsia="宋体"/>
                <w:sz w:val="16"/>
              </w:rPr>
              <w:t>特克斯县发展和改革委员会</w:t>
            </w:r>
          </w:p>
        </w:tc>
      </w:tr>
      <w:tr w14:paraId="675182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FE5F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0E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7E8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E47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EC0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25E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F58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1F6D">
            <w:pPr>
              <w:jc w:val="center"/>
            </w:pPr>
            <w:r>
              <w:rPr>
                <w:rFonts w:ascii="宋体" w:hAnsi="宋体" w:eastAsia="宋体"/>
                <w:sz w:val="16"/>
              </w:rPr>
              <w:t>得分</w:t>
            </w:r>
          </w:p>
        </w:tc>
      </w:tr>
      <w:tr w14:paraId="7392B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743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88A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F48E4">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EB188">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C643B">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137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8C72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E59D">
            <w:pPr>
              <w:jc w:val="center"/>
            </w:pPr>
            <w:r>
              <w:rPr>
                <w:rFonts w:ascii="宋体" w:hAnsi="宋体" w:eastAsia="宋体"/>
                <w:sz w:val="16"/>
              </w:rPr>
              <w:t>10.00</w:t>
            </w:r>
          </w:p>
        </w:tc>
      </w:tr>
      <w:tr w14:paraId="354C8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BE6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36C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9706D">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C1CA2">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8808F">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6E1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FBE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4B41">
            <w:pPr>
              <w:jc w:val="center"/>
            </w:pPr>
            <w:r>
              <w:rPr>
                <w:rFonts w:ascii="宋体" w:hAnsi="宋体" w:eastAsia="宋体"/>
                <w:sz w:val="16"/>
              </w:rPr>
              <w:t>—</w:t>
            </w:r>
          </w:p>
        </w:tc>
      </w:tr>
      <w:tr w14:paraId="56F18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DD8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429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73F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EBD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BC5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0F9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374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19E0">
            <w:pPr>
              <w:jc w:val="center"/>
            </w:pPr>
            <w:r>
              <w:rPr>
                <w:rFonts w:ascii="宋体" w:hAnsi="宋体" w:eastAsia="宋体"/>
                <w:sz w:val="16"/>
              </w:rPr>
              <w:t>—</w:t>
            </w:r>
          </w:p>
        </w:tc>
      </w:tr>
      <w:tr w14:paraId="5655A9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FD31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4E10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3397ED">
            <w:pPr>
              <w:jc w:val="center"/>
            </w:pPr>
            <w:r>
              <w:rPr>
                <w:rFonts w:ascii="宋体" w:hAnsi="宋体" w:eastAsia="宋体"/>
                <w:sz w:val="16"/>
              </w:rPr>
              <w:t>实际完成情况</w:t>
            </w:r>
          </w:p>
        </w:tc>
      </w:tr>
      <w:tr w14:paraId="320D8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AFE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DD0FAA">
            <w:pPr>
              <w:jc w:val="both"/>
            </w:pPr>
            <w:r>
              <w:rPr>
                <w:rFonts w:ascii="宋体" w:hAnsi="宋体" w:eastAsia="宋体"/>
                <w:sz w:val="16"/>
              </w:rPr>
              <w:t>通过农产品成本调查，为制定农产品价格、财政补贴、保险及农业支持</w:t>
            </w:r>
            <w:r>
              <w:rPr>
                <w:rFonts w:hint="eastAsia" w:ascii="宋体" w:hAnsi="宋体"/>
                <w:sz w:val="16"/>
                <w:lang w:eastAsia="zh-CN"/>
              </w:rPr>
              <w:t>政策</w:t>
            </w:r>
            <w:r>
              <w:rPr>
                <w:rFonts w:ascii="宋体" w:hAnsi="宋体" w:eastAsia="宋体"/>
                <w:sz w:val="16"/>
              </w:rPr>
              <w:t>提供参考数据，为建立农资综合补贴动态调整机制提供成本数据，为农业补贴的调整提供科学依据。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A9EE91">
            <w:pPr>
              <w:jc w:val="both"/>
            </w:pPr>
            <w:r>
              <w:rPr>
                <w:rFonts w:ascii="宋体" w:hAnsi="宋体" w:eastAsia="宋体"/>
                <w:sz w:val="16"/>
              </w:rPr>
              <w:t>通过开展5次农本实地调查，深入了解了农产品生产过程中的各项成本构成，包括人力、物力、土地等多方面投入，为后续分析提供了</w:t>
            </w:r>
            <w:r>
              <w:rPr>
                <w:rFonts w:hint="eastAsia" w:ascii="宋体" w:hAnsi="宋体"/>
                <w:sz w:val="16"/>
                <w:lang w:eastAsia="zh-CN"/>
              </w:rPr>
              <w:t>翔实</w:t>
            </w:r>
            <w:r>
              <w:rPr>
                <w:rFonts w:ascii="宋体" w:hAnsi="宋体" w:eastAsia="宋体"/>
                <w:sz w:val="16"/>
              </w:rPr>
              <w:t>的基础数据。同时，针对25种市场价格监测品种，建立了全面的价格监测体系，实现了价格监测预警100%的覆盖率，能够及时捕捉市场波动情况。此外，我们还确保了按要求上报成本数据及分析的及时率达到100%，为上级部门决策提供了及时准确的参考依据，也为农业补贴的调整提供了100%科学依据，助力农业政策的精准制定。从人员反馈来看，价格检测点</w:t>
            </w:r>
            <w:r>
              <w:rPr>
                <w:rFonts w:hint="eastAsia" w:ascii="宋体" w:hAnsi="宋体"/>
                <w:sz w:val="16"/>
                <w:lang w:eastAsia="zh-CN"/>
              </w:rPr>
              <w:t>单位</w:t>
            </w:r>
            <w:r>
              <w:rPr>
                <w:rFonts w:ascii="宋体" w:hAnsi="宋体" w:eastAsia="宋体"/>
                <w:sz w:val="16"/>
              </w:rPr>
              <w:t>人员满意度达到了100。</w:t>
            </w:r>
          </w:p>
        </w:tc>
      </w:tr>
      <w:tr w14:paraId="5D6970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D2F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E0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60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E2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8D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0FB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327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082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8CA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EC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CF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B4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C0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6303">
            <w:pPr>
              <w:jc w:val="center"/>
            </w:pPr>
            <w:r>
              <w:rPr>
                <w:rFonts w:ascii="宋体" w:hAnsi="宋体" w:eastAsia="宋体"/>
                <w:sz w:val="16"/>
              </w:rPr>
              <w:t>偏差原因分析及改进措施</w:t>
            </w:r>
          </w:p>
        </w:tc>
      </w:tr>
      <w:tr w14:paraId="550BD6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78E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82F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96A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A0E3">
            <w:pPr>
              <w:jc w:val="center"/>
            </w:pPr>
            <w:r>
              <w:rPr>
                <w:rFonts w:ascii="宋体" w:hAnsi="宋体" w:eastAsia="宋体"/>
                <w:sz w:val="16"/>
              </w:rPr>
              <w:t>开展农本实地调查次数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20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5BB3">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4199">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C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6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4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7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E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A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821F">
            <w:pPr>
              <w:jc w:val="center"/>
            </w:pPr>
          </w:p>
        </w:tc>
      </w:tr>
      <w:tr w14:paraId="6E056EF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29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C1E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CF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F814">
            <w:pPr>
              <w:jc w:val="center"/>
            </w:pPr>
            <w:r>
              <w:rPr>
                <w:rFonts w:ascii="宋体" w:hAnsi="宋体" w:eastAsia="宋体"/>
                <w:sz w:val="16"/>
              </w:rPr>
              <w:t>市场价格监测品种数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87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9F99">
            <w:pPr>
              <w:jc w:val="center"/>
            </w:pPr>
            <w:r>
              <w:rPr>
                <w:rFonts w:ascii="宋体" w:hAnsi="宋体" w:eastAsia="宋体"/>
                <w:sz w:val="16"/>
              </w:rPr>
              <w:t>=25类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5C13">
            <w:pPr>
              <w:jc w:val="center"/>
            </w:pPr>
            <w:r>
              <w:rPr>
                <w:rFonts w:ascii="宋体" w:hAnsi="宋体" w:eastAsia="宋体"/>
                <w:sz w:val="16"/>
              </w:rPr>
              <w:t>25类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F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90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7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4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08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D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0D65">
            <w:pPr>
              <w:jc w:val="center"/>
            </w:pPr>
          </w:p>
        </w:tc>
      </w:tr>
      <w:tr w14:paraId="7BF6D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BC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777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43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F1A3">
            <w:pPr>
              <w:jc w:val="center"/>
            </w:pPr>
            <w:r>
              <w:rPr>
                <w:rFonts w:ascii="宋体" w:hAnsi="宋体" w:eastAsia="宋体"/>
                <w:sz w:val="16"/>
              </w:rPr>
              <w:t>价格监测预警覆盖率（%）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7C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E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4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6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AE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D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89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5E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7B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A5A87">
            <w:pPr>
              <w:jc w:val="center"/>
            </w:pPr>
          </w:p>
        </w:tc>
      </w:tr>
      <w:tr w14:paraId="73D08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53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E44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AD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7288">
            <w:pPr>
              <w:jc w:val="center"/>
            </w:pPr>
            <w:r>
              <w:rPr>
                <w:rFonts w:ascii="宋体" w:hAnsi="宋体" w:eastAsia="宋体"/>
                <w:sz w:val="16"/>
              </w:rPr>
              <w:t>按要求上报成本数据及分析及时率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A4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0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2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34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23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B6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91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E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7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FC2E">
            <w:pPr>
              <w:jc w:val="center"/>
            </w:pPr>
          </w:p>
        </w:tc>
      </w:tr>
      <w:tr w14:paraId="006C8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99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D19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25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DAEB">
            <w:pPr>
              <w:jc w:val="center"/>
            </w:pPr>
            <w:r>
              <w:rPr>
                <w:rFonts w:ascii="宋体" w:hAnsi="宋体" w:eastAsia="宋体"/>
                <w:sz w:val="16"/>
              </w:rPr>
              <w:t>农产品调查工作成本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1D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2C17">
            <w:pPr>
              <w:jc w:val="center"/>
            </w:pPr>
            <w:r>
              <w:rPr>
                <w:rFonts w:ascii="宋体" w:hAnsi="宋体" w:eastAsia="宋体"/>
                <w:sz w:val="16"/>
              </w:rPr>
              <w: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92C2">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4A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EB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13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C3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E3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79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AC4F">
            <w:pPr>
              <w:jc w:val="center"/>
            </w:pPr>
          </w:p>
        </w:tc>
      </w:tr>
      <w:tr w14:paraId="21367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E1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AD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AB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D7F1">
            <w:pPr>
              <w:jc w:val="center"/>
            </w:pPr>
            <w:r>
              <w:rPr>
                <w:rFonts w:ascii="宋体" w:hAnsi="宋体" w:eastAsia="宋体"/>
                <w:sz w:val="16"/>
              </w:rPr>
              <w:t>为农业补贴的调整提供科学依据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6F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2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D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2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75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D3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7C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22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8A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867A">
            <w:pPr>
              <w:jc w:val="center"/>
            </w:pPr>
          </w:p>
        </w:tc>
      </w:tr>
      <w:tr w14:paraId="6A36B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38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4D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A2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5A8C">
            <w:pPr>
              <w:jc w:val="center"/>
            </w:pPr>
            <w:r>
              <w:rPr>
                <w:rFonts w:ascii="宋体" w:hAnsi="宋体" w:eastAsia="宋体"/>
                <w:sz w:val="16"/>
              </w:rPr>
              <w:t>价格检测点</w:t>
            </w:r>
            <w:r>
              <w:rPr>
                <w:rFonts w:hint="eastAsia" w:ascii="宋体" w:hAnsi="宋体"/>
                <w:sz w:val="16"/>
                <w:lang w:eastAsia="zh-CN"/>
              </w:rPr>
              <w:t>单位</w:t>
            </w: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9B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686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E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799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76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D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DC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77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E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136C">
            <w:pPr>
              <w:jc w:val="center"/>
            </w:pPr>
            <w:r>
              <w:rPr>
                <w:rFonts w:ascii="宋体" w:hAnsi="宋体" w:eastAsia="宋体"/>
                <w:sz w:val="16"/>
              </w:rPr>
              <w:t>在实际工作中，因工作开展较好，和市场主体配合度高，得到市场主体的肯定，满意度达到100%。下一年将制定高满意度，力争将满意度保持在100%。</w:t>
            </w:r>
          </w:p>
        </w:tc>
      </w:tr>
      <w:tr w14:paraId="68118E0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E2FC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0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2A07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C1D0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AB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4C9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C3A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CF2F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973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7999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E27D36"/>
        </w:tc>
      </w:tr>
    </w:tbl>
    <w:p w14:paraId="38BC78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5F019A38">
        <w:tblPrEx>
          <w:tblCellMar>
            <w:top w:w="0" w:type="dxa"/>
            <w:left w:w="108" w:type="dxa"/>
            <w:bottom w:w="0" w:type="dxa"/>
            <w:right w:w="108" w:type="dxa"/>
          </w:tblCellMar>
        </w:tblPrEx>
        <w:tc>
          <w:tcPr>
            <w:tcW w:w="8848" w:type="dxa"/>
            <w:gridSpan w:val="14"/>
            <w:vAlign w:val="center"/>
          </w:tcPr>
          <w:p w14:paraId="0A84ED08">
            <w:pPr>
              <w:jc w:val="center"/>
            </w:pPr>
            <w:r>
              <w:rPr>
                <w:rFonts w:ascii="宋体" w:hAnsi="宋体" w:eastAsia="宋体"/>
                <w:sz w:val="24"/>
              </w:rPr>
              <w:t>项目支出绩效自评表</w:t>
            </w:r>
          </w:p>
        </w:tc>
      </w:tr>
      <w:tr w14:paraId="340504BE">
        <w:tblPrEx>
          <w:tblCellMar>
            <w:top w:w="0" w:type="dxa"/>
            <w:left w:w="108" w:type="dxa"/>
            <w:bottom w:w="0" w:type="dxa"/>
            <w:right w:w="108" w:type="dxa"/>
          </w:tblCellMar>
        </w:tblPrEx>
        <w:tc>
          <w:tcPr>
            <w:tcW w:w="8848" w:type="dxa"/>
            <w:gridSpan w:val="14"/>
            <w:vAlign w:val="center"/>
          </w:tcPr>
          <w:p w14:paraId="7C1DB524">
            <w:pPr>
              <w:jc w:val="center"/>
            </w:pPr>
            <w:r>
              <w:rPr>
                <w:rFonts w:ascii="宋体" w:hAnsi="宋体" w:eastAsia="宋体"/>
                <w:sz w:val="24"/>
              </w:rPr>
              <w:t>(2024年度)</w:t>
            </w:r>
          </w:p>
        </w:tc>
      </w:tr>
      <w:tr w14:paraId="1945B5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D6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2C8D75">
            <w:pPr>
              <w:jc w:val="center"/>
            </w:pPr>
            <w:r>
              <w:rPr>
                <w:rFonts w:ascii="宋体" w:hAnsi="宋体" w:eastAsia="宋体"/>
                <w:sz w:val="16"/>
              </w:rPr>
              <w:t>特克斯县县级地方储备及应急成品粮油费用补贴</w:t>
            </w:r>
          </w:p>
        </w:tc>
      </w:tr>
      <w:tr w14:paraId="4C0D5B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9B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395FE">
            <w:pPr>
              <w:jc w:val="center"/>
            </w:pPr>
            <w:r>
              <w:rPr>
                <w:rFonts w:ascii="宋体" w:hAnsi="宋体" w:eastAsia="宋体"/>
                <w:sz w:val="16"/>
              </w:rPr>
              <w:t>特克斯县发展和改革委员会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31D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02D15C">
            <w:pPr>
              <w:jc w:val="center"/>
            </w:pPr>
            <w:r>
              <w:rPr>
                <w:rFonts w:ascii="宋体" w:hAnsi="宋体" w:eastAsia="宋体"/>
                <w:sz w:val="16"/>
              </w:rPr>
              <w:t>特克斯县发展和改革委员会</w:t>
            </w:r>
          </w:p>
        </w:tc>
      </w:tr>
      <w:tr w14:paraId="2ABB5D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AB9E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305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EAB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D27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D22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6C6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8E8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F3AA">
            <w:pPr>
              <w:jc w:val="center"/>
            </w:pPr>
            <w:r>
              <w:rPr>
                <w:rFonts w:ascii="宋体" w:hAnsi="宋体" w:eastAsia="宋体"/>
                <w:sz w:val="16"/>
              </w:rPr>
              <w:t>得分</w:t>
            </w:r>
          </w:p>
        </w:tc>
      </w:tr>
      <w:tr w14:paraId="2261D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0CD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9ED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51AD7">
            <w:pPr>
              <w:jc w:val="center"/>
            </w:pPr>
            <w:r>
              <w:rPr>
                <w:rFonts w:ascii="宋体" w:hAnsi="宋体" w:eastAsia="宋体"/>
                <w:sz w:val="16"/>
              </w:rPr>
              <w:t>251.99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107C7">
            <w:pPr>
              <w:jc w:val="center"/>
            </w:pPr>
            <w:r>
              <w:rPr>
                <w:rFonts w:ascii="宋体" w:hAnsi="宋体" w:eastAsia="宋体"/>
                <w:sz w:val="16"/>
              </w:rPr>
              <w:t>251.99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CDAF4">
            <w:pPr>
              <w:jc w:val="center"/>
            </w:pPr>
            <w:r>
              <w:rPr>
                <w:rFonts w:ascii="宋体" w:hAnsi="宋体" w:eastAsia="宋体"/>
                <w:sz w:val="16"/>
              </w:rPr>
              <w:t>251.99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D20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DE26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EAD9">
            <w:pPr>
              <w:jc w:val="center"/>
            </w:pPr>
            <w:r>
              <w:rPr>
                <w:rFonts w:ascii="宋体" w:hAnsi="宋体" w:eastAsia="宋体"/>
                <w:sz w:val="16"/>
              </w:rPr>
              <w:t>10.00</w:t>
            </w:r>
          </w:p>
        </w:tc>
      </w:tr>
      <w:tr w14:paraId="463B14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5ED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E27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F681F">
            <w:pPr>
              <w:jc w:val="center"/>
            </w:pPr>
            <w:r>
              <w:rPr>
                <w:rFonts w:ascii="宋体" w:hAnsi="宋体" w:eastAsia="宋体"/>
                <w:sz w:val="16"/>
              </w:rPr>
              <w:t>251.99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FF5EB">
            <w:pPr>
              <w:jc w:val="center"/>
            </w:pPr>
            <w:r>
              <w:rPr>
                <w:rFonts w:ascii="宋体" w:hAnsi="宋体" w:eastAsia="宋体"/>
                <w:sz w:val="16"/>
              </w:rPr>
              <w:t>251.99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30B86">
            <w:pPr>
              <w:jc w:val="center"/>
            </w:pPr>
            <w:r>
              <w:rPr>
                <w:rFonts w:ascii="宋体" w:hAnsi="宋体" w:eastAsia="宋体"/>
                <w:sz w:val="16"/>
              </w:rPr>
              <w:t>251.99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C2A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EB7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8EAF">
            <w:pPr>
              <w:jc w:val="center"/>
            </w:pPr>
            <w:r>
              <w:rPr>
                <w:rFonts w:ascii="宋体" w:hAnsi="宋体" w:eastAsia="宋体"/>
                <w:sz w:val="16"/>
              </w:rPr>
              <w:t>—</w:t>
            </w:r>
          </w:p>
        </w:tc>
      </w:tr>
      <w:tr w14:paraId="2F7BA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605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702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DD6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350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68B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764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2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516A">
            <w:pPr>
              <w:jc w:val="center"/>
            </w:pPr>
            <w:r>
              <w:rPr>
                <w:rFonts w:ascii="宋体" w:hAnsi="宋体" w:eastAsia="宋体"/>
                <w:sz w:val="16"/>
              </w:rPr>
              <w:t>—</w:t>
            </w:r>
          </w:p>
        </w:tc>
      </w:tr>
      <w:tr w14:paraId="416B71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7C38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3ED4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9643FF">
            <w:pPr>
              <w:jc w:val="center"/>
            </w:pPr>
            <w:r>
              <w:rPr>
                <w:rFonts w:ascii="宋体" w:hAnsi="宋体" w:eastAsia="宋体"/>
                <w:sz w:val="16"/>
              </w:rPr>
              <w:t>实际完成情况</w:t>
            </w:r>
          </w:p>
        </w:tc>
      </w:tr>
      <w:tr w14:paraId="06BA8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1FA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818CB">
            <w:pPr>
              <w:jc w:val="both"/>
            </w:pPr>
            <w:r>
              <w:rPr>
                <w:rFonts w:ascii="宋体" w:hAnsi="宋体" w:eastAsia="宋体"/>
                <w:sz w:val="16"/>
              </w:rPr>
              <w:t>完成粮食储备任务，确保数量、质量安全。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565957">
            <w:pPr>
              <w:jc w:val="both"/>
            </w:pPr>
            <w:r>
              <w:rPr>
                <w:rFonts w:ascii="宋体" w:hAnsi="宋体" w:eastAsia="宋体"/>
                <w:sz w:val="16"/>
              </w:rPr>
              <w:t>完成县级地方储备粮及应急成品粮油储备及轮换工作，确保粮食质量安全，储备粮均达到国家粮食收购标准，促进粮食市场价格平稳，对保障区域粮食安全发挥积极作用，达到应急状态下的粮食市场供应，保障社会稳定和经济发展。</w:t>
            </w:r>
          </w:p>
        </w:tc>
      </w:tr>
      <w:tr w14:paraId="3CC67D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7C3E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95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10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A3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8E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090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26B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BAA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6AC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17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30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25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38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1444">
            <w:pPr>
              <w:jc w:val="center"/>
            </w:pPr>
            <w:r>
              <w:rPr>
                <w:rFonts w:ascii="宋体" w:hAnsi="宋体" w:eastAsia="宋体"/>
                <w:sz w:val="16"/>
              </w:rPr>
              <w:t>偏差原因分析及改进措施</w:t>
            </w:r>
          </w:p>
        </w:tc>
      </w:tr>
      <w:tr w14:paraId="206412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C99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11F2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27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638D">
            <w:pPr>
              <w:jc w:val="center"/>
            </w:pPr>
            <w:r>
              <w:rPr>
                <w:rFonts w:ascii="宋体" w:hAnsi="宋体" w:eastAsia="宋体"/>
                <w:sz w:val="16"/>
              </w:rPr>
              <w:t>储备物资收购数(吨)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A2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4465">
            <w:pPr>
              <w:jc w:val="center"/>
            </w:pPr>
            <w:r>
              <w:rPr>
                <w:rFonts w:ascii="宋体" w:hAnsi="宋体" w:eastAsia="宋体"/>
                <w:sz w:val="16"/>
              </w:rPr>
              <w:t>=0.52万吨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BFA5">
            <w:pPr>
              <w:jc w:val="center"/>
            </w:pPr>
            <w:r>
              <w:rPr>
                <w:rFonts w:ascii="宋体" w:hAnsi="宋体" w:eastAsia="宋体"/>
                <w:sz w:val="16"/>
              </w:rPr>
              <w:t>0.52万吨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9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E8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34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7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E0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7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4BA6">
            <w:pPr>
              <w:jc w:val="center"/>
            </w:pPr>
          </w:p>
        </w:tc>
      </w:tr>
      <w:tr w14:paraId="5FDAD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B5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FD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FC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B1B7">
            <w:pPr>
              <w:jc w:val="center"/>
            </w:pPr>
            <w:r>
              <w:rPr>
                <w:rFonts w:ascii="宋体" w:hAnsi="宋体" w:eastAsia="宋体"/>
                <w:sz w:val="16"/>
              </w:rPr>
              <w:t>储备粮质量达标率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C4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8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C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B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96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6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C8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D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FC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BE11">
            <w:pPr>
              <w:jc w:val="center"/>
            </w:pPr>
          </w:p>
        </w:tc>
      </w:tr>
      <w:tr w14:paraId="142EF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C8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A87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33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4D19">
            <w:pPr>
              <w:jc w:val="center"/>
            </w:pPr>
            <w:r>
              <w:rPr>
                <w:rFonts w:ascii="宋体" w:hAnsi="宋体" w:eastAsia="宋体"/>
                <w:sz w:val="16"/>
              </w:rPr>
              <w:t>保障区域粮食安全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15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F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8F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B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63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8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29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72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B3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D0A2">
            <w:pPr>
              <w:jc w:val="center"/>
            </w:pPr>
          </w:p>
        </w:tc>
      </w:tr>
      <w:tr w14:paraId="55EE0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991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837A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DB1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1452">
            <w:pPr>
              <w:jc w:val="center"/>
            </w:pPr>
            <w:r>
              <w:rPr>
                <w:rFonts w:ascii="宋体" w:hAnsi="宋体" w:eastAsia="宋体"/>
                <w:sz w:val="16"/>
              </w:rPr>
              <w:t>利息费用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C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DD07">
            <w:pPr>
              <w:jc w:val="center"/>
            </w:pPr>
            <w:r>
              <w:rPr>
                <w:rFonts w:ascii="宋体" w:hAnsi="宋体" w:eastAsia="宋体"/>
                <w:sz w:val="16"/>
              </w:rPr>
              <w:t>=91.51万元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B308">
            <w:pPr>
              <w:jc w:val="center"/>
            </w:pPr>
            <w:r>
              <w:rPr>
                <w:rFonts w:ascii="宋体" w:hAnsi="宋体" w:eastAsia="宋体"/>
                <w:sz w:val="16"/>
              </w:rPr>
              <w:t>91.51万元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8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C3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EA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35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9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6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FB2B">
            <w:pPr>
              <w:jc w:val="center"/>
            </w:pPr>
          </w:p>
        </w:tc>
      </w:tr>
      <w:tr w14:paraId="38DF0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B2E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2B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88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4BBD">
            <w:pPr>
              <w:jc w:val="center"/>
            </w:pPr>
            <w:r>
              <w:rPr>
                <w:rFonts w:ascii="宋体" w:hAnsi="宋体" w:eastAsia="宋体"/>
                <w:sz w:val="16"/>
              </w:rPr>
              <w:t>储备粮油保管费用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00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B41C">
            <w:pPr>
              <w:jc w:val="center"/>
            </w:pPr>
            <w:r>
              <w:rPr>
                <w:rFonts w:ascii="宋体" w:hAnsi="宋体" w:eastAsia="宋体"/>
                <w:sz w:val="16"/>
              </w:rPr>
              <w:t>=88.93万元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4CA6">
            <w:pPr>
              <w:jc w:val="center"/>
            </w:pPr>
            <w:r>
              <w:rPr>
                <w:rFonts w:ascii="宋体" w:hAnsi="宋体" w:eastAsia="宋体"/>
                <w:sz w:val="16"/>
              </w:rPr>
              <w:t>88.93万元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3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D4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FB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9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AB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F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CE97">
            <w:pPr>
              <w:jc w:val="center"/>
            </w:pPr>
          </w:p>
        </w:tc>
      </w:tr>
      <w:tr w14:paraId="120CB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07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18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BB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D273">
            <w:pPr>
              <w:jc w:val="center"/>
            </w:pPr>
            <w:r>
              <w:rPr>
                <w:rFonts w:ascii="宋体" w:hAnsi="宋体" w:eastAsia="宋体"/>
                <w:sz w:val="16"/>
              </w:rPr>
              <w:t>轮换费用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F3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7259">
            <w:pPr>
              <w:jc w:val="center"/>
            </w:pPr>
            <w:r>
              <w:rPr>
                <w:rFonts w:ascii="宋体" w:hAnsi="宋体" w:eastAsia="宋体"/>
                <w:sz w:val="16"/>
              </w:rPr>
              <w:t>=71.55万元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A955">
            <w:pPr>
              <w:jc w:val="center"/>
            </w:pPr>
            <w:r>
              <w:rPr>
                <w:rFonts w:ascii="宋体" w:hAnsi="宋体" w:eastAsia="宋体"/>
                <w:sz w:val="16"/>
              </w:rPr>
              <w:t>71.55万元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2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A2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C8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7D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3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6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C69A">
            <w:pPr>
              <w:jc w:val="center"/>
            </w:pPr>
          </w:p>
        </w:tc>
      </w:tr>
      <w:tr w14:paraId="4B0DE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EF4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3F9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5B3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DF31">
            <w:pPr>
              <w:jc w:val="center"/>
            </w:pPr>
            <w:r>
              <w:rPr>
                <w:rFonts w:ascii="宋体" w:hAnsi="宋体" w:eastAsia="宋体"/>
                <w:sz w:val="16"/>
              </w:rPr>
              <w:t>粮食市场价格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0D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B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2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C9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56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F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88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1B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908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916D">
            <w:pPr>
              <w:jc w:val="center"/>
            </w:pPr>
          </w:p>
        </w:tc>
      </w:tr>
      <w:tr w14:paraId="0A317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02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E4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01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A63D">
            <w:pPr>
              <w:jc w:val="center"/>
            </w:pPr>
            <w:r>
              <w:rPr>
                <w:rFonts w:ascii="宋体" w:hAnsi="宋体" w:eastAsia="宋体"/>
                <w:sz w:val="16"/>
              </w:rPr>
              <w:t>促进粮食市场价格平稳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74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4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1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C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5E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C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F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EA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C16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7798">
            <w:pPr>
              <w:jc w:val="center"/>
            </w:pPr>
          </w:p>
        </w:tc>
      </w:tr>
      <w:tr w14:paraId="77967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B52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B7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2A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14FD">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9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12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52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E5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6B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80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2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53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B5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F242">
            <w:pPr>
              <w:jc w:val="center"/>
            </w:pPr>
          </w:p>
        </w:tc>
      </w:tr>
      <w:tr w14:paraId="7F734F5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D966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5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7870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E91B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DB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FBED">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9C42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37A5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A4F8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719D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A997C8"/>
        </w:tc>
      </w:tr>
    </w:tbl>
    <w:p w14:paraId="00A5AD36">
      <w:r>
        <w:br w:type="page"/>
      </w:r>
    </w:p>
    <w:p w14:paraId="5DF65BDE">
      <w:pPr>
        <w:spacing w:line="640" w:lineRule="exact"/>
        <w:ind w:firstLine="640"/>
        <w:jc w:val="both"/>
        <w:outlineLvl w:val="2"/>
      </w:pPr>
      <w:r>
        <w:rPr>
          <w:rFonts w:ascii="黑体" w:hAnsi="黑体" w:eastAsia="黑体"/>
          <w:sz w:val="32"/>
        </w:rPr>
        <w:t>十二、其他需说明的事项</w:t>
      </w:r>
    </w:p>
    <w:p w14:paraId="4BEA294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BDCE547">
      <w:r>
        <w:br w:type="page"/>
      </w:r>
    </w:p>
    <w:p w14:paraId="0F33683D">
      <w:pPr>
        <w:spacing w:line="240" w:lineRule="auto"/>
        <w:jc w:val="center"/>
        <w:outlineLvl w:val="1"/>
      </w:pPr>
      <w:r>
        <w:rPr>
          <w:rFonts w:ascii="黑体" w:hAnsi="黑体" w:eastAsia="黑体"/>
          <w:sz w:val="32"/>
        </w:rPr>
        <w:t>第三部分 专业名词解释</w:t>
      </w:r>
    </w:p>
    <w:p w14:paraId="632CC1A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64551D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8C25F8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440F9C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0C040C6">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6FFB61F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42742F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44DE2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430C4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ACC2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3DA3D6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53F9E56C">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98DA81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F6E165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A60BD67">
      <w:r>
        <w:br w:type="page"/>
      </w:r>
    </w:p>
    <w:p w14:paraId="68D1C525">
      <w:pPr>
        <w:spacing w:line="240" w:lineRule="auto"/>
        <w:jc w:val="center"/>
        <w:outlineLvl w:val="1"/>
      </w:pPr>
      <w:r>
        <w:rPr>
          <w:rFonts w:ascii="黑体" w:hAnsi="黑体" w:eastAsia="黑体"/>
          <w:sz w:val="32"/>
        </w:rPr>
        <w:t>第四部分 部门决算报表（见附表）</w:t>
      </w:r>
    </w:p>
    <w:p w14:paraId="08E26222">
      <w:pPr>
        <w:spacing w:line="240" w:lineRule="auto"/>
        <w:ind w:firstLine="640"/>
        <w:jc w:val="both"/>
      </w:pPr>
      <w:r>
        <w:rPr>
          <w:rFonts w:ascii="仿宋_GB2312" w:hAnsi="仿宋_GB2312" w:eastAsia="仿宋_GB2312"/>
          <w:b w:val="0"/>
          <w:sz w:val="32"/>
        </w:rPr>
        <w:t>一、《收入支出决算总表》</w:t>
      </w:r>
    </w:p>
    <w:p w14:paraId="73C4B8E4">
      <w:pPr>
        <w:spacing w:line="240" w:lineRule="auto"/>
        <w:ind w:firstLine="640"/>
        <w:jc w:val="both"/>
      </w:pPr>
      <w:r>
        <w:rPr>
          <w:rFonts w:ascii="仿宋_GB2312" w:hAnsi="仿宋_GB2312" w:eastAsia="仿宋_GB2312"/>
          <w:b w:val="0"/>
          <w:sz w:val="32"/>
        </w:rPr>
        <w:t>二、《收入决算表》</w:t>
      </w:r>
    </w:p>
    <w:p w14:paraId="7DC64E79">
      <w:pPr>
        <w:spacing w:line="240" w:lineRule="auto"/>
        <w:ind w:firstLine="640"/>
        <w:jc w:val="both"/>
      </w:pPr>
      <w:r>
        <w:rPr>
          <w:rFonts w:ascii="仿宋_GB2312" w:hAnsi="仿宋_GB2312" w:eastAsia="仿宋_GB2312"/>
          <w:b w:val="0"/>
          <w:sz w:val="32"/>
        </w:rPr>
        <w:t>三、《支出决算表》</w:t>
      </w:r>
    </w:p>
    <w:p w14:paraId="05202A49">
      <w:pPr>
        <w:spacing w:line="240" w:lineRule="auto"/>
        <w:ind w:firstLine="640"/>
        <w:jc w:val="both"/>
      </w:pPr>
      <w:r>
        <w:rPr>
          <w:rFonts w:ascii="仿宋_GB2312" w:hAnsi="仿宋_GB2312" w:eastAsia="仿宋_GB2312"/>
          <w:b w:val="0"/>
          <w:sz w:val="32"/>
        </w:rPr>
        <w:t>四、《财政拨款收入支出决算总表》</w:t>
      </w:r>
    </w:p>
    <w:p w14:paraId="704426D6">
      <w:pPr>
        <w:spacing w:line="240" w:lineRule="auto"/>
        <w:ind w:firstLine="640"/>
        <w:jc w:val="both"/>
      </w:pPr>
      <w:r>
        <w:rPr>
          <w:rFonts w:ascii="仿宋_GB2312" w:hAnsi="仿宋_GB2312" w:eastAsia="仿宋_GB2312"/>
          <w:b w:val="0"/>
          <w:sz w:val="32"/>
        </w:rPr>
        <w:t>五、《一般公共预算财政拨款支出决算表》</w:t>
      </w:r>
    </w:p>
    <w:p w14:paraId="38081BA3">
      <w:pPr>
        <w:spacing w:line="240" w:lineRule="auto"/>
        <w:ind w:firstLine="640"/>
        <w:jc w:val="both"/>
      </w:pPr>
      <w:r>
        <w:rPr>
          <w:rFonts w:ascii="仿宋_GB2312" w:hAnsi="仿宋_GB2312" w:eastAsia="仿宋_GB2312"/>
          <w:b w:val="0"/>
          <w:sz w:val="32"/>
        </w:rPr>
        <w:t>六、《一般公共预算财政拨款基本支出决算表》</w:t>
      </w:r>
    </w:p>
    <w:p w14:paraId="5355CF39">
      <w:pPr>
        <w:spacing w:line="240" w:lineRule="auto"/>
        <w:ind w:firstLine="640"/>
        <w:jc w:val="both"/>
      </w:pPr>
      <w:r>
        <w:rPr>
          <w:rFonts w:ascii="仿宋_GB2312" w:hAnsi="仿宋_GB2312" w:eastAsia="仿宋_GB2312"/>
          <w:b w:val="0"/>
          <w:sz w:val="32"/>
        </w:rPr>
        <w:t>七、《政府性基金预算财政拨款收入支出决算表》</w:t>
      </w:r>
    </w:p>
    <w:p w14:paraId="76839B48">
      <w:pPr>
        <w:spacing w:line="240" w:lineRule="auto"/>
        <w:ind w:firstLine="640"/>
        <w:jc w:val="both"/>
      </w:pPr>
      <w:r>
        <w:rPr>
          <w:rFonts w:ascii="仿宋_GB2312" w:hAnsi="仿宋_GB2312" w:eastAsia="仿宋_GB2312"/>
          <w:b w:val="0"/>
          <w:sz w:val="32"/>
        </w:rPr>
        <w:t>八、《国有资本经营预算财政拨款收入支出决算表》</w:t>
      </w:r>
    </w:p>
    <w:p w14:paraId="32593E95">
      <w:pPr>
        <w:spacing w:line="240" w:lineRule="auto"/>
        <w:ind w:firstLine="640"/>
        <w:jc w:val="both"/>
      </w:pPr>
      <w:r>
        <w:rPr>
          <w:rFonts w:ascii="仿宋_GB2312" w:hAnsi="仿宋_GB2312" w:eastAsia="仿宋_GB2312"/>
          <w:b w:val="0"/>
          <w:sz w:val="32"/>
        </w:rPr>
        <w:t>九、《财政拨款“三公”经费支出决算表》</w:t>
      </w:r>
    </w:p>
    <w:p w14:paraId="66E9FB0C">
      <w:pPr>
        <w:spacing w:line="240" w:lineRule="auto"/>
        <w:ind w:firstLine="640"/>
        <w:jc w:val="both"/>
      </w:pPr>
    </w:p>
    <w:p w14:paraId="4CCDF3C2">
      <w:pPr>
        <w:spacing w:line="240" w:lineRule="auto"/>
        <w:ind w:firstLine="640"/>
        <w:jc w:val="both"/>
      </w:pPr>
    </w:p>
    <w:p w14:paraId="2CF4958E">
      <w:pPr>
        <w:spacing w:line="240" w:lineRule="auto"/>
        <w:ind w:firstLine="640"/>
        <w:jc w:val="both"/>
      </w:pPr>
    </w:p>
    <w:p w14:paraId="265E5984">
      <w:pPr>
        <w:spacing w:line="240" w:lineRule="auto"/>
        <w:ind w:firstLine="640"/>
        <w:jc w:val="both"/>
      </w:pPr>
    </w:p>
    <w:p w14:paraId="2DDBC5C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086C64"/>
    <w:rsid w:val="021B7195"/>
    <w:rsid w:val="02F73D26"/>
    <w:rsid w:val="034D4FEF"/>
    <w:rsid w:val="043E5B56"/>
    <w:rsid w:val="06792773"/>
    <w:rsid w:val="09A729D8"/>
    <w:rsid w:val="0A3C58E8"/>
    <w:rsid w:val="0A7B4867"/>
    <w:rsid w:val="0B8C3ECC"/>
    <w:rsid w:val="0C3613A3"/>
    <w:rsid w:val="0C7227A7"/>
    <w:rsid w:val="0DCA6EF7"/>
    <w:rsid w:val="0E4B1576"/>
    <w:rsid w:val="0EA04331"/>
    <w:rsid w:val="0EBC4BEA"/>
    <w:rsid w:val="0F9811B3"/>
    <w:rsid w:val="10AE35A2"/>
    <w:rsid w:val="11E15093"/>
    <w:rsid w:val="120E0809"/>
    <w:rsid w:val="13DF1AA7"/>
    <w:rsid w:val="16DC051F"/>
    <w:rsid w:val="19071D6C"/>
    <w:rsid w:val="19B5554D"/>
    <w:rsid w:val="1B8F2D19"/>
    <w:rsid w:val="1C317E4F"/>
    <w:rsid w:val="1C472464"/>
    <w:rsid w:val="1DAF458D"/>
    <w:rsid w:val="1E086ACE"/>
    <w:rsid w:val="1E4B5CA5"/>
    <w:rsid w:val="1EAA4A5F"/>
    <w:rsid w:val="1F587A0B"/>
    <w:rsid w:val="2064678E"/>
    <w:rsid w:val="207D68CF"/>
    <w:rsid w:val="20BC0B75"/>
    <w:rsid w:val="20CC65BF"/>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2509B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8449BE"/>
    <w:rsid w:val="4F3F074E"/>
    <w:rsid w:val="50DB5F45"/>
    <w:rsid w:val="52F92565"/>
    <w:rsid w:val="543D17CB"/>
    <w:rsid w:val="55DA564E"/>
    <w:rsid w:val="56E07045"/>
    <w:rsid w:val="583059FA"/>
    <w:rsid w:val="587E6212"/>
    <w:rsid w:val="59A65848"/>
    <w:rsid w:val="5AFC6609"/>
    <w:rsid w:val="5C412EF8"/>
    <w:rsid w:val="5E413D91"/>
    <w:rsid w:val="5ED864A3"/>
    <w:rsid w:val="5FA17648"/>
    <w:rsid w:val="5FD320BD"/>
    <w:rsid w:val="60DE4D57"/>
    <w:rsid w:val="613409CB"/>
    <w:rsid w:val="61A46A97"/>
    <w:rsid w:val="62DD7D21"/>
    <w:rsid w:val="65D97752"/>
    <w:rsid w:val="664C500C"/>
    <w:rsid w:val="67D111AB"/>
    <w:rsid w:val="68DB0208"/>
    <w:rsid w:val="68DF36D5"/>
    <w:rsid w:val="69846A0E"/>
    <w:rsid w:val="69A63970"/>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2D2315"/>
    <w:rsid w:val="76660D7C"/>
    <w:rsid w:val="77ED6F44"/>
    <w:rsid w:val="795A0A34"/>
    <w:rsid w:val="7A0D3BC7"/>
    <w:rsid w:val="7A3A3CDB"/>
    <w:rsid w:val="7A6133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7f13c9-fc60-4458-b20f-14ee76d0e82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6550</Words>
  <Characters>7382</Characters>
  <Lines>0</Lines>
  <Paragraphs>0</Paragraphs>
  <TotalTime>7</TotalTime>
  <ScaleCrop>false</ScaleCrop>
  <LinksUpToDate>false</LinksUpToDate>
  <CharactersWithSpaces>7390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