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F79CA"/>
    <w:p w14:paraId="4AFA13C7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31D6898B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7B9B4DC0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2D345E9">
      <w:pPr>
        <w:spacing w:line="540" w:lineRule="exact"/>
        <w:jc w:val="center"/>
        <w:rPr>
          <w:rFonts w:eastAsia="方正小标宋_GBK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  <w:t>2024年中央医疗服务与保障能力提升（医疗卫生机构能力建设）补助资金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4D33187E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2D988C5C">
      <w:pPr>
        <w:spacing w:line="540" w:lineRule="exact"/>
        <w:jc w:val="center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2"/>
          <w:szCs w:val="32"/>
        </w:rPr>
        <w:t>（2024年度）</w:t>
      </w:r>
    </w:p>
    <w:p w14:paraId="02D255A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D9BF26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66DEAE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3E35FCB1">
      <w:pPr>
        <w:pStyle w:val="11"/>
        <w:rPr>
          <w:rFonts w:ascii="Times New Roman" w:hAnsi="Times New Roman"/>
        </w:rPr>
      </w:pPr>
    </w:p>
    <w:p w14:paraId="0C40ED1E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D0152EE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565EFB61">
      <w:pPr>
        <w:spacing w:line="700" w:lineRule="exact"/>
        <w:ind w:left="2877" w:leftChars="608" w:hanging="1600" w:hangingChars="5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eastAsia="仿宋_GB2312"/>
          <w:kern w:val="0"/>
          <w:sz w:val="32"/>
          <w:szCs w:val="32"/>
        </w:rPr>
        <w:t>项目名称：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2024年中央医疗服务与保障能力提升（医疗卫生机构能力建设）补助资金项目</w:t>
      </w:r>
    </w:p>
    <w:p w14:paraId="39DC5BBE">
      <w:pPr>
        <w:spacing w:line="700" w:lineRule="exact"/>
        <w:ind w:firstLine="1280" w:firstLineChars="400"/>
        <w:jc w:val="left"/>
        <w:rPr>
          <w:rFonts w:hint="eastAsia" w:eastAsia="仿宋_GB2312"/>
          <w:kern w:val="0"/>
          <w:sz w:val="32"/>
          <w:szCs w:val="32"/>
          <w:lang w:val="en-US" w:eastAsia="zh-CN"/>
        </w:rPr>
      </w:pPr>
      <w:r>
        <w:rPr>
          <w:rFonts w:eastAsia="仿宋_GB2312"/>
          <w:kern w:val="0"/>
          <w:sz w:val="32"/>
          <w:szCs w:val="32"/>
        </w:rPr>
        <w:t>实施单位（公章）：</w:t>
      </w:r>
      <w:r>
        <w:rPr>
          <w:rFonts w:hint="eastAsia" w:eastAsia="仿宋_GB2312"/>
          <w:kern w:val="0"/>
          <w:sz w:val="32"/>
          <w:szCs w:val="32"/>
          <w:lang w:eastAsia="zh-CN"/>
        </w:rPr>
        <w:t>特克斯县喀拉达拉镇卫生院</w:t>
      </w:r>
    </w:p>
    <w:p w14:paraId="083D5B84">
      <w:pPr>
        <w:spacing w:line="700" w:lineRule="exact"/>
        <w:ind w:firstLine="1280" w:firstLineChars="400"/>
        <w:jc w:val="left"/>
        <w:rPr>
          <w:rFonts w:hint="eastAsia" w:eastAsia="仿宋_GB2312"/>
          <w:kern w:val="0"/>
          <w:sz w:val="32"/>
          <w:szCs w:val="32"/>
          <w:lang w:eastAsia="zh-CN"/>
        </w:rPr>
      </w:pPr>
      <w:r>
        <w:rPr>
          <w:rFonts w:eastAsia="仿宋_GB2312"/>
          <w:kern w:val="0"/>
          <w:sz w:val="32"/>
          <w:szCs w:val="32"/>
        </w:rPr>
        <w:t>主管部门（公章）：</w:t>
      </w:r>
      <w:r>
        <w:rPr>
          <w:rFonts w:hint="eastAsia" w:eastAsia="仿宋_GB2312"/>
          <w:kern w:val="0"/>
          <w:sz w:val="32"/>
          <w:szCs w:val="32"/>
          <w:lang w:eastAsia="zh-CN"/>
        </w:rPr>
        <w:t>特克斯县卫生健康委员会</w:t>
      </w:r>
    </w:p>
    <w:p w14:paraId="0378CB02">
      <w:pPr>
        <w:spacing w:line="700" w:lineRule="exact"/>
        <w:ind w:firstLine="1280" w:firstLineChars="400"/>
        <w:jc w:val="left"/>
        <w:rPr>
          <w:rFonts w:hint="default" w:eastAsia="仿宋_GB2312"/>
          <w:kern w:val="0"/>
          <w:sz w:val="32"/>
          <w:szCs w:val="32"/>
          <w:lang w:val="en-US" w:eastAsia="zh-CN"/>
        </w:rPr>
      </w:pPr>
      <w:r>
        <w:rPr>
          <w:rFonts w:eastAsia="仿宋_GB2312"/>
          <w:kern w:val="0"/>
          <w:sz w:val="32"/>
          <w:szCs w:val="32"/>
        </w:rPr>
        <w:t>项目负责人（签章）：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祖白达</w:t>
      </w:r>
    </w:p>
    <w:p w14:paraId="2607328D">
      <w:pPr>
        <w:spacing w:line="700" w:lineRule="exact"/>
        <w:ind w:firstLine="1280" w:firstLineChars="400"/>
        <w:jc w:val="left"/>
        <w:rPr>
          <w:rFonts w:eastAsia="仿宋_GB2312"/>
          <w:kern w:val="0"/>
          <w:sz w:val="30"/>
          <w:szCs w:val="30"/>
        </w:rPr>
      </w:pPr>
      <w:r>
        <w:rPr>
          <w:rFonts w:eastAsia="仿宋_GB2312"/>
          <w:kern w:val="0"/>
          <w:sz w:val="32"/>
          <w:szCs w:val="32"/>
        </w:rPr>
        <w:t>填报时间：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2025</w:t>
      </w:r>
      <w:r>
        <w:rPr>
          <w:rFonts w:eastAsia="仿宋_GB2312"/>
          <w:kern w:val="0"/>
          <w:sz w:val="32"/>
          <w:szCs w:val="32"/>
        </w:rPr>
        <w:t>年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5</w:t>
      </w:r>
      <w:r>
        <w:rPr>
          <w:rFonts w:eastAsia="仿宋_GB2312"/>
          <w:kern w:val="0"/>
          <w:sz w:val="32"/>
          <w:szCs w:val="32"/>
        </w:rPr>
        <w:t>月</w:t>
      </w:r>
      <w:r>
        <w:rPr>
          <w:rFonts w:hint="eastAsia" w:eastAsia="仿宋_GB2312"/>
          <w:kern w:val="0"/>
          <w:sz w:val="32"/>
          <w:szCs w:val="32"/>
          <w:lang w:val="en-US" w:eastAsia="zh-CN"/>
        </w:rPr>
        <w:t>15</w:t>
      </w:r>
      <w:r>
        <w:rPr>
          <w:rFonts w:eastAsia="仿宋_GB2312"/>
          <w:kern w:val="0"/>
          <w:sz w:val="32"/>
          <w:szCs w:val="32"/>
        </w:rPr>
        <w:t>日</w:t>
      </w:r>
    </w:p>
    <w:p w14:paraId="27C473B9">
      <w:pPr>
        <w:tabs>
          <w:tab w:val="left" w:pos="708"/>
        </w:tabs>
        <w:bidi w:val="0"/>
        <w:jc w:val="left"/>
        <w:rPr>
          <w:lang w:val="en-US" w:eastAsia="zh-CN"/>
        </w:rPr>
        <w:sectPr>
          <w:pgSz w:w="11906" w:h="16838"/>
          <w:pgMar w:top="2098" w:right="1531" w:bottom="1984" w:left="1531" w:header="851" w:footer="992" w:gutter="0"/>
          <w:cols w:space="425" w:num="1"/>
          <w:docGrid w:type="lines" w:linePitch="312" w:charSpace="0"/>
        </w:sectPr>
      </w:pPr>
    </w:p>
    <w:p w14:paraId="25D1B754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5A420741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28128B6C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1.项目背景</w:t>
      </w:r>
    </w:p>
    <w:p w14:paraId="79C6B52C">
      <w:pPr>
        <w:pStyle w:val="11"/>
        <w:spacing w:before="0" w:after="0" w:line="560" w:lineRule="exact"/>
        <w:ind w:firstLine="640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随着乡村振兴战略推进，农村居民对医疗服务需求日益增长。为提升乡镇卫生院医疗服务能力，满足基层群众看病就医需求，2024年中央财政下达医疗服务能力提升资金，专项用于支持乡镇卫生院基础设施建设、设备购置等项目。</w:t>
      </w:r>
    </w:p>
    <w:p w14:paraId="06A2D540">
      <w:pPr>
        <w:pStyle w:val="11"/>
        <w:spacing w:before="0" w:after="0" w:line="560" w:lineRule="exact"/>
        <w:ind w:firstLine="643" w:firstLineChars="200"/>
        <w:jc w:val="both"/>
        <w:rPr>
          <w:rFonts w:ascii="Times New Roman" w:hAnsi="Times New Roman" w:eastAsia="仿宋_GB2312"/>
          <w:kern w:val="2"/>
        </w:rPr>
      </w:pPr>
      <w:r>
        <w:rPr>
          <w:rFonts w:ascii="Times New Roman" w:hAnsi="Times New Roman" w:eastAsia="仿宋_GB2312"/>
          <w:kern w:val="2"/>
        </w:rPr>
        <w:t>2.项目主要内容：</w:t>
      </w:r>
    </w:p>
    <w:p w14:paraId="477A593F">
      <w:pPr>
        <w:ind w:firstLine="640" w:firstLineChars="200"/>
        <w:rPr>
          <w:rFonts w:hint="eastAsi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项目主要内容：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中央医疗服务与保障能力提升（医疗卫生机构能力建设）补助资金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购置先进医疗设备，提升卫生院疾病诊断能力。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提高了医疗服务水平。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基础设施建设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对卫生院门诊楼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手术室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进行改造升级，完善配套设施，优化就医环境。</w:t>
      </w:r>
    </w:p>
    <w:p w14:paraId="627D042B">
      <w:pPr>
        <w:pStyle w:val="11"/>
        <w:spacing w:before="0" w:after="0" w:line="560" w:lineRule="exact"/>
        <w:ind w:firstLine="643" w:firstLineChars="200"/>
        <w:jc w:val="both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3.项目实施情况：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highlight w:val="none"/>
          <w:lang w:val="en-US" w:eastAsia="zh-CN" w:bidi="ar-SA"/>
        </w:rPr>
        <w:t>为提升乡镇卫生院医疗服务能力，满足基层群众看病就医需求，2024年中央财政下达医疗服务能力提升资金，专项用于支持乡镇卫生院基础设施建设及设备购置等项目。</w:t>
      </w:r>
    </w:p>
    <w:p w14:paraId="1CADB447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val="en-US" w:eastAsia="zh-CN"/>
        </w:rPr>
        <w:t>4</w:t>
      </w:r>
      <w:r>
        <w:rPr>
          <w:rFonts w:eastAsia="仿宋_GB2312"/>
          <w:b/>
          <w:bCs/>
          <w:sz w:val="32"/>
          <w:szCs w:val="32"/>
        </w:rPr>
        <w:t>.资金投入和使用情况</w:t>
      </w:r>
    </w:p>
    <w:p w14:paraId="669C6D4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（1）资金投入情况</w:t>
      </w:r>
    </w:p>
    <w:p w14:paraId="30C0525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万元，该项目资金已全部落实到位，资金来源为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其他资金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收入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0EBD1484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（2）资金使用情况</w:t>
      </w:r>
    </w:p>
    <w:p w14:paraId="63B90903">
      <w:pPr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该项目年初预算数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万元，全年预算数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万元，全年执行数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30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万元，预算执行率为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主要用于：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开展医疗服务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能力提升采购医疗设备及基础设施建设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</w:rPr>
        <w:t>等费用。</w:t>
      </w:r>
    </w:p>
    <w:p w14:paraId="70B336A4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3D23426C">
      <w:pPr>
        <w:numPr>
          <w:ilvl w:val="0"/>
          <w:numId w:val="0"/>
        </w:numPr>
        <w:spacing w:line="560" w:lineRule="exact"/>
        <w:ind w:left="638" w:leftChars="304" w:firstLine="0" w:firstLineChars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总体目标</w:t>
      </w:r>
    </w:p>
    <w:p w14:paraId="3D1C2449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16" w:firstLineChars="200"/>
        <w:textAlignment w:val="auto"/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2024年中央医疗服务与保障能力提升（医疗卫生机构能力建设）补助资金。</w:t>
      </w:r>
    </w:p>
    <w:p w14:paraId="08CC2501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320" w:firstLineChars="100"/>
        <w:textAlignment w:val="auto"/>
        <w:rPr>
          <w:rFonts w:eastAsia="仿宋_GB2312"/>
          <w:color w:val="FF0000"/>
          <w:sz w:val="30"/>
          <w:szCs w:val="30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阶段性目标</w:t>
      </w:r>
    </w:p>
    <w:p w14:paraId="7558494A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16" w:firstLineChars="200"/>
        <w:textAlignment w:val="auto"/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上半年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eastAsia="zh-CN"/>
        </w:rPr>
        <w:t>工作完成情况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：</w:t>
      </w:r>
    </w:p>
    <w:p w14:paraId="4FAF8330">
      <w:pPr>
        <w:shd w:val="clear" w:color="auto" w:fill="auto"/>
        <w:spacing w:line="600" w:lineRule="exact"/>
        <w:ind w:firstLine="616" w:firstLineChars="200"/>
        <w:outlineLvl w:val="0"/>
        <w:rPr>
          <w:rFonts w:hint="eastAsia" w:ascii="仿宋_GB2312" w:hAnsi="宋体" w:eastAsia="仿宋_GB2312" w:cs="宋体"/>
          <w:spacing w:val="-6"/>
          <w:kern w:val="0"/>
          <w:sz w:val="32"/>
          <w:szCs w:val="32"/>
          <w:u w:val="none" w:color="000000"/>
          <w:shd w:val="clear" w:color="auto" w:fill="FFFFFF"/>
          <w:lang w:val="en-US" w:eastAsia="zh-CN" w:bidi="ar-SA"/>
        </w:rPr>
      </w:pPr>
      <w:r>
        <w:rPr>
          <w:rFonts w:hint="eastAsia" w:ascii="仿宋_GB2312" w:hAnsi="宋体" w:eastAsia="仿宋_GB2312" w:cs="宋体"/>
          <w:spacing w:val="-6"/>
          <w:kern w:val="0"/>
          <w:sz w:val="32"/>
          <w:szCs w:val="32"/>
          <w:u w:val="none" w:color="000000"/>
          <w:shd w:val="clear" w:color="auto" w:fill="FFFFFF"/>
          <w:lang w:val="en-US" w:eastAsia="zh-CN" w:bidi="ar-SA"/>
        </w:rPr>
        <w:t>上半年未完成目标值，按照计划5月起对需采购的设备及设施建设进行三方询价流程办理采购。</w:t>
      </w:r>
    </w:p>
    <w:p w14:paraId="531133A7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下半年工作完成情况：</w:t>
      </w:r>
    </w:p>
    <w:p w14:paraId="7A1C177B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16" w:firstLineChars="200"/>
        <w:textAlignment w:val="auto"/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建设改造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</w:rPr>
        <w:t>截至202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4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</w:rPr>
        <w:t>年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8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</w:rPr>
        <w:t>月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指标完成值19.6万元/年,完成率75.38%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</w:rPr>
        <w:t>，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eastAsia="zh-CN"/>
        </w:rPr>
        <w:t>已完成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目标值</w:t>
      </w: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eastAsia="zh-CN"/>
        </w:rPr>
        <w:t>；</w:t>
      </w:r>
    </w:p>
    <w:p w14:paraId="35ADC87B"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540" w:lineRule="exact"/>
        <w:ind w:right="0" w:firstLine="616" w:firstLineChars="200"/>
        <w:textAlignment w:val="auto"/>
        <w:rPr>
          <w:rFonts w:hint="default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spacing w:val="-6"/>
          <w:sz w:val="32"/>
          <w:szCs w:val="32"/>
          <w:u w:val="none" w:color="000000"/>
          <w:shd w:val="clear" w:color="auto" w:fill="FFFFFF"/>
          <w:lang w:val="en-US" w:eastAsia="zh-CN"/>
        </w:rPr>
        <w:t>2、资金拨付及时率预期指标值100%，实际完成值100%完成率66.67%。已按序时进度正常开展所涉及的工作。</w:t>
      </w:r>
    </w:p>
    <w:p w14:paraId="4732D0CD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5C53FB2B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5FEBE0EF">
      <w:pPr>
        <w:pStyle w:val="11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1.绩效评价完整性</w:t>
      </w:r>
    </w:p>
    <w:p w14:paraId="422B0EDB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09D6B66E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  <w:highlight w:val="none"/>
        </w:rPr>
        <w:t>在评价指标体系的构建上，充分考虑了项目的性质、目标以及预期成果，选取了具有代表性和可衡量性的关键指标，涵盖了社会效益等多个维度，力求全方位反映项目的绩效状况。同时，对于每个指标的评价标准和数据来源均进行了明确说明，确保评价结果的客观性和可追溯性。</w:t>
      </w:r>
    </w:p>
    <w:p w14:paraId="2243A530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7CF1539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61B83A7B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2E816AB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2.绩效评价的目的</w:t>
      </w:r>
    </w:p>
    <w:p w14:paraId="5E7122D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（1）评估项目实施效果</w:t>
      </w:r>
    </w:p>
    <w:p w14:paraId="4D96F102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通过对项目预算执行情况及各项绩效目标达成程度的系统性分析，全面、客观地评估项目在预定周期内的实施效果，包括社会效益以及可持续性等多维度指标，为项目后续的改进与优化提供科学依据。</w:t>
      </w:r>
    </w:p>
    <w:p w14:paraId="317760B2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（2）提升资源利用效率</w:t>
      </w:r>
    </w:p>
    <w:p w14:paraId="35B0C62F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79DE7F68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（3）强化项目管理责任</w:t>
      </w:r>
    </w:p>
    <w:p w14:paraId="72087F00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60759D8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（4）为决策提供支持</w:t>
      </w:r>
    </w:p>
    <w:p w14:paraId="4DAE87D1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1D25B271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（5）促进项目持续改进</w:t>
      </w:r>
    </w:p>
    <w:p w14:paraId="28B3A449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0B64A836">
      <w:pPr>
        <w:spacing w:line="560" w:lineRule="exact"/>
        <w:ind w:firstLine="640" w:firstLineChars="200"/>
        <w:rPr>
          <w:rFonts w:eastAsia="方正仿宋_GBK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  <w:highlight w:val="none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7A4A771A">
      <w:pPr>
        <w:pStyle w:val="11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绩效评价的对象</w:t>
      </w:r>
    </w:p>
    <w:p w14:paraId="1F3D8626">
      <w:pPr>
        <w:pStyle w:val="11"/>
        <w:spacing w:before="0" w:after="0" w:line="560" w:lineRule="exact"/>
        <w:ind w:firstLine="640" w:firstLineChars="200"/>
        <w:jc w:val="both"/>
        <w:outlineLvl w:val="9"/>
        <w:rPr>
          <w:rFonts w:hint="default" w:ascii="Times New Roman" w:hAnsi="Times New Roman" w:eastAsia="仿宋_GB2312" w:cs="Times New Roman"/>
          <w:b w:val="0"/>
          <w:bCs w:val="0"/>
        </w:rPr>
      </w:pPr>
      <w:r>
        <w:rPr>
          <w:rFonts w:hint="default" w:ascii="Times New Roman" w:hAnsi="Times New Roman" w:eastAsia="仿宋_GB2312" w:cs="Times New Roman"/>
          <w:b w:val="0"/>
          <w:bCs w:val="0"/>
        </w:rPr>
        <w:t>本项目预算绩效评价报告的评价对象是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2024年中央医疗服务与保障能力提升（医疗卫生机构能力建设）补助资金项目</w:t>
      </w:r>
      <w:r>
        <w:rPr>
          <w:rFonts w:hint="default" w:ascii="Times New Roman" w:hAnsi="Times New Roman" w:eastAsia="仿宋_GB2312" w:cs="Times New Roman"/>
          <w:b w:val="0"/>
          <w:bCs w:val="0"/>
        </w:rPr>
        <w:t>及其预算执行情况。该项目由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特克斯县喀拉达拉镇卫生院</w:t>
      </w:r>
      <w:r>
        <w:rPr>
          <w:rFonts w:hint="default" w:ascii="Times New Roman" w:hAnsi="Times New Roman" w:eastAsia="仿宋_GB2312" w:cs="Times New Roman"/>
          <w:b w:val="0"/>
          <w:bCs w:val="0"/>
        </w:rPr>
        <w:t>负责实施，旨在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提升</w:t>
      </w:r>
      <w:r>
        <w:rPr>
          <w:rFonts w:hint="eastAsia" w:ascii="Times New Roman" w:hAnsi="Times New Roman" w:eastAsia="仿宋_GB2312" w:cs="Times New Roman"/>
          <w:b w:val="0"/>
          <w:bCs w:val="0"/>
        </w:rPr>
        <w:t>卫生院疾病诊断能力。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提高了医疗服务水平。</w:t>
      </w:r>
      <w:r>
        <w:rPr>
          <w:rFonts w:hint="eastAsia" w:ascii="Times New Roman" w:hAnsi="Times New Roman" w:eastAsia="仿宋_GB2312" w:cs="Times New Roman"/>
          <w:b w:val="0"/>
          <w:bCs w:val="0"/>
        </w:rPr>
        <w:t>完善配套设施，优化就医环境。</w:t>
      </w:r>
      <w:r>
        <w:rPr>
          <w:rFonts w:hint="eastAsia" w:ascii="Times New Roman" w:hAnsi="Times New Roman" w:eastAsia="仿宋_GB2312" w:cs="Times New Roman"/>
          <w:b w:val="0"/>
          <w:bCs w:val="0"/>
          <w:lang w:val="en-US" w:eastAsia="zh-CN"/>
        </w:rPr>
        <w:t>项目预算涵盖从起始日期2024年1月1日至2024年12月31日胡全部资金投入与支出，涉及资金总额为30万元。</w:t>
      </w:r>
    </w:p>
    <w:p w14:paraId="28D6DBC7">
      <w:pPr>
        <w:pStyle w:val="11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4.绩效评价的范围</w:t>
      </w:r>
    </w:p>
    <w:p w14:paraId="7C365480">
      <w:pPr>
        <w:pStyle w:val="11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65E3F710">
      <w:pPr>
        <w:pStyle w:val="11"/>
        <w:widowControl w:val="0"/>
        <w:numPr>
          <w:ilvl w:val="0"/>
          <w:numId w:val="1"/>
        </w:numPr>
        <w:spacing w:before="0" w:after="0" w:line="560" w:lineRule="exact"/>
        <w:ind w:left="410" w:leftChars="0" w:firstLine="640" w:firstLineChars="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项目预算编制与执行：全面审视项目预算的编制依据、合理性、科学性以及实际执行情况，包括预算调整的原因和效果。</w:t>
      </w:r>
    </w:p>
    <w:p w14:paraId="7153B7C3">
      <w:pPr>
        <w:pStyle w:val="11"/>
        <w:widowControl w:val="0"/>
        <w:numPr>
          <w:ilvl w:val="0"/>
          <w:numId w:val="1"/>
        </w:numPr>
        <w:spacing w:before="0" w:after="0" w:line="560" w:lineRule="exact"/>
        <w:ind w:left="410" w:leftChars="0" w:firstLine="640" w:firstLineChars="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资金管理：深入分析项目资金的分配、使用和监管情况，确保资金使用的合规性、高效性和透明度。</w:t>
      </w:r>
    </w:p>
    <w:p w14:paraId="03A5CADE">
      <w:pPr>
        <w:pStyle w:val="11"/>
        <w:widowControl w:val="0"/>
        <w:numPr>
          <w:ilvl w:val="0"/>
          <w:numId w:val="1"/>
        </w:numPr>
        <w:spacing w:before="0" w:after="0" w:line="560" w:lineRule="exact"/>
        <w:ind w:left="410" w:leftChars="0" w:firstLine="640" w:firstLineChars="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项目实施进度与产出：评估项目是否按照既定计划顺利推进，各项任务是否按时完成，以及项目产出的数量、质量和时效性是否符合预期。</w:t>
      </w:r>
    </w:p>
    <w:p w14:paraId="69BCA357">
      <w:pPr>
        <w:pStyle w:val="11"/>
        <w:widowControl w:val="0"/>
        <w:numPr>
          <w:ilvl w:val="0"/>
          <w:numId w:val="1"/>
        </w:numPr>
        <w:spacing w:before="0" w:after="0" w:line="560" w:lineRule="exact"/>
        <w:ind w:left="410" w:leftChars="0" w:firstLine="640" w:firstLineChars="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  <w:highlight w:val="none"/>
        </w:rPr>
        <w:t>社会影响：</w:t>
      </w:r>
      <w:r>
        <w:rPr>
          <w:rFonts w:hint="eastAsia" w:ascii="Times New Roman" w:hAnsi="Times New Roman" w:eastAsia="仿宋_GB2312"/>
          <w:b w:val="0"/>
          <w:bCs w:val="0"/>
          <w:highlight w:val="none"/>
        </w:rPr>
        <w:t>提升医疗服务能力，满足基层群众看病就医需求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eastAsia="zh-CN"/>
        </w:rPr>
        <w:t>，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有效缓解了当地居民看病难、看病贵问题。</w:t>
      </w:r>
    </w:p>
    <w:p w14:paraId="3D613914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43E3B4A7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1.绩效评价原则</w:t>
      </w:r>
    </w:p>
    <w:p w14:paraId="4AB516A9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本次项目绩效评价遵循以下基本原则：</w:t>
      </w:r>
    </w:p>
    <w:p w14:paraId="0776B5D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（1）科学公正。绩效评价应当运用科学合理的方法，按照规范的程序，对项目绩效进行客观、公正的反映。</w:t>
      </w:r>
    </w:p>
    <w:p w14:paraId="22F69EE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4F621F46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7F255FDD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（4）公开透明。绩效评价结果应依法依规公开，并自觉接受社会监督。</w:t>
      </w:r>
    </w:p>
    <w:p w14:paraId="0000ADD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2.评价指标体系</w:t>
      </w:r>
    </w:p>
    <w:p w14:paraId="147726F6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2968193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（1）确定评价指标</w:t>
      </w:r>
    </w:p>
    <w:p w14:paraId="5E705F61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52857544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（2）确定权重</w:t>
      </w:r>
    </w:p>
    <w:p w14:paraId="2E27F28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确定各个指标相对于项目总体绩效的权重分值。在绩效评价指标体系中，项目决策权重为20分，项目过程权重为20分，项目产出权重为40分，项目效益权重为20分。</w:t>
      </w:r>
    </w:p>
    <w:p w14:paraId="3F716B4D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（3）确定指标标准值</w:t>
      </w:r>
    </w:p>
    <w:p w14:paraId="4C97930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4EC6D70D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绩效评价总分值100分，根据综合评分结果，90（含）-100分为优、80（含）-90分为良、60（含）-80分为中、60分以下为差。</w:t>
      </w:r>
    </w:p>
    <w:p w14:paraId="0FDB8DA6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具体评价指标体系详情见附件1</w:t>
      </w:r>
    </w:p>
    <w:p w14:paraId="65C0A107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3.绩效评价方法</w:t>
      </w:r>
    </w:p>
    <w:p w14:paraId="773E556E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0D78FB8E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4BD8EDE2">
      <w:pPr>
        <w:spacing w:line="560" w:lineRule="exact"/>
        <w:ind w:firstLine="640" w:firstLineChars="200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一</w:t>
      </w:r>
      <w:r>
        <w:rPr>
          <w:rFonts w:eastAsia="仿宋_GB2312"/>
          <w:sz w:val="32"/>
          <w:szCs w:val="32"/>
          <w:highlight w:val="none"/>
        </w:rPr>
        <w:t>）因素分析法。</w:t>
      </w:r>
      <w:r>
        <w:rPr>
          <w:rFonts w:hint="default" w:eastAsia="仿宋_GB2312"/>
          <w:sz w:val="32"/>
          <w:szCs w:val="32"/>
          <w:highlight w:val="none"/>
        </w:rPr>
        <w:t>是指综合分析影响绩效目标实现、实施效果的内外部因素的方法。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选择因素分析法因其全面性、灵活性以及能够提供定量依据的特点。</w:t>
      </w:r>
    </w:p>
    <w:p w14:paraId="2FB731E7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4.评价标准</w:t>
      </w:r>
    </w:p>
    <w:p w14:paraId="2AC9128E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计划</w:t>
      </w:r>
      <w:r>
        <w:rPr>
          <w:rFonts w:eastAsia="仿宋_GB2312"/>
          <w:sz w:val="32"/>
          <w:szCs w:val="32"/>
          <w:highlight w:val="none"/>
        </w:rPr>
        <w:t>标准。</w:t>
      </w:r>
    </w:p>
    <w:p w14:paraId="51CE258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（1）计划标准。指以预先制定的目标、计划、预算、定额等作为评价标准。</w:t>
      </w:r>
    </w:p>
    <w:p w14:paraId="2E4D186A">
      <w:pPr>
        <w:pStyle w:val="11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Times New Roman" w:hAnsi="Times New Roman" w:eastAsia="楷体"/>
          <w:color w:val="000000"/>
          <w:spacing w:val="17"/>
        </w:rPr>
      </w:pPr>
      <w:r>
        <w:rPr>
          <w:rFonts w:ascii="Times New Roman" w:hAnsi="Times New Roman" w:eastAsia="楷体"/>
          <w:color w:val="000000"/>
          <w:spacing w:val="17"/>
        </w:rPr>
        <w:t>绩效评价工作过程</w:t>
      </w:r>
    </w:p>
    <w:p w14:paraId="6DC1E938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（1）前期准备与规划</w:t>
      </w:r>
    </w:p>
    <w:p w14:paraId="500AE03D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62DADD24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（2）指标体系构建</w:t>
      </w:r>
    </w:p>
    <w:p w14:paraId="595005CC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依据项目的性质、目标以及预期成果，构建了科学合理的绩效评价指标体系。该指标体系涵盖了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项目决策、项目过程、项目产出、项目效益四个维度</w:t>
      </w:r>
      <w:r>
        <w:rPr>
          <w:rFonts w:eastAsia="仿宋_GB2312"/>
          <w:sz w:val="32"/>
          <w:szCs w:val="32"/>
          <w:highlight w:val="none"/>
        </w:rPr>
        <w:t>，选取了具有代表性和可衡量性的关键指标，并为每个指标设定了明确的评价标准与权重，确保评价结果能够全面、准确地反映项目的绩效状况。</w:t>
      </w:r>
    </w:p>
    <w:p w14:paraId="29605E6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（3）数据收集与整理</w:t>
      </w:r>
    </w:p>
    <w:p w14:paraId="65F33C82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5BB9D88F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（4）数据分析与评估</w:t>
      </w:r>
    </w:p>
    <w:p w14:paraId="1E7AEA10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6680FE3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（5）报告撰写与反馈</w:t>
      </w:r>
    </w:p>
    <w:p w14:paraId="0708DEC4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5E94C507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（6）后续跟踪与改进</w:t>
      </w:r>
    </w:p>
    <w:p w14:paraId="2DCDBEE9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335E03E3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144F6C82">
      <w:pPr>
        <w:pStyle w:val="11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（一）评价情况</w:t>
      </w:r>
    </w:p>
    <w:p w14:paraId="17CE0343">
      <w:pPr>
        <w:spacing w:line="560" w:lineRule="exact"/>
        <w:ind w:firstLine="640" w:firstLineChars="200"/>
        <w:rPr>
          <w:rFonts w:hint="eastAsia" w:ascii="Times New Roman" w:hAnsi="Times New Roman" w:eastAsia="仿宋_GB2312" w:cs="Times New Roman"/>
          <w:color w:val="000000"/>
          <w:spacing w:val="17"/>
          <w:sz w:val="32"/>
          <w:szCs w:val="3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本项目的综合评价基于对项目各方面绩效的深入分析与评估。从项目目标的达成情况来看，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项目2024年中央医疗服务与保障能力提升（医疗卫生机构能力建设）补助资金</w:t>
      </w:r>
      <w:r>
        <w:rPr>
          <w:rFonts w:hint="eastAsia" w:eastAsia="仿宋_GB2312" w:cs="Times New Roman"/>
          <w:b w:val="0"/>
          <w:bCs w:val="0"/>
          <w:kern w:val="28"/>
          <w:sz w:val="32"/>
          <w:szCs w:val="32"/>
          <w:highlight w:val="none"/>
          <w:lang w:val="en-US" w:eastAsia="zh-CN" w:bidi="ar-SA"/>
        </w:rPr>
        <w:t>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color="auto" w:fill="FFFFFF"/>
        </w:rPr>
        <w:t>提高编外人员工作积极性：有效提高；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等方面表现出色，达到了预期的标准与要求。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同时，项目也在提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color="auto" w:fill="FFFFFF"/>
        </w:rPr>
        <w:t>高职工日常工作效率和质量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取得了显著的成效，如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8"/>
          <w:szCs w:val="28"/>
          <w:highlight w:val="none"/>
          <w:shd w:val="clear" w:color="auto" w:fill="FFFFFF"/>
        </w:rPr>
        <w:t>单位职工满意度：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满意度达到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92%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。</w:t>
      </w:r>
    </w:p>
    <w:p w14:paraId="2D712CD3">
      <w:pPr>
        <w:pStyle w:val="10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在项目管理方面，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特克斯县喀拉达拉镇卫生院</w:t>
      </w:r>
      <w:r>
        <w:rPr>
          <w:rFonts w:eastAsia="仿宋_GB2312"/>
          <w:sz w:val="32"/>
          <w:szCs w:val="32"/>
          <w:highlight w:val="none"/>
        </w:rPr>
        <w:t>通过有效的规划、组织与协调，项目得以顺利实施，并在预算与时间上保持了良好的控制。</w:t>
      </w:r>
    </w:p>
    <w:p w14:paraId="35300DB6">
      <w:pPr>
        <w:pStyle w:val="10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  <w:highlight w:val="green"/>
        </w:rPr>
      </w:pPr>
      <w:r>
        <w:rPr>
          <w:rFonts w:eastAsia="仿宋_GB2312"/>
          <w:sz w:val="32"/>
          <w:szCs w:val="32"/>
          <w:highlight w:val="none"/>
        </w:rPr>
        <w:t>从项目效益的角度来看，本项目不仅实现了预期的社会效益方面产生了积极的影响。具体而言，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提高编外人员工作积极性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提高职工日常工作效率和质量，为项目的利益相关者带来了实实在在的利益。</w:t>
      </w:r>
    </w:p>
    <w:p w14:paraId="17EA82D1">
      <w:pPr>
        <w:pStyle w:val="10"/>
        <w:widowControl/>
        <w:spacing w:beforeAutospacing="0" w:afterAutospacing="0" w:line="560" w:lineRule="exact"/>
        <w:ind w:firstLine="640" w:firstLineChars="200"/>
        <w:rPr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综上所述，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2024年中央医疗服务与保障能力提升（医疗卫生机构能力建设）补助资金</w:t>
      </w:r>
      <w:r>
        <w:rPr>
          <w:rFonts w:hint="default" w:ascii="Times New Roman" w:hAnsi="Times New Roman" w:eastAsia="仿宋_GB2312" w:cs="Times New Roman"/>
          <w:b w:val="0"/>
          <w:bCs w:val="0"/>
          <w:kern w:val="28"/>
          <w:sz w:val="32"/>
          <w:szCs w:val="32"/>
          <w:highlight w:val="none"/>
          <w:lang w:val="en-US" w:eastAsia="zh-CN" w:bidi="ar-SA"/>
        </w:rPr>
        <w:t>项目</w:t>
      </w:r>
      <w:r>
        <w:rPr>
          <w:rFonts w:eastAsia="仿宋_GB2312"/>
          <w:sz w:val="32"/>
          <w:szCs w:val="32"/>
          <w:highlight w:val="none"/>
        </w:rPr>
        <w:t>在绩效评价中表现出色，达到了项目的预期目标，并在多个方面取得了显著的成效。</w:t>
      </w:r>
    </w:p>
    <w:p w14:paraId="6D713A35">
      <w:pPr>
        <w:pStyle w:val="11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（二）评价结论</w:t>
      </w:r>
    </w:p>
    <w:p w14:paraId="0CD881F6">
      <w:pPr>
        <w:pStyle w:val="11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</w:t>
      </w:r>
      <w:r>
        <w:rPr>
          <w:rFonts w:ascii="Times New Roman" w:hAnsi="Times New Roman" w:eastAsia="仿宋_GB2312"/>
          <w:b w:val="0"/>
          <w:bCs w:val="0"/>
          <w:highlight w:val="none"/>
        </w:rPr>
        <w:t xml:space="preserve">价，最终评分结果：总得分为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ascii="Times New Roman" w:hAnsi="Times New Roman" w:eastAsia="仿宋_GB2312"/>
          <w:b w:val="0"/>
          <w:bCs w:val="0"/>
          <w:highlight w:val="none"/>
        </w:rPr>
        <w:t xml:space="preserve">分，属于“优”。其中，项目决策类指标权重为20分，得分为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ascii="Times New Roman" w:hAnsi="Times New Roman" w:eastAsia="仿宋_GB2312"/>
          <w:b w:val="0"/>
          <w:bCs w:val="0"/>
          <w:highlight w:val="none"/>
        </w:rPr>
        <w:t>%。项目过程类指标权重为20分，得分为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20</w:t>
      </w:r>
      <w:r>
        <w:rPr>
          <w:rFonts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ascii="Times New Roman" w:hAnsi="Times New Roman" w:eastAsia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ascii="Times New Roman" w:hAnsi="Times New Roman" w:eastAsia="仿宋_GB2312"/>
          <w:b w:val="0"/>
          <w:bCs w:val="0"/>
          <w:highlight w:val="none"/>
        </w:rPr>
        <w:t xml:space="preserve">分，得分率为 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ascii="Times New Roman" w:hAnsi="Times New Roman" w:eastAsia="仿宋_GB2312"/>
          <w:b w:val="0"/>
          <w:bCs w:val="0"/>
          <w:highlight w:val="none"/>
        </w:rPr>
        <w:t>%。项目效益类指标权重为20分，得分为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40</w:t>
      </w:r>
      <w:r>
        <w:rPr>
          <w:rFonts w:ascii="Times New Roman" w:hAnsi="Times New Roman" w:eastAsia="仿宋_GB2312"/>
          <w:b w:val="0"/>
          <w:bCs w:val="0"/>
          <w:highlight w:val="none"/>
        </w:rPr>
        <w:t>分，得分率为</w:t>
      </w:r>
      <w:r>
        <w:rPr>
          <w:rFonts w:hint="eastAsia" w:ascii="Times New Roman" w:hAnsi="Times New Roman" w:eastAsia="仿宋_GB2312"/>
          <w:b w:val="0"/>
          <w:bCs w:val="0"/>
          <w:highlight w:val="none"/>
          <w:lang w:val="en-US" w:eastAsia="zh-CN"/>
        </w:rPr>
        <w:t>100</w:t>
      </w:r>
      <w:r>
        <w:rPr>
          <w:rFonts w:ascii="Times New Roman" w:hAnsi="Times New Roman" w:eastAsia="仿宋_GB2312"/>
          <w:b w:val="0"/>
          <w:bCs w:val="0"/>
          <w:highlight w:val="none"/>
        </w:rPr>
        <w:t>%。</w:t>
      </w:r>
      <w:r>
        <w:rPr>
          <w:rFonts w:ascii="Times New Roman" w:hAnsi="Times New Roman" w:eastAsia="仿宋_GB2312"/>
          <w:b w:val="0"/>
          <w:bCs w:val="0"/>
        </w:rPr>
        <w:t>具体打分情况详见：附件1综合评分表。</w:t>
      </w:r>
    </w:p>
    <w:p w14:paraId="00F64557">
      <w:pPr>
        <w:pStyle w:val="11"/>
        <w:spacing w:before="0" w:after="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3F71B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8186847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5B988100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B599887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得分</w:t>
            </w:r>
          </w:p>
        </w:tc>
      </w:tr>
      <w:tr w14:paraId="640450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6AE0468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90E4932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63F643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20</w:t>
            </w:r>
          </w:p>
        </w:tc>
      </w:tr>
      <w:tr w14:paraId="54FFEB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616BA44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4D9F05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0EB93F1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20</w:t>
            </w:r>
          </w:p>
        </w:tc>
      </w:tr>
      <w:tr w14:paraId="3DA5D9F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9BE74A5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3C96A77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873314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20</w:t>
            </w:r>
          </w:p>
        </w:tc>
      </w:tr>
      <w:tr w14:paraId="766A94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873E23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6E5C041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8C90B51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20</w:t>
            </w:r>
          </w:p>
        </w:tc>
      </w:tr>
      <w:tr w14:paraId="05B322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CDF0A57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BB543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FED33D1">
            <w:pPr>
              <w:jc w:val="center"/>
              <w:rPr>
                <w:rFonts w:hint="default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  <w:lang w:val="en-US" w:eastAsia="zh-CN"/>
              </w:rPr>
              <w:t>100</w:t>
            </w:r>
          </w:p>
        </w:tc>
      </w:tr>
    </w:tbl>
    <w:p w14:paraId="31C7A97D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078CFC41">
      <w:pPr>
        <w:pStyle w:val="11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1731EFC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</w:rPr>
        <w:t>项目决策类指标包括项目立项、绩效目标和资金投入三方面的内容，由6个三级指标构成，权重分值为20分，</w:t>
      </w:r>
      <w:r>
        <w:rPr>
          <w:rFonts w:eastAsia="仿宋_GB2312"/>
          <w:sz w:val="32"/>
          <w:szCs w:val="32"/>
          <w:highlight w:val="none"/>
        </w:rPr>
        <w:t>实际得分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eastAsia="仿宋_GB2312"/>
          <w:sz w:val="32"/>
          <w:szCs w:val="32"/>
          <w:highlight w:val="none"/>
        </w:rPr>
        <w:t>分，得分率为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eastAsia="仿宋_GB2312"/>
          <w:sz w:val="32"/>
          <w:szCs w:val="32"/>
          <w:highlight w:val="none"/>
        </w:rPr>
        <w:t>%。</w:t>
      </w:r>
    </w:p>
    <w:p w14:paraId="2F84610E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1.项目立项</w:t>
      </w:r>
    </w:p>
    <w:p w14:paraId="1A2873E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（1）立项依据充分性</w:t>
      </w:r>
    </w:p>
    <w:p w14:paraId="186BCA2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0EBFAD7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（2）立项程序规范性</w:t>
      </w:r>
    </w:p>
    <w:p w14:paraId="7480E23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33174FA1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2.绩效目标</w:t>
      </w:r>
    </w:p>
    <w:p w14:paraId="66417BE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（1）绩效目标合理性</w:t>
      </w:r>
    </w:p>
    <w:p w14:paraId="5E67DA5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A62948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（2）绩效指标明确性</w:t>
      </w:r>
    </w:p>
    <w:p w14:paraId="14ECFB6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49A65EA1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3.资金投入</w:t>
      </w:r>
    </w:p>
    <w:p w14:paraId="3F6B765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（1）预算编制科学性</w:t>
      </w:r>
    </w:p>
    <w:p w14:paraId="482A8664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270FA75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4AB79FC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（2）资金分配合理性</w:t>
      </w:r>
    </w:p>
    <w:p w14:paraId="1770EBB7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1D8ED52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74F0563E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59D80D28">
      <w:pPr>
        <w:pStyle w:val="11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项目过程情况</w:t>
      </w:r>
    </w:p>
    <w:p w14:paraId="3239AC0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项目过程类指标包括资金管理和组织实施两方面的内容，由</w:t>
      </w:r>
      <w:r>
        <w:rPr>
          <w:rFonts w:hint="eastAsia" w:eastAsia="仿宋_GB2312"/>
          <w:sz w:val="32"/>
          <w:szCs w:val="32"/>
          <w:lang w:val="en-US" w:eastAsia="zh-CN"/>
        </w:rPr>
        <w:t>6</w:t>
      </w:r>
      <w:r>
        <w:rPr>
          <w:rFonts w:eastAsia="仿宋_GB2312"/>
          <w:sz w:val="32"/>
          <w:szCs w:val="32"/>
        </w:rPr>
        <w:t>个三级指标构成，权重分值为</w:t>
      </w:r>
      <w:r>
        <w:rPr>
          <w:rFonts w:hint="eastAsia" w:eastAsia="仿宋_GB2312"/>
          <w:sz w:val="32"/>
          <w:szCs w:val="32"/>
          <w:lang w:val="en-US" w:eastAsia="zh-CN"/>
        </w:rPr>
        <w:t>20</w:t>
      </w:r>
      <w:r>
        <w:rPr>
          <w:rFonts w:eastAsia="仿宋_GB2312"/>
          <w:sz w:val="32"/>
          <w:szCs w:val="32"/>
        </w:rPr>
        <w:t>分</w:t>
      </w:r>
      <w:r>
        <w:rPr>
          <w:rFonts w:eastAsia="仿宋_GB2312"/>
          <w:sz w:val="32"/>
          <w:szCs w:val="32"/>
          <w:highlight w:val="none"/>
        </w:rPr>
        <w:t>，实际得分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eastAsia="仿宋_GB2312"/>
          <w:sz w:val="32"/>
          <w:szCs w:val="32"/>
          <w:highlight w:val="none"/>
        </w:rPr>
        <w:t>分，得分率为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eastAsia="仿宋_GB2312"/>
          <w:sz w:val="32"/>
          <w:szCs w:val="32"/>
          <w:highlight w:val="none"/>
        </w:rPr>
        <w:t>%。</w:t>
      </w:r>
    </w:p>
    <w:p w14:paraId="74158BB5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1.资金管理</w:t>
      </w:r>
    </w:p>
    <w:p w14:paraId="06120A5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（1）资金到位率</w:t>
      </w:r>
    </w:p>
    <w:p w14:paraId="6C7E7E8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  <w:highlight w:val="none"/>
        </w:rPr>
        <w:t>本项目总投资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30</w:t>
      </w:r>
      <w:r>
        <w:rPr>
          <w:rFonts w:eastAsia="仿宋_GB2312"/>
          <w:sz w:val="32"/>
          <w:szCs w:val="32"/>
          <w:highlight w:val="none"/>
        </w:rPr>
        <w:t>万元，财政资金及时足额到位，到位率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eastAsia="仿宋_GB2312"/>
          <w:sz w:val="32"/>
          <w:szCs w:val="32"/>
          <w:highlight w:val="none"/>
        </w:rPr>
        <w:t>%，</w:t>
      </w:r>
      <w:r>
        <w:rPr>
          <w:rFonts w:eastAsia="仿宋_GB2312"/>
          <w:sz w:val="32"/>
          <w:szCs w:val="32"/>
        </w:rPr>
        <w:t>预算资金按计划进度执行。</w:t>
      </w:r>
    </w:p>
    <w:p w14:paraId="4002A28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（2）预算执行率</w:t>
      </w:r>
    </w:p>
    <w:p w14:paraId="4C1E16E5">
      <w:pPr>
        <w:spacing w:line="600" w:lineRule="exact"/>
        <w:ind w:firstLine="640" w:firstLineChars="200"/>
        <w:outlineLvl w:val="0"/>
        <w:rPr>
          <w:rFonts w:hint="default" w:eastAsia="仿宋_GB2312"/>
          <w:sz w:val="32"/>
          <w:szCs w:val="32"/>
          <w:highlight w:val="none"/>
          <w:lang w:val="en-US" w:eastAsia="zh-CN"/>
        </w:rPr>
      </w:pPr>
      <w:r>
        <w:rPr>
          <w:rFonts w:eastAsia="仿宋_GB2312"/>
          <w:sz w:val="32"/>
          <w:szCs w:val="32"/>
          <w:highlight w:val="none"/>
        </w:rPr>
        <w:t>预算编制较为详细，项目资金支出总体能够按照预算执行，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预算资金支出30万元，预算执行率100%。</w:t>
      </w:r>
    </w:p>
    <w:p w14:paraId="2B2F359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（3）资金使用合规性</w:t>
      </w:r>
    </w:p>
    <w:p w14:paraId="2567217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1D44DB9A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65480663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2DC8FA9B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2.组织实施</w:t>
      </w:r>
    </w:p>
    <w:p w14:paraId="1EF2775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（1）管理制度健全性</w:t>
      </w:r>
    </w:p>
    <w:p w14:paraId="6D8C3281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0681B2BF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在制度设计上，我们注重了制度的科学性与可操作性，确保制度能够切实指导项目的执行与管理。</w:t>
      </w:r>
    </w:p>
    <w:p w14:paraId="7E1E3A4B">
      <w:pPr>
        <w:spacing w:line="56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263CAF3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sz w:val="32"/>
          <w:szCs w:val="32"/>
          <w:highlight w:val="none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0C52B48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（2）制度执行有效性</w:t>
      </w:r>
    </w:p>
    <w:p w14:paraId="5E6F588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 w14:paraId="6158D98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13F0670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</w:p>
    <w:p w14:paraId="59DB28B4">
      <w:pPr>
        <w:pStyle w:val="12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项目产出情况</w:t>
      </w:r>
    </w:p>
    <w:p w14:paraId="7F040F3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项目产出类指标包括产出数量、产出质量、产出时效、产出成本</w:t>
      </w:r>
      <w:r>
        <w:rPr>
          <w:rFonts w:eastAsia="仿宋_GB2312"/>
          <w:sz w:val="32"/>
          <w:szCs w:val="32"/>
          <w:highlight w:val="none"/>
        </w:rPr>
        <w:t>四方面的内容，由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6</w:t>
      </w:r>
      <w:r>
        <w:rPr>
          <w:rFonts w:eastAsia="仿宋_GB2312"/>
          <w:sz w:val="32"/>
          <w:szCs w:val="32"/>
          <w:highlight w:val="none"/>
        </w:rPr>
        <w:t>个三级指标构成，权重分为40分，实际得分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40</w:t>
      </w:r>
      <w:r>
        <w:rPr>
          <w:rFonts w:eastAsia="仿宋_GB2312"/>
          <w:sz w:val="32"/>
          <w:szCs w:val="32"/>
          <w:highlight w:val="none"/>
        </w:rPr>
        <w:t>分，得分率为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eastAsia="仿宋_GB2312"/>
          <w:sz w:val="32"/>
          <w:szCs w:val="32"/>
          <w:highlight w:val="none"/>
        </w:rPr>
        <w:t>%。具</w:t>
      </w:r>
      <w:r>
        <w:rPr>
          <w:rFonts w:eastAsia="仿宋_GB2312"/>
          <w:sz w:val="32"/>
          <w:szCs w:val="32"/>
        </w:rPr>
        <w:t>体产出指标完成情况如下：</w:t>
      </w:r>
    </w:p>
    <w:p w14:paraId="55A54D0C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1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①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数量指标：</w:t>
      </w:r>
    </w:p>
    <w:p w14:paraId="266EF640">
      <w:pPr>
        <w:shd w:val="clear" w:color="auto" w:fill="auto"/>
        <w:spacing w:line="600" w:lineRule="exact"/>
        <w:ind w:firstLine="640" w:firstLineChars="200"/>
        <w:outlineLvl w:val="0"/>
        <w:rPr>
          <w:rFonts w:hint="eastAsia" w:ascii="Times New Roman" w:hAnsi="Times New Roman" w:eastAsia="仿宋_GB2312" w:cs="Times New Roman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指标1：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专用设备购置数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达到了项目的预期目标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2513E18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2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②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质量指标：指标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设备验收合格率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，指标值：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实际完成值&gt;=95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95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%，指标完成率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达到了项目的预期目标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指标2：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设备故障率，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实际完成值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&lt;=5%，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5%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达到了项目的预期目标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2FAF92A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begin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instrText xml:space="preserve"> = 3 \* GB3 </w:instrTex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separate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③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fldChar w:fldCharType="end"/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时效指标：指标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：资金拨付及时率，指标值：=100%，实际完成值：=100%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达到了项目的预期目标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AD67D9F">
      <w:pPr>
        <w:shd w:val="clear" w:color="auto" w:fill="auto"/>
        <w:spacing w:line="600" w:lineRule="exact"/>
        <w:ind w:firstLine="640" w:firstLineChars="200"/>
        <w:outlineLvl w:val="0"/>
        <w:rPr>
          <w:rFonts w:hint="eastAsia" w:eastAsia="仿宋_GB2312" w:cs="Times New Roman"/>
          <w:sz w:val="32"/>
          <w:szCs w:val="32"/>
          <w:highlight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④经济成本指标：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1：专用设备，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万元/年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4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万元/年，指标完成率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76CBCDAA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2：建设改造，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指标值：=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万元/年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实际完成值：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26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 xml:space="preserve">万元/年，指标完成率 </w:t>
      </w:r>
      <w:r>
        <w:rPr>
          <w:rFonts w:hint="eastAsia" w:eastAsia="仿宋_GB2312" w:cs="Times New Roman"/>
          <w:sz w:val="32"/>
          <w:szCs w:val="32"/>
          <w:highlight w:val="none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</w:rPr>
        <w:t>%</w:t>
      </w:r>
      <w:r>
        <w:rPr>
          <w:rFonts w:hint="eastAsia" w:eastAsia="仿宋_GB2312" w:cs="Times New Roman"/>
          <w:sz w:val="32"/>
          <w:szCs w:val="32"/>
          <w:highlight w:val="none"/>
          <w:lang w:eastAsia="zh-CN"/>
        </w:rPr>
        <w:t>。</w:t>
      </w:r>
    </w:p>
    <w:p w14:paraId="61544739">
      <w:pPr>
        <w:pStyle w:val="12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项目效益情况</w:t>
      </w:r>
    </w:p>
    <w:p w14:paraId="3E9622B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项目效益类指标包括项目实施效益和满意度两方面的内</w:t>
      </w:r>
      <w:r>
        <w:rPr>
          <w:rFonts w:eastAsia="仿宋_GB2312"/>
          <w:sz w:val="32"/>
          <w:szCs w:val="32"/>
          <w:highlight w:val="none"/>
        </w:rPr>
        <w:t>容，由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eastAsia="仿宋_GB2312"/>
          <w:sz w:val="32"/>
          <w:szCs w:val="32"/>
          <w:highlight w:val="none"/>
        </w:rPr>
        <w:t>个三级指标构成，权重分为20分，实际得分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20</w:t>
      </w:r>
      <w:r>
        <w:rPr>
          <w:rFonts w:eastAsia="仿宋_GB2312"/>
          <w:sz w:val="32"/>
          <w:szCs w:val="32"/>
          <w:highlight w:val="none"/>
        </w:rPr>
        <w:t>分，得分率为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100</w:t>
      </w:r>
      <w:r>
        <w:rPr>
          <w:rFonts w:eastAsia="仿宋_GB2312"/>
          <w:sz w:val="32"/>
          <w:szCs w:val="32"/>
          <w:highlight w:val="none"/>
        </w:rPr>
        <w:t>%。</w:t>
      </w:r>
      <w:r>
        <w:rPr>
          <w:rFonts w:eastAsia="仿宋_GB2312"/>
          <w:sz w:val="32"/>
          <w:szCs w:val="32"/>
        </w:rPr>
        <w:t>具体效益指标及满意度指标完成情况如下：</w:t>
      </w:r>
    </w:p>
    <w:p w14:paraId="2D900BD3">
      <w:pPr>
        <w:numPr>
          <w:ilvl w:val="0"/>
          <w:numId w:val="5"/>
        </w:numPr>
        <w:shd w:val="clear" w:color="auto" w:fill="auto"/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实施效益</w:t>
      </w:r>
    </w:p>
    <w:p w14:paraId="4C7FBF6C">
      <w:pPr>
        <w:numPr>
          <w:ilvl w:val="0"/>
          <w:numId w:val="0"/>
        </w:num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①社会效益指标：设备正常使用年限，指标值：有效提高，实际完成值：有效提高，指标完成率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%，偏差原因：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 w14:paraId="31690B79">
      <w:pPr>
        <w:shd w:val="clear" w:color="auto" w:fill="auto"/>
        <w:spacing w:line="600" w:lineRule="exact"/>
        <w:ind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②社会效益指标：提高职工日常工作效率和质量，指标值：&gt;=7年，实际完成值：7年，指标完成率 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 xml:space="preserve"> %，偏差原因：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6AD9DA1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2.满意度</w:t>
      </w:r>
    </w:p>
    <w:p w14:paraId="055FA540">
      <w:pPr>
        <w:numPr>
          <w:ilvl w:val="0"/>
          <w:numId w:val="0"/>
        </w:numPr>
        <w:shd w:val="clear" w:color="auto" w:fill="auto"/>
        <w:spacing w:line="600" w:lineRule="exact"/>
        <w:ind w:left="420" w:leftChars="200" w:firstLine="640" w:firstLineChars="200"/>
        <w:outlineLvl w:val="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群众满意度，指标值：&gt;=9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%，实际完成值：9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%，指标完成率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100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%，偏差原因：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无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。</w:t>
      </w:r>
    </w:p>
    <w:p w14:paraId="552608C3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（五）预算执行进度与绩效指标总体完成率偏差</w:t>
      </w:r>
    </w:p>
    <w:p w14:paraId="619DD226">
      <w:pPr>
        <w:pStyle w:val="21"/>
        <w:spacing w:line="560" w:lineRule="exact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2024年中央医疗服务与保障能力提升（医疗卫生机构能力建设）补助资金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项目年初预算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30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万元，全年预算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30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万元，实际支出</w:t>
      </w:r>
      <w:r>
        <w:rPr>
          <w:rFonts w:hint="eastAsia" w:eastAsia="仿宋_GB2312" w:cs="Times New Roman"/>
          <w:kern w:val="2"/>
          <w:sz w:val="32"/>
          <w:szCs w:val="32"/>
          <w:lang w:val="en-US" w:eastAsia="zh-CN" w:bidi="ar-SA"/>
        </w:rPr>
        <w:t>30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万元，预算执行率为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%，项目绩效指标总体完成率为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100</w:t>
      </w:r>
      <w:r>
        <w:rPr>
          <w:rFonts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%，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无偏差。</w:t>
      </w:r>
    </w:p>
    <w:p w14:paraId="66841B4F">
      <w:pPr>
        <w:spacing w:line="560" w:lineRule="exact"/>
        <w:ind w:firstLine="640" w:firstLineChars="200"/>
        <w:rPr>
          <w:rStyle w:val="20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主要经验及做法、存在的问题及原因分析</w:t>
      </w:r>
    </w:p>
    <w:p w14:paraId="0C9FED67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75866B3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</w:p>
    <w:p w14:paraId="646A8C63">
      <w:pPr>
        <w:pStyle w:val="11"/>
        <w:spacing w:before="0" w:after="0" w:line="560" w:lineRule="exact"/>
        <w:ind w:firstLine="640" w:firstLineChars="200"/>
        <w:jc w:val="left"/>
        <w:rPr>
          <w:rFonts w:ascii="Times New Roman" w:hAnsi="Times New Roman" w:eastAsia="仿宋_GB2312"/>
          <w:b w:val="0"/>
          <w:bCs w:val="0"/>
          <w:kern w:val="2"/>
        </w:rPr>
      </w:pPr>
      <w:r>
        <w:rPr>
          <w:rFonts w:ascii="Times New Roman" w:hAnsi="Times New Roman" w:eastAsia="仿宋_GB2312"/>
          <w:b w:val="0"/>
          <w:bCs w:val="0"/>
          <w:kern w:val="2"/>
        </w:rPr>
        <w:t>严格坚持先做事、后验收、再拨付的原则，</w:t>
      </w:r>
      <w:r>
        <w:rPr>
          <w:rFonts w:hint="eastAsia" w:ascii="Times New Roman" w:hAnsi="Times New Roman" w:eastAsia="仿宋_GB2312"/>
          <w:b w:val="0"/>
          <w:bCs w:val="0"/>
          <w:kern w:val="2"/>
        </w:rPr>
        <w:t>杜绝</w:t>
      </w:r>
      <w:r>
        <w:rPr>
          <w:rFonts w:ascii="Times New Roman" w:hAnsi="Times New Roman" w:eastAsia="仿宋_GB2312"/>
          <w:b w:val="0"/>
          <w:bCs w:val="0"/>
          <w:kern w:val="2"/>
        </w:rPr>
        <w:t>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</w:p>
    <w:p w14:paraId="5A591240">
      <w:pPr>
        <w:keepNext/>
        <w:keepLines/>
        <w:numPr>
          <w:ilvl w:val="0"/>
          <w:numId w:val="6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3D67763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1.相关绩效管理方面专业知识的系统性学习有待加强。各项指标的设置要进一步优化、完善，主要在细化、量化上改进。在绩效自评过程中，</w:t>
      </w:r>
      <w:r>
        <w:rPr>
          <w:rFonts w:eastAsia="仿宋_GB2312"/>
          <w:sz w:val="32"/>
          <w:szCs w:val="32"/>
          <w:lang w:val="en-US" w:eastAsia="zh-CN"/>
        </w:rPr>
        <w:t>由于部分人员</w:t>
      </w:r>
      <w:r>
        <w:rPr>
          <w:rFonts w:eastAsia="仿宋_GB2312"/>
          <w:sz w:val="32"/>
          <w:szCs w:val="32"/>
        </w:rPr>
        <w:t>缺乏相关绩效管理专业知识，自评价工作还存在自我审定的局限性，影响评价质量。</w:t>
      </w:r>
    </w:p>
    <w:p w14:paraId="2A3DD76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2.因轮岗、调动</w:t>
      </w:r>
      <w:r>
        <w:rPr>
          <w:rFonts w:hint="eastAsia" w:eastAsia="仿宋_GB2312"/>
          <w:sz w:val="32"/>
          <w:szCs w:val="32"/>
        </w:rPr>
        <w:t>等</w:t>
      </w:r>
      <w:r>
        <w:rPr>
          <w:rFonts w:eastAsia="仿宋_GB2312"/>
          <w:sz w:val="32"/>
          <w:szCs w:val="32"/>
        </w:rPr>
        <w:t>因素使我单位绩效工作人员流动频繁，</w:t>
      </w:r>
      <w:r>
        <w:rPr>
          <w:rFonts w:hint="eastAsia" w:eastAsia="仿宋_GB2312"/>
          <w:sz w:val="32"/>
          <w:szCs w:val="32"/>
        </w:rPr>
        <w:t>造成</w:t>
      </w:r>
      <w:r>
        <w:rPr>
          <w:rFonts w:eastAsia="仿宋_GB2312"/>
          <w:sz w:val="32"/>
          <w:szCs w:val="32"/>
        </w:rPr>
        <w:t>工作衔接不到位的情况。</w:t>
      </w:r>
    </w:p>
    <w:p w14:paraId="4301480D">
      <w:pPr>
        <w:spacing w:line="600" w:lineRule="exact"/>
        <w:ind w:firstLine="640" w:firstLineChars="200"/>
        <w:outlineLvl w:val="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一是抓贯彻落实的高度不够。存在流于形式的倾向，吸引力和凝聚力不够;有时教育内容枯燥，方式方法单一，缺乏生机和活力，有时会显得党建工作无特色。</w:t>
      </w:r>
    </w:p>
    <w:p w14:paraId="3B99E042">
      <w:pPr>
        <w:spacing w:line="600" w:lineRule="exact"/>
        <w:ind w:firstLine="640" w:firstLineChars="200"/>
        <w:outlineLvl w:val="0"/>
        <w:rPr>
          <w:rFonts w:hint="eastAsia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二是抓理论学习深度不够。理论学习抓的不够紧。存在被动学习的现象，学习的自觉性和系统性不够强。在运用学习成果指导实践、破解难题上还有一定的差距，存在学用脱节的现象。</w:t>
      </w:r>
    </w:p>
    <w:p w14:paraId="14979A2F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三是创新意识有待进一步提高基层乡镇能力服务技术缺乏，技术能力有待提高，应加强理论培训与实践培养。</w:t>
      </w:r>
    </w:p>
    <w:p w14:paraId="407210D9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.有关建议</w:t>
      </w:r>
    </w:p>
    <w:p w14:paraId="55EFA9E1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0638288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2.专门设定对绩效工作人员定职、定岗、定责等相关制度措施，进一步提升我单位绩效管理工作业务水平，扎实做好绩效管理工作。</w:t>
      </w:r>
    </w:p>
    <w:p w14:paraId="1089C58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</w:t>
      </w:r>
    </w:p>
    <w:p w14:paraId="718911FA">
      <w:pPr>
        <w:spacing w:line="600" w:lineRule="exact"/>
        <w:ind w:firstLine="640" w:firstLineChars="200"/>
        <w:outlineLvl w:val="0"/>
        <w:rPr>
          <w:sz w:val="22"/>
          <w:szCs w:val="28"/>
        </w:rPr>
      </w:pPr>
      <w:r>
        <w:rPr>
          <w:rFonts w:eastAsia="仿宋_GB2312"/>
          <w:sz w:val="32"/>
          <w:szCs w:val="32"/>
        </w:rPr>
        <w:t>4.进一步完善项目评价过程中有关数据和资料的收集、整理、审核及分析。项目启动时同步做好档案的归纳与整理，及时整理、收集、汇总，健全档案资料。项目后续管理有待进一步加强和跟踪</w:t>
      </w:r>
      <w:r>
        <w:rPr>
          <w:rFonts w:eastAsia="仿宋_GB2312"/>
          <w:sz w:val="36"/>
          <w:szCs w:val="32"/>
        </w:rPr>
        <w:t>。</w:t>
      </w:r>
    </w:p>
    <w:p w14:paraId="7E36017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5AB56ECF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其他需要说</w:t>
      </w:r>
      <w:bookmarkStart w:id="0" w:name="page8"/>
      <w:bookmarkEnd w:id="0"/>
      <w:r>
        <w:rPr>
          <w:rFonts w:eastAsia="黑体"/>
          <w:sz w:val="32"/>
          <w:szCs w:val="32"/>
        </w:rPr>
        <w:t>明的问题</w:t>
      </w:r>
    </w:p>
    <w:p w14:paraId="1256EF20">
      <w:pPr>
        <w:pStyle w:val="2"/>
        <w:spacing w:after="0" w:line="560" w:lineRule="exact"/>
        <w:ind w:left="0" w:leftChars="0" w:firstLine="64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本项目无其他需说明的问题。</w:t>
      </w:r>
    </w:p>
    <w:p w14:paraId="0A19377C">
      <w:pPr>
        <w:spacing w:line="600" w:lineRule="exact"/>
        <w:rPr>
          <w:rFonts w:eastAsia="黑体"/>
          <w:sz w:val="32"/>
          <w:szCs w:val="32"/>
        </w:rPr>
        <w:sectPr>
          <w:footerReference r:id="rId3" w:type="default"/>
          <w:pgSz w:w="11906" w:h="16838"/>
          <w:pgMar w:top="2098" w:right="1531" w:bottom="1984" w:left="1531" w:header="851" w:footer="992" w:gutter="0"/>
          <w:pgNumType w:start="1"/>
          <w:cols w:space="425" w:num="1"/>
          <w:docGrid w:type="lines" w:linePitch="312" w:charSpace="0"/>
        </w:sectPr>
      </w:pPr>
      <w:bookmarkStart w:id="1" w:name="_GoBack"/>
      <w:bookmarkEnd w:id="1"/>
    </w:p>
    <w:p w14:paraId="6785CDFC"/>
    <w:sectPr>
      <w:pgSz w:w="16838" w:h="11906" w:orient="landscape"/>
      <w:pgMar w:top="1800" w:right="1440" w:bottom="1558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cript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4E76789-69C9-49ED-AC90-B2BEE27252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78ADB3D0-2798-40C1-8522-1C3D655D71AD}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  <w:embedRegular r:id="rId3" w:fontKey="{D7108CD3-9876-4460-BC32-743687BEB86A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4" w:fontKey="{292C993C-1DF9-4B4F-91E9-1E8D308F70A8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5" w:fontKey="{97E0303A-0959-46DE-B8B4-491DAEC0AE5C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CD272A00-D1B6-4CF7-8576-FB4BB8BDDBC7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533F63FC-80D3-4DE6-930F-64E110B1960A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0468D5F5-6B73-4AC3-98C5-FE654DED636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674A4F7B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19</w:t>
        </w:r>
        <w:r>
          <w:fldChar w:fldCharType="end"/>
        </w:r>
      </w:p>
    </w:sdtContent>
  </w:sdt>
  <w:p w14:paraId="48D54C27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  <w:pPr>
        <w:ind w:left="410"/>
      </w:pPr>
    </w:lvl>
  </w:abstractNum>
  <w:abstractNum w:abstractNumId="4">
    <w:nsid w:val="03D62ECE"/>
    <w:multiLevelType w:val="singleLevel"/>
    <w:tmpl w:val="03D62EC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TdiOGM5NzlhN2JhOTc3OTljZTBmY2FhN2MzNTk3ODEifQ=="/>
  </w:docVars>
  <w:rsids>
    <w:rsidRoot w:val="00000000"/>
    <w:rsid w:val="755A06C2"/>
  </w:rsids>
  <m:mathPr>
    <m:mathFont m:val="Cambria Math"/>
    <m:brkBin m:val="before"/>
    <m:brkBinSub m:val="--"/>
    <m:smallFrac m:val="1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5">
    <w:name w:val="Body Text"/>
    <w:basedOn w:val="1"/>
    <w:qFormat/>
    <w:uiPriority w:val="0"/>
    <w:pPr>
      <w:spacing w:after="120"/>
    </w:pPr>
  </w:style>
  <w:style w:type="paragraph" w:styleId="6">
    <w:name w:val="Balloon Text"/>
    <w:basedOn w:val="1"/>
    <w:link w:val="22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HTML Preformatted"/>
    <w:basedOn w:val="1"/>
    <w:qFormat/>
    <w:uiPriority w:val="0"/>
    <w:pPr>
      <w:jc w:val="left"/>
    </w:pPr>
    <w:rPr>
      <w:rFonts w:ascii="宋体" w:hAnsi="宋体" w:cs="宋体"/>
      <w:kern w:val="0"/>
      <w:sz w:val="24"/>
      <w:szCs w:val="24"/>
    </w:rPr>
  </w:style>
  <w:style w:type="paragraph" w:styleId="10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1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2">
    <w:name w:val="Body Text First Indent"/>
    <w:basedOn w:val="5"/>
    <w:qFormat/>
    <w:uiPriority w:val="0"/>
    <w:pPr>
      <w:spacing w:after="0"/>
      <w:ind w:firstLine="200" w:firstLineChars="200"/>
    </w:pPr>
  </w:style>
  <w:style w:type="table" w:styleId="14">
    <w:name w:val="Table Grid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Char"/>
    <w:basedOn w:val="15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Char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Char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Char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Props1.xml><?xml version="1.0" encoding="utf-8"?>
<ds:datastoreItem xmlns:ds="http://schemas.openxmlformats.org/officeDocument/2006/customXml" ds:itemID="{7d7361b0-4bc6-432b-b907-418d874d0f7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xtc</Company>
  <Pages>23</Pages>
  <Words>12553</Words>
  <Characters>12938</Characters>
  <Lines>94</Lines>
  <Paragraphs>26</Paragraphs>
  <TotalTime>22</TotalTime>
  <ScaleCrop>false</ScaleCrop>
  <LinksUpToDate>false</LinksUpToDate>
  <CharactersWithSpaces>12963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来财&amp;十个勤天</cp:lastModifiedBy>
  <dcterms:modified xsi:type="dcterms:W3CDTF">2025-11-13T05:32:14Z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eyJoZGlkIjoiZTEwMTFjZmI3NWUwMGRmYWEyNzFiMzQ2OTlkZWE5ODAiLCJ1c2VySWQiOiIzNzI2MDMzNTYifQ==</vt:lpwstr>
  </property>
</Properties>
</file>