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特克斯县总工会2024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3B64B42">
      <w:r>
        <w:br w:type="page"/>
      </w:r>
    </w:p>
    <w:p w14:paraId="5C46BFA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2AF782FB">
      <w:pPr>
        <w:spacing w:line="640" w:lineRule="exact"/>
        <w:ind w:firstLine="640"/>
        <w:jc w:val="both"/>
        <w:outlineLvl w:val="2"/>
      </w:pPr>
      <w:r>
        <w:rPr>
          <w:rFonts w:ascii="黑体" w:hAnsi="黑体" w:eastAsia="黑体"/>
          <w:sz w:val="32"/>
        </w:rPr>
        <w:t>一、主要职能</w:t>
      </w:r>
    </w:p>
    <w:p w14:paraId="2D4ACEC7">
      <w:pPr>
        <w:spacing w:line="580" w:lineRule="exact"/>
        <w:ind w:firstLine="640"/>
        <w:jc w:val="both"/>
      </w:pPr>
      <w:r>
        <w:rPr>
          <w:rFonts w:ascii="仿宋_GB2312" w:hAnsi="仿宋_GB2312" w:eastAsia="仿宋_GB2312"/>
          <w:sz w:val="32"/>
        </w:rPr>
        <w:t>（一）根据党的基本理论、基本路线、基本纲领和工运方针，以及县委的工作部署和要求，围绕党和国家的工作大局，按照自治州党委和自治州总工会的要求，贯彻执行自治州工会确定的目标、任务和作出的决议。</w:t>
      </w:r>
    </w:p>
    <w:p w14:paraId="0D365456">
      <w:pPr>
        <w:spacing w:line="580" w:lineRule="exact"/>
        <w:ind w:firstLine="640"/>
        <w:jc w:val="both"/>
      </w:pPr>
      <w:r>
        <w:rPr>
          <w:rFonts w:ascii="仿宋_GB2312" w:hAnsi="仿宋_GB2312" w:eastAsia="仿宋_GB2312"/>
          <w:sz w:val="32"/>
        </w:rPr>
        <w:t>（二）依照有关法律和《中国工会章程》，组织和指导全县各级工会的工作，进一步突出和履行维护职能，维护职工的合法权益，协助政府做好劳模的推荐评选和管理工作，负责</w:t>
      </w:r>
      <w:r>
        <w:rPr>
          <w:rFonts w:hint="eastAsia" w:ascii="仿宋_GB2312" w:hAnsi="仿宋_GB2312" w:eastAsia="仿宋_GB2312"/>
          <w:sz w:val="32"/>
          <w:lang w:eastAsia="zh-CN"/>
        </w:rPr>
        <w:t>“五一劳动奖章”</w:t>
      </w:r>
      <w:r>
        <w:rPr>
          <w:rFonts w:ascii="仿宋_GB2312" w:hAnsi="仿宋_GB2312" w:eastAsia="仿宋_GB2312"/>
          <w:sz w:val="32"/>
        </w:rPr>
        <w:t>、奖状获得者、劳模和先进工作者的推荐评选和管理工作。</w:t>
      </w:r>
    </w:p>
    <w:p w14:paraId="3D2C23F2">
      <w:pPr>
        <w:spacing w:line="580" w:lineRule="exact"/>
        <w:ind w:firstLine="640"/>
        <w:jc w:val="both"/>
      </w:pPr>
      <w:r>
        <w:rPr>
          <w:rFonts w:ascii="仿宋_GB2312" w:hAnsi="仿宋_GB2312" w:eastAsia="仿宋_GB2312"/>
          <w:sz w:val="32"/>
        </w:rPr>
        <w:t>（三）进一步加强对涉及职工合法权益的重大问题的调查研究，向县委、县人民政府反映职工群众的思想、愿望和要求，提出意见和建议；参与涉及职工切身利益的政策、法规、制度的拟定工作；对侵犯职工合法权益的重大事件进行调查并提出处理意见；参与职工重大伤亡事故的调查处理。</w:t>
      </w:r>
    </w:p>
    <w:p w14:paraId="062AA05C">
      <w:pPr>
        <w:spacing w:line="580" w:lineRule="exact"/>
        <w:ind w:firstLine="640"/>
        <w:jc w:val="both"/>
      </w:pPr>
      <w:r>
        <w:rPr>
          <w:rFonts w:ascii="仿宋_GB2312" w:hAnsi="仿宋_GB2312" w:eastAsia="仿宋_GB2312"/>
          <w:sz w:val="32"/>
        </w:rPr>
        <w:t>（四）监督检查《中华人民共和国工会法</w:t>
      </w:r>
      <w:r>
        <w:rPr>
          <w:rFonts w:hint="eastAsia" w:ascii="仿宋_GB2312" w:hAnsi="仿宋_GB2312" w:eastAsia="仿宋_GB2312"/>
          <w:sz w:val="32"/>
          <w:lang w:eastAsia="zh-CN"/>
        </w:rPr>
        <w:t>》《</w:t>
      </w:r>
      <w:r>
        <w:rPr>
          <w:rFonts w:ascii="仿宋_GB2312" w:hAnsi="仿宋_GB2312" w:eastAsia="仿宋_GB2312"/>
          <w:sz w:val="32"/>
        </w:rPr>
        <w:t>中国工会章程</w:t>
      </w:r>
      <w:r>
        <w:rPr>
          <w:rFonts w:hint="eastAsia" w:ascii="仿宋_GB2312" w:hAnsi="仿宋_GB2312" w:eastAsia="仿宋_GB2312"/>
          <w:sz w:val="32"/>
          <w:lang w:eastAsia="zh-CN"/>
        </w:rPr>
        <w:t>》《</w:t>
      </w:r>
      <w:r>
        <w:rPr>
          <w:rFonts w:ascii="仿宋_GB2312" w:hAnsi="仿宋_GB2312" w:eastAsia="仿宋_GB2312"/>
          <w:sz w:val="32"/>
        </w:rPr>
        <w:t>中华人民共和国劳动合同法</w:t>
      </w:r>
      <w:r>
        <w:rPr>
          <w:rFonts w:hint="eastAsia" w:ascii="仿宋_GB2312" w:hAnsi="仿宋_GB2312" w:eastAsia="仿宋_GB2312"/>
          <w:sz w:val="32"/>
          <w:lang w:eastAsia="zh-CN"/>
        </w:rPr>
        <w:t>》和</w:t>
      </w:r>
      <w:r>
        <w:rPr>
          <w:rFonts w:ascii="仿宋_GB2312" w:hAnsi="仿宋_GB2312" w:eastAsia="仿宋_GB2312"/>
          <w:sz w:val="32"/>
        </w:rPr>
        <w:t>《自治区非公有制工会条例》的贯彻执行情况，指导基层工会组织开展以职工代表大会为基本制度的民主决策、民主选举、民主管理和民主监督工作。</w:t>
      </w:r>
    </w:p>
    <w:p w14:paraId="488CEE54">
      <w:pPr>
        <w:spacing w:line="580" w:lineRule="exact"/>
        <w:ind w:firstLine="640"/>
        <w:jc w:val="both"/>
      </w:pPr>
      <w:r>
        <w:rPr>
          <w:rFonts w:ascii="仿宋_GB2312" w:hAnsi="仿宋_GB2312" w:eastAsia="仿宋_GB2312"/>
          <w:sz w:val="32"/>
        </w:rPr>
        <w:t>（五）负责全县工会经费的收缴上解和工会资产管理、审查、审计工作。</w:t>
      </w:r>
    </w:p>
    <w:p w14:paraId="4904F55F">
      <w:pPr>
        <w:spacing w:line="580" w:lineRule="exact"/>
        <w:ind w:firstLine="640"/>
        <w:jc w:val="both"/>
      </w:pPr>
      <w:r>
        <w:rPr>
          <w:rFonts w:ascii="仿宋_GB2312" w:hAnsi="仿宋_GB2312" w:eastAsia="仿宋_GB2312"/>
          <w:sz w:val="32"/>
        </w:rPr>
        <w:t>（六）承担县委、县人民政府和自治州总工会交办的其他事项。</w:t>
      </w:r>
    </w:p>
    <w:p w14:paraId="38748E0E">
      <w:pPr>
        <w:spacing w:line="640" w:lineRule="exact"/>
        <w:ind w:firstLine="640"/>
        <w:jc w:val="both"/>
        <w:outlineLvl w:val="2"/>
      </w:pPr>
      <w:r>
        <w:rPr>
          <w:rFonts w:ascii="黑体" w:hAnsi="黑体" w:eastAsia="黑体"/>
          <w:sz w:val="32"/>
        </w:rPr>
        <w:t>二、机构设置及人员情况</w:t>
      </w:r>
    </w:p>
    <w:p w14:paraId="1282BA03">
      <w:pPr>
        <w:spacing w:line="580" w:lineRule="exact"/>
        <w:ind w:firstLine="640"/>
        <w:jc w:val="both"/>
      </w:pPr>
      <w:r>
        <w:rPr>
          <w:rFonts w:ascii="仿宋_GB2312" w:hAnsi="仿宋_GB2312" w:eastAsia="仿宋_GB2312"/>
          <w:sz w:val="32"/>
        </w:rPr>
        <w:t>特克斯县总工会2024年度，实有人数14人，其中：在职人员7人，减少1人；离休人员0人，增加0人；退休人员7人,增加0人。</w:t>
      </w:r>
    </w:p>
    <w:p w14:paraId="2E665FEE">
      <w:pPr>
        <w:spacing w:line="580" w:lineRule="exact"/>
        <w:ind w:firstLine="640"/>
        <w:jc w:val="both"/>
      </w:pPr>
      <w:r>
        <w:rPr>
          <w:rFonts w:ascii="仿宋_GB2312" w:hAnsi="仿宋_GB2312" w:eastAsia="仿宋_GB2312"/>
          <w:sz w:val="32"/>
        </w:rPr>
        <w:t>特克斯县总工会无下属预算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，下设6个科室，分别是：办公室、组宣室、维权室、财务室、帮扶中心、工会职工文化活动中心。</w:t>
      </w:r>
    </w:p>
    <w:p w14:paraId="7638A3B0">
      <w:r>
        <w:br w:type="page"/>
      </w:r>
    </w:p>
    <w:p w14:paraId="79A5DC48">
      <w:pPr>
        <w:spacing w:line="240" w:lineRule="auto"/>
        <w:jc w:val="center"/>
        <w:outlineLvl w:val="1"/>
      </w:pPr>
      <w:r>
        <w:rPr>
          <w:rFonts w:ascii="黑体" w:hAnsi="黑体" w:eastAsia="黑体"/>
          <w:sz w:val="32"/>
        </w:rPr>
        <w:t>第二部分 部门决算情况说明</w:t>
      </w:r>
    </w:p>
    <w:p w14:paraId="7D1C3973">
      <w:pPr>
        <w:spacing w:line="640" w:lineRule="exact"/>
        <w:ind w:firstLine="640"/>
        <w:jc w:val="both"/>
        <w:outlineLvl w:val="2"/>
      </w:pPr>
      <w:r>
        <w:rPr>
          <w:rFonts w:ascii="黑体" w:hAnsi="黑体" w:eastAsia="黑体"/>
          <w:sz w:val="32"/>
        </w:rPr>
        <w:t>一、收入支出决算总体情况说明</w:t>
      </w:r>
    </w:p>
    <w:p w14:paraId="476EA8EE">
      <w:pPr>
        <w:spacing w:line="580" w:lineRule="exact"/>
        <w:ind w:firstLine="640"/>
        <w:jc w:val="both"/>
      </w:pPr>
      <w:r>
        <w:rPr>
          <w:rFonts w:ascii="仿宋_GB2312" w:hAnsi="仿宋_GB2312" w:eastAsia="仿宋_GB2312"/>
          <w:b/>
          <w:sz w:val="32"/>
        </w:rPr>
        <w:t>2024年度收入总计138.96万元，</w:t>
      </w:r>
      <w:r>
        <w:rPr>
          <w:rFonts w:ascii="仿宋_GB2312" w:hAnsi="仿宋_GB2312" w:eastAsia="仿宋_GB2312"/>
          <w:b w:val="0"/>
          <w:sz w:val="32"/>
        </w:rPr>
        <w:t>其中：本年收入合计138.96万元，使用非财政拨款结余（含专用结余）0.00万元，年初结转和结余0.00万元。</w:t>
      </w:r>
    </w:p>
    <w:p w14:paraId="049FAFAD">
      <w:pPr>
        <w:spacing w:line="580" w:lineRule="exact"/>
        <w:ind w:firstLine="640"/>
        <w:jc w:val="both"/>
      </w:pPr>
      <w:r>
        <w:rPr>
          <w:rFonts w:ascii="仿宋_GB2312" w:hAnsi="仿宋_GB2312" w:eastAsia="仿宋_GB2312"/>
          <w:b/>
          <w:sz w:val="32"/>
        </w:rPr>
        <w:t>2024年度支出总计138.96万元，</w:t>
      </w:r>
      <w:r>
        <w:rPr>
          <w:rFonts w:ascii="仿宋_GB2312" w:hAnsi="仿宋_GB2312" w:eastAsia="仿宋_GB2312"/>
          <w:b w:val="0"/>
          <w:sz w:val="32"/>
        </w:rPr>
        <w:t>其中：本年支出合计138.96万元，结余分配0.00万元，年末结转和结余0.00万元。</w:t>
      </w:r>
    </w:p>
    <w:p w14:paraId="075DBF9C">
      <w:pPr>
        <w:spacing w:line="580" w:lineRule="exact"/>
        <w:ind w:firstLine="640"/>
        <w:jc w:val="both"/>
      </w:pPr>
      <w:r>
        <w:rPr>
          <w:rFonts w:ascii="仿宋_GB2312" w:hAnsi="仿宋_GB2312" w:eastAsia="仿宋_GB2312"/>
          <w:b w:val="0"/>
          <w:sz w:val="32"/>
        </w:rPr>
        <w:t>收入支出总体与上年相比，增加12.61万元，增长9.98%，主要原因是：在职人员工资调增、社保、公积金基数调增，人员经费增加。</w:t>
      </w:r>
    </w:p>
    <w:p w14:paraId="228DD409">
      <w:pPr>
        <w:spacing w:line="640" w:lineRule="exact"/>
        <w:ind w:firstLine="640"/>
        <w:jc w:val="both"/>
        <w:outlineLvl w:val="2"/>
      </w:pPr>
      <w:r>
        <w:rPr>
          <w:rFonts w:ascii="黑体" w:hAnsi="黑体" w:eastAsia="黑体"/>
          <w:sz w:val="32"/>
        </w:rPr>
        <w:t>二、收入决算情况说明</w:t>
      </w:r>
    </w:p>
    <w:p w14:paraId="735EED87">
      <w:pPr>
        <w:spacing w:line="580" w:lineRule="exact"/>
        <w:ind w:firstLine="640"/>
        <w:jc w:val="both"/>
      </w:pPr>
      <w:r>
        <w:rPr>
          <w:rFonts w:ascii="仿宋_GB2312" w:hAnsi="仿宋_GB2312" w:eastAsia="仿宋_GB2312"/>
          <w:b/>
          <w:sz w:val="32"/>
        </w:rPr>
        <w:t>本年收入138.96万元，</w:t>
      </w:r>
      <w:r>
        <w:rPr>
          <w:rFonts w:ascii="仿宋_GB2312" w:hAnsi="仿宋_GB2312" w:eastAsia="仿宋_GB2312"/>
          <w:b w:val="0"/>
          <w:sz w:val="32"/>
        </w:rPr>
        <w:t>其中：财政拨款收入138.96万元，占100.00%；上级补助收入0.00万元，占0.00%；事业收入0.00万元，占0.00%；经营收入0.00万元，占0.00%；附属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7646618F">
      <w:pPr>
        <w:spacing w:line="640" w:lineRule="exact"/>
        <w:ind w:firstLine="640"/>
        <w:jc w:val="both"/>
        <w:outlineLvl w:val="2"/>
      </w:pPr>
      <w:r>
        <w:rPr>
          <w:rFonts w:ascii="黑体" w:hAnsi="黑体" w:eastAsia="黑体"/>
          <w:sz w:val="32"/>
        </w:rPr>
        <w:t>三、支出决算情况说明</w:t>
      </w:r>
    </w:p>
    <w:p w14:paraId="6DAF4127">
      <w:pPr>
        <w:spacing w:line="580" w:lineRule="exact"/>
        <w:ind w:firstLine="640"/>
        <w:jc w:val="both"/>
      </w:pPr>
      <w:r>
        <w:rPr>
          <w:rFonts w:ascii="仿宋_GB2312" w:hAnsi="仿宋_GB2312" w:eastAsia="仿宋_GB2312"/>
          <w:b/>
          <w:sz w:val="32"/>
        </w:rPr>
        <w:t>本年支出138.96万元，</w:t>
      </w:r>
      <w:r>
        <w:rPr>
          <w:rFonts w:ascii="仿宋_GB2312" w:hAnsi="仿宋_GB2312" w:eastAsia="仿宋_GB2312"/>
          <w:b w:val="0"/>
          <w:sz w:val="32"/>
        </w:rPr>
        <w:t>其中：基本支出138.96万元，占100.00%；项目支出0.00万元，占0.00%；上缴上级支出0.00万元，占0.00%；经营支出0.00万元，占0.00%；对附属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41F6156A">
      <w:pPr>
        <w:spacing w:line="640" w:lineRule="exact"/>
        <w:ind w:firstLine="640"/>
        <w:jc w:val="both"/>
        <w:outlineLvl w:val="2"/>
      </w:pPr>
      <w:r>
        <w:rPr>
          <w:rFonts w:ascii="黑体" w:hAnsi="黑体" w:eastAsia="黑体"/>
          <w:sz w:val="32"/>
        </w:rPr>
        <w:t>四、财政拨款收入支出决算总体情况说明</w:t>
      </w:r>
    </w:p>
    <w:p w14:paraId="0F1A5FF9">
      <w:pPr>
        <w:spacing w:line="580" w:lineRule="exact"/>
        <w:ind w:firstLine="640"/>
        <w:jc w:val="both"/>
      </w:pPr>
      <w:r>
        <w:rPr>
          <w:rFonts w:ascii="仿宋_GB2312" w:hAnsi="仿宋_GB2312" w:eastAsia="仿宋_GB2312"/>
          <w:b/>
          <w:sz w:val="32"/>
        </w:rPr>
        <w:t>2024年度财政拨款收入总计138.96万元，</w:t>
      </w:r>
      <w:r>
        <w:rPr>
          <w:rFonts w:ascii="仿宋_GB2312" w:hAnsi="仿宋_GB2312" w:eastAsia="仿宋_GB2312"/>
          <w:b w:val="0"/>
          <w:sz w:val="32"/>
        </w:rPr>
        <w:t>其中：年初财政拨款结转和结余0.00万元，本年财政拨款收入138.96万元。</w:t>
      </w:r>
      <w:r>
        <w:rPr>
          <w:rFonts w:ascii="仿宋_GB2312" w:hAnsi="仿宋_GB2312" w:eastAsia="仿宋_GB2312"/>
          <w:b/>
          <w:sz w:val="32"/>
        </w:rPr>
        <w:t>财政拨款支出总计138.96万元，</w:t>
      </w:r>
      <w:r>
        <w:rPr>
          <w:rFonts w:ascii="仿宋_GB2312" w:hAnsi="仿宋_GB2312" w:eastAsia="仿宋_GB2312"/>
          <w:b w:val="0"/>
          <w:sz w:val="32"/>
        </w:rPr>
        <w:t>其中：年末财政拨款结转和结余0.00万元，本年财政拨款支出138.96万元。</w:t>
      </w:r>
    </w:p>
    <w:p w14:paraId="1ED8585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增加12.61万元，增长9.98%，主要原因是：本年在职人员工资调增、社保、公积金基数调增，人员经费增加。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年初预算数136.95万元，决算数138.96万元，预决算差异率1.47%，主要原因是：年中追加人员工资、社保、公积金基数调增部分资金，导致预决算存在差异。</w:t>
      </w:r>
    </w:p>
    <w:p w14:paraId="6889EC2A">
      <w:pPr>
        <w:spacing w:line="640" w:lineRule="exact"/>
        <w:ind w:firstLine="640"/>
        <w:jc w:val="both"/>
        <w:outlineLvl w:val="2"/>
      </w:pPr>
      <w:r>
        <w:rPr>
          <w:rFonts w:ascii="黑体" w:hAnsi="黑体" w:eastAsia="黑体"/>
          <w:sz w:val="32"/>
        </w:rPr>
        <w:t>五、一般公共预算财政拨款支出决算情况说明</w:t>
      </w:r>
    </w:p>
    <w:p w14:paraId="33E13D9D">
      <w:pPr>
        <w:spacing w:line="640" w:lineRule="exact"/>
        <w:ind w:firstLine="640"/>
        <w:jc w:val="both"/>
        <w:outlineLvl w:val="3"/>
      </w:pPr>
      <w:r>
        <w:rPr>
          <w:rFonts w:ascii="楷体_GB2312" w:hAnsi="楷体_GB2312" w:eastAsia="楷体_GB2312"/>
          <w:b/>
          <w:sz w:val="32"/>
        </w:rPr>
        <w:t>（一）一般公共预算财政拨款支出决算总体情况</w:t>
      </w:r>
    </w:p>
    <w:p w14:paraId="1A83B27F">
      <w:pPr>
        <w:spacing w:line="580" w:lineRule="exact"/>
        <w:ind w:firstLine="640"/>
        <w:jc w:val="both"/>
      </w:pPr>
      <w:r>
        <w:rPr>
          <w:rFonts w:ascii="仿宋_GB2312" w:hAnsi="仿宋_GB2312" w:eastAsia="仿宋_GB2312"/>
          <w:b/>
          <w:sz w:val="32"/>
        </w:rPr>
        <w:t>2024年度一般公共预算财政拨款支出138.96万元，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增加12.61万元，增长9.98%，主要原因是：本年在职人员工资调增、社保、公积金基数调增，人员经费增加。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年初预算数136.95万元，决算数138.96万元，预决算差异率1.47%，主要原因是：年中追加人员工资、社保、公积金基数调增部分资金，导致预决算存在差异。</w:t>
      </w:r>
    </w:p>
    <w:p w14:paraId="7F8BF3C1">
      <w:pPr>
        <w:spacing w:line="640" w:lineRule="exact"/>
        <w:ind w:firstLine="640"/>
        <w:jc w:val="both"/>
        <w:outlineLvl w:val="3"/>
      </w:pPr>
      <w:r>
        <w:rPr>
          <w:rFonts w:ascii="楷体_GB2312" w:hAnsi="楷体_GB2312" w:eastAsia="楷体_GB2312"/>
          <w:b/>
          <w:sz w:val="32"/>
        </w:rPr>
        <w:t>（二）一般公共预算财政拨款支出决算结构情况</w:t>
      </w:r>
    </w:p>
    <w:p w14:paraId="67DB808F">
      <w:pPr>
        <w:spacing w:line="580" w:lineRule="exact"/>
        <w:ind w:firstLine="640"/>
        <w:jc w:val="both"/>
      </w:pPr>
      <w:r>
        <w:rPr>
          <w:rFonts w:ascii="仿宋_GB2312" w:hAnsi="仿宋_GB2312" w:eastAsia="仿宋_GB2312"/>
          <w:b w:val="0"/>
          <w:sz w:val="32"/>
        </w:rPr>
        <w:t>1.一般公共服务支出(类)109.85万元,占79.05%。</w:t>
      </w:r>
    </w:p>
    <w:p w14:paraId="2851D60E">
      <w:pPr>
        <w:spacing w:line="580" w:lineRule="exact"/>
        <w:ind w:firstLine="640"/>
        <w:jc w:val="both"/>
      </w:pPr>
      <w:r>
        <w:rPr>
          <w:rFonts w:ascii="仿宋_GB2312" w:hAnsi="仿宋_GB2312" w:eastAsia="仿宋_GB2312"/>
          <w:b w:val="0"/>
          <w:sz w:val="32"/>
        </w:rPr>
        <w:t>2.社会保障和就业支出(类)13.44万元,占9.67%。</w:t>
      </w:r>
    </w:p>
    <w:p w14:paraId="02FA656E">
      <w:pPr>
        <w:spacing w:line="580" w:lineRule="exact"/>
        <w:ind w:firstLine="640"/>
        <w:jc w:val="both"/>
      </w:pPr>
      <w:r>
        <w:rPr>
          <w:rFonts w:ascii="仿宋_GB2312" w:hAnsi="仿宋_GB2312" w:eastAsia="仿宋_GB2312"/>
          <w:b w:val="0"/>
          <w:sz w:val="32"/>
        </w:rPr>
        <w:t>3.卫生健康支出(类)5.52万元,占3.97%。</w:t>
      </w:r>
    </w:p>
    <w:p w14:paraId="487EA94E">
      <w:pPr>
        <w:spacing w:line="580" w:lineRule="exact"/>
        <w:ind w:firstLine="640"/>
        <w:jc w:val="both"/>
      </w:pPr>
      <w:r>
        <w:rPr>
          <w:rFonts w:ascii="仿宋_GB2312" w:hAnsi="仿宋_GB2312" w:eastAsia="仿宋_GB2312"/>
          <w:b w:val="0"/>
          <w:sz w:val="32"/>
        </w:rPr>
        <w:t>4.住房保障支出(类)10.15万元,占7.30%。</w:t>
      </w:r>
    </w:p>
    <w:p w14:paraId="683FEC3F">
      <w:pPr>
        <w:spacing w:line="640" w:lineRule="exact"/>
        <w:ind w:firstLine="640"/>
        <w:jc w:val="both"/>
        <w:outlineLvl w:val="3"/>
      </w:pPr>
      <w:r>
        <w:rPr>
          <w:rFonts w:ascii="楷体_GB2312" w:hAnsi="楷体_GB2312" w:eastAsia="楷体_GB2312"/>
          <w:b/>
          <w:sz w:val="32"/>
        </w:rPr>
        <w:t>（三）一般公共预算财政拨款支出决算具体情况</w:t>
      </w:r>
    </w:p>
    <w:p w14:paraId="332FCB59">
      <w:pPr>
        <w:spacing w:line="580" w:lineRule="exact"/>
        <w:ind w:firstLine="640"/>
        <w:jc w:val="both"/>
      </w:pPr>
      <w:r>
        <w:rPr>
          <w:rFonts w:ascii="仿宋_GB2312" w:hAnsi="仿宋_GB2312" w:eastAsia="仿宋_GB2312"/>
          <w:b w:val="0"/>
          <w:sz w:val="32"/>
        </w:rPr>
        <w:t>1.一般公共服务支出(类)群众团体事务(款)行政运行(项):支出决算数为109.85万元，比上年决算增加10.87万元，增长10.98%,主要原因是：本年在职人员工资调增，人员经费增加。</w:t>
      </w:r>
    </w:p>
    <w:p w14:paraId="43EA90B9">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基本养老保险缴费支出(项):支出决算数为13.44万元，比上年决算增加1.57万元，增长13.23%,主要原因是：本年在职人员工资基数调增，养老缴费基数上涨，相应支出增加。</w:t>
      </w:r>
    </w:p>
    <w:p w14:paraId="1F2A90CA">
      <w:pPr>
        <w:spacing w:line="580" w:lineRule="exact"/>
        <w:ind w:firstLine="640"/>
        <w:jc w:val="both"/>
      </w:pPr>
      <w:r>
        <w:rPr>
          <w:rFonts w:ascii="仿宋_GB2312" w:hAnsi="仿宋_GB2312" w:eastAsia="仿宋_GB2312"/>
          <w:b w:val="0"/>
          <w:sz w:val="32"/>
        </w:rPr>
        <w:t>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医疗(项):支出决算数为5.36万元，比上年决算减少0.24万元，下降4.29%,主要原因是：2024年辞职1人，医疗保险缴费较上年减少。</w:t>
      </w:r>
    </w:p>
    <w:p w14:paraId="0C1B3F74">
      <w:pPr>
        <w:spacing w:line="580" w:lineRule="exact"/>
        <w:ind w:firstLine="640"/>
        <w:jc w:val="both"/>
      </w:pPr>
      <w:r>
        <w:rPr>
          <w:rFonts w:ascii="仿宋_GB2312" w:hAnsi="仿宋_GB2312" w:eastAsia="仿宋_GB2312"/>
          <w:b w:val="0"/>
          <w:sz w:val="32"/>
        </w:rPr>
        <w:t>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医疗(款)公务员医疗补助(项):支出决算数为0.07万元，比上年决算增加0.00万元，增长0.00%,主要原因是：公务员医疗补助较上年无变化。</w:t>
      </w:r>
    </w:p>
    <w:p w14:paraId="4AE6CB97">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医疗支出(项):支出决算数为0.09万元，比上年决算减少0.08万元，下降47.06%,主要原因是：本年在职人员减少，其他行政事业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E204EE6">
      <w:pPr>
        <w:spacing w:line="580" w:lineRule="exact"/>
        <w:ind w:firstLine="640"/>
        <w:jc w:val="both"/>
      </w:pPr>
      <w:r>
        <w:rPr>
          <w:rFonts w:ascii="仿宋_GB2312" w:hAnsi="仿宋_GB2312" w:eastAsia="仿宋_GB2312"/>
          <w:b w:val="0"/>
          <w:sz w:val="32"/>
        </w:rPr>
        <w:t>6.住房保障支出(类)住房改革支出(款)住房公积金(项):支出决算数为10.15万元，比上年决算增加0.49万元，增长5.07%,主要原因是：本年在职人员工资基数调增，公积金缴费基数上涨，相应支出增加。</w:t>
      </w:r>
    </w:p>
    <w:p w14:paraId="3E5E2979">
      <w:pPr>
        <w:spacing w:line="640" w:lineRule="exact"/>
        <w:ind w:firstLine="640"/>
        <w:jc w:val="both"/>
        <w:outlineLvl w:val="2"/>
      </w:pPr>
      <w:r>
        <w:rPr>
          <w:rFonts w:ascii="黑体" w:hAnsi="黑体" w:eastAsia="黑体"/>
          <w:sz w:val="32"/>
        </w:rPr>
        <w:t>六、一般公共预算财政拨款基本支出决算情况说明</w:t>
      </w:r>
    </w:p>
    <w:p w14:paraId="11482D13">
      <w:pPr>
        <w:spacing w:line="580" w:lineRule="exact"/>
        <w:ind w:firstLine="640"/>
        <w:jc w:val="both"/>
      </w:pPr>
      <w:r>
        <w:rPr>
          <w:rFonts w:ascii="仿宋_GB2312" w:hAnsi="仿宋_GB2312" w:eastAsia="仿宋_GB2312"/>
          <w:b w:val="0"/>
          <w:sz w:val="32"/>
        </w:rPr>
        <w:t>2024年度一般公共预算财政拨款基本支出138.96万元，其中：</w:t>
      </w:r>
      <w:r>
        <w:rPr>
          <w:rFonts w:ascii="仿宋_GB2312" w:hAnsi="仿宋_GB2312" w:eastAsia="仿宋_GB2312"/>
          <w:b/>
          <w:sz w:val="32"/>
        </w:rPr>
        <w:t>人员经费134.70万元，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基本养老保险缴费、职工基本医疗保险缴费、公务员医疗补助缴费、其他社会保障缴费、住房公积金、退休费。</w:t>
      </w:r>
    </w:p>
    <w:p w14:paraId="75EFAEAF">
      <w:pPr>
        <w:spacing w:line="580" w:lineRule="exact"/>
        <w:ind w:firstLine="640"/>
        <w:jc w:val="both"/>
      </w:pPr>
      <w:r>
        <w:rPr>
          <w:rFonts w:ascii="仿宋_GB2312" w:hAnsi="仿宋_GB2312" w:eastAsia="仿宋_GB2312"/>
          <w:b/>
          <w:sz w:val="32"/>
        </w:rPr>
        <w:t>公用经费4.25万元，</w:t>
      </w:r>
      <w:r>
        <w:rPr>
          <w:rFonts w:ascii="仿宋_GB2312" w:hAnsi="仿宋_GB2312" w:eastAsia="仿宋_GB2312"/>
          <w:b w:val="0"/>
          <w:sz w:val="32"/>
        </w:rPr>
        <w:t>包括：办公费、水费、取暖费、工会经费、公务用车运行维护费。</w:t>
      </w:r>
    </w:p>
    <w:p w14:paraId="039D3450">
      <w:pPr>
        <w:spacing w:line="640" w:lineRule="exact"/>
        <w:ind w:firstLine="640"/>
        <w:jc w:val="both"/>
        <w:outlineLvl w:val="2"/>
      </w:pPr>
      <w:r>
        <w:rPr>
          <w:rFonts w:ascii="黑体" w:hAnsi="黑体" w:eastAsia="黑体"/>
          <w:sz w:val="32"/>
        </w:rPr>
        <w:t>七、政府性基金预算财政拨款收入支出决算情况说明</w:t>
      </w:r>
    </w:p>
    <w:p w14:paraId="43726D0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2A1B9194">
      <w:pPr>
        <w:spacing w:line="640" w:lineRule="exact"/>
        <w:ind w:firstLine="640"/>
        <w:jc w:val="both"/>
        <w:outlineLvl w:val="2"/>
      </w:pPr>
      <w:r>
        <w:rPr>
          <w:rFonts w:ascii="黑体" w:hAnsi="黑体" w:eastAsia="黑体"/>
          <w:sz w:val="32"/>
        </w:rPr>
        <w:t>八、国有资本经营预算财政拨款收入支出决算情况说明</w:t>
      </w:r>
    </w:p>
    <w:p w14:paraId="13F80798">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083986C7">
      <w:pPr>
        <w:spacing w:line="640" w:lineRule="exact"/>
        <w:ind w:firstLine="640"/>
        <w:jc w:val="both"/>
        <w:outlineLvl w:val="2"/>
      </w:pPr>
      <w:r>
        <w:rPr>
          <w:rFonts w:ascii="黑体" w:hAnsi="黑体" w:eastAsia="黑体"/>
          <w:sz w:val="32"/>
        </w:rPr>
        <w:t>九、财政拨款“三公”经费支出决算情况说明</w:t>
      </w:r>
    </w:p>
    <w:p w14:paraId="49B7546C">
      <w:pPr>
        <w:spacing w:line="580" w:lineRule="exact"/>
        <w:ind w:firstLine="640"/>
        <w:jc w:val="both"/>
      </w:pPr>
      <w:r>
        <w:rPr>
          <w:rFonts w:ascii="仿宋_GB2312" w:hAnsi="仿宋_GB2312" w:eastAsia="仿宋_GB2312"/>
          <w:b/>
          <w:sz w:val="32"/>
        </w:rPr>
        <w:t>2024年度财政拨款“三公”经费支出0.20万元，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0.20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7162B9AE">
      <w:pPr>
        <w:spacing w:line="580" w:lineRule="exact"/>
        <w:ind w:firstLine="640"/>
        <w:jc w:val="both"/>
      </w:pPr>
      <w:r>
        <w:rPr>
          <w:rFonts w:ascii="仿宋_GB2312" w:hAnsi="仿宋_GB2312" w:eastAsia="仿宋_GB2312"/>
          <w:b/>
          <w:sz w:val="32"/>
        </w:rPr>
        <w:t>具体情况如下：</w:t>
      </w:r>
    </w:p>
    <w:p w14:paraId="471BC2E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CF0E851">
      <w:pPr>
        <w:spacing w:line="580" w:lineRule="exact"/>
        <w:ind w:firstLine="640"/>
        <w:jc w:val="both"/>
      </w:pPr>
      <w:r>
        <w:rPr>
          <w:rFonts w:ascii="仿宋_GB2312" w:hAnsi="仿宋_GB2312" w:eastAsia="仿宋_GB2312"/>
          <w:b w:val="0"/>
          <w:sz w:val="32"/>
        </w:rPr>
        <w:t>公务用车购置及运行维护费0.20万元，其中：公务用车购置费0.00万元，公务用车运行维护费0.20万元。公务用车运行维护费开支内容包括车辆保险费支出。公务用车购置数0辆，公务用车保有量1辆。国有资产占用情况中固定资产车辆0辆，与公务用车保有量差异原因是：一般公务用车未在国有资产系统录入，属于工会资产。</w:t>
      </w:r>
    </w:p>
    <w:p w14:paraId="47C177CB">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579A358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0.20万元，决算数0.20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0.20万元，决算数0.20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2C6324D0">
      <w:pPr>
        <w:spacing w:line="640" w:lineRule="exact"/>
        <w:ind w:firstLine="640"/>
        <w:jc w:val="both"/>
        <w:outlineLvl w:val="2"/>
      </w:pPr>
      <w:r>
        <w:rPr>
          <w:rFonts w:ascii="黑体" w:hAnsi="黑体" w:eastAsia="黑体"/>
          <w:sz w:val="32"/>
        </w:rPr>
        <w:t>十、其他重要事项的情况说明</w:t>
      </w:r>
    </w:p>
    <w:p w14:paraId="73329C40">
      <w:pPr>
        <w:spacing w:line="640" w:lineRule="exact"/>
        <w:ind w:firstLine="640"/>
        <w:jc w:val="both"/>
        <w:outlineLvl w:val="3"/>
      </w:pPr>
      <w:r>
        <w:rPr>
          <w:rFonts w:ascii="楷体_GB2312" w:hAnsi="楷体_GB2312" w:eastAsia="楷体_GB2312"/>
          <w:b/>
          <w:sz w:val="32"/>
        </w:rPr>
        <w:t>（一）机关运行经费及公用经费支出情况</w:t>
      </w:r>
    </w:p>
    <w:p w14:paraId="5DB6ECDD">
      <w:pPr>
        <w:spacing w:line="580" w:lineRule="exact"/>
        <w:ind w:firstLine="640"/>
        <w:jc w:val="both"/>
      </w:pPr>
      <w:r>
        <w:rPr>
          <w:rFonts w:ascii="仿宋_GB2312" w:hAnsi="仿宋_GB2312" w:eastAsia="仿宋_GB2312"/>
          <w:b w:val="0"/>
          <w:sz w:val="32"/>
        </w:rPr>
        <w:t>2024年度特克斯县总工会（行政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）机关运行经费支出4.25万元，比上年增加2.43万元，增长133.52%，主要原因是：本年较上年增加</w:t>
      </w:r>
      <w:r>
        <w:rPr>
          <w:rFonts w:hint="eastAsia" w:ascii="仿宋_GB2312" w:hAnsi="仿宋_GB2312" w:eastAsia="仿宋_GB2312"/>
          <w:b w:val="0"/>
          <w:sz w:val="32"/>
          <w:lang w:val="en-US" w:eastAsia="zh-CN"/>
        </w:rPr>
        <w:t>取暖费</w:t>
      </w:r>
      <w:r>
        <w:rPr>
          <w:rFonts w:ascii="仿宋_GB2312" w:hAnsi="仿宋_GB2312" w:eastAsia="仿宋_GB2312"/>
          <w:b w:val="0"/>
          <w:sz w:val="32"/>
        </w:rPr>
        <w:t>。</w:t>
      </w:r>
    </w:p>
    <w:p w14:paraId="7B5E2B8D">
      <w:pPr>
        <w:spacing w:line="640" w:lineRule="exact"/>
        <w:ind w:firstLine="640"/>
        <w:jc w:val="both"/>
        <w:outlineLvl w:val="3"/>
      </w:pPr>
      <w:r>
        <w:rPr>
          <w:rFonts w:ascii="楷体_GB2312" w:hAnsi="楷体_GB2312" w:eastAsia="楷体_GB2312"/>
          <w:b/>
          <w:sz w:val="32"/>
        </w:rPr>
        <w:t>（二）政府采购情况</w:t>
      </w:r>
    </w:p>
    <w:p w14:paraId="4A3CA5B8">
      <w:pPr>
        <w:spacing w:line="580" w:lineRule="exact"/>
        <w:ind w:firstLine="640"/>
        <w:jc w:val="both"/>
      </w:pPr>
      <w:r>
        <w:rPr>
          <w:rFonts w:ascii="仿宋_GB2312" w:hAnsi="仿宋_GB2312" w:eastAsia="仿宋_GB2312"/>
          <w:b w:val="0"/>
          <w:sz w:val="32"/>
        </w:rPr>
        <w:t>2024年度政府采购支出总额0.40万元，其中：政府采购货物支出0.00万元、政府采购工程支出0.00万元、政府采购服务支出0.40万元。</w:t>
      </w:r>
    </w:p>
    <w:p w14:paraId="7EEBBB2D">
      <w:pPr>
        <w:spacing w:line="580" w:lineRule="exact"/>
        <w:ind w:firstLine="640"/>
        <w:jc w:val="both"/>
      </w:pPr>
      <w:r>
        <w:rPr>
          <w:rFonts w:ascii="仿宋_GB2312" w:hAnsi="仿宋_GB2312" w:eastAsia="仿宋_GB2312"/>
          <w:b w:val="0"/>
          <w:sz w:val="32"/>
        </w:rPr>
        <w:t>授予中小企业合同金额0.10万元，占政府采购支出总额的25.00%，其中：授予小微企业合同金额0.10万元，占政府采购支出总额的25.00%。</w:t>
      </w:r>
    </w:p>
    <w:p w14:paraId="4E4A43C1">
      <w:pPr>
        <w:spacing w:line="640" w:lineRule="exact"/>
        <w:ind w:firstLine="640"/>
        <w:jc w:val="both"/>
        <w:outlineLvl w:val="3"/>
      </w:pPr>
      <w:r>
        <w:rPr>
          <w:rFonts w:ascii="楷体_GB2312" w:hAnsi="楷体_GB2312" w:eastAsia="楷体_GB2312"/>
          <w:b/>
          <w:sz w:val="32"/>
        </w:rPr>
        <w:t>（三）国有资产占用情况说明</w:t>
      </w:r>
    </w:p>
    <w:p w14:paraId="2F94DAB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01F49F05">
      <w:pPr>
        <w:spacing w:line="640" w:lineRule="exact"/>
        <w:ind w:firstLine="640"/>
        <w:jc w:val="both"/>
        <w:outlineLvl w:val="2"/>
      </w:pPr>
      <w:r>
        <w:rPr>
          <w:rFonts w:ascii="黑体" w:hAnsi="黑体" w:eastAsia="黑体"/>
          <w:sz w:val="32"/>
        </w:rPr>
        <w:t>十一、预算绩效的情况说明</w:t>
      </w:r>
    </w:p>
    <w:p w14:paraId="6ACEB80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2024年度预算绩效管理形成整体支出绩效自评表1个，全年预算总额138.96万元，实际执行总额138.96万元；预算绩效评价项目0个，全年预算数0.00万元，全年执行数0.00万元。预算绩效管理取得的成效：本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无预算绩效项目。具体附整体支出绩效自评表。</w:t>
      </w:r>
    </w:p>
    <w:p w14:paraId="5E5E23E7">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0BB38E5F">
        <w:tblPrEx>
          <w:tblCellMar>
            <w:top w:w="0" w:type="dxa"/>
            <w:left w:w="108" w:type="dxa"/>
            <w:bottom w:w="0" w:type="dxa"/>
            <w:right w:w="108" w:type="dxa"/>
          </w:tblCellMar>
        </w:tblPrEx>
        <w:tc>
          <w:tcPr>
            <w:tcW w:w="8840" w:type="dxa"/>
            <w:gridSpan w:val="8"/>
            <w:vAlign w:val="center"/>
          </w:tcPr>
          <w:p w14:paraId="016F9A74">
            <w:pPr>
              <w:jc w:val="center"/>
            </w:pPr>
            <w:r>
              <w:rPr>
                <w:rFonts w:hint="eastAsia" w:ascii="宋体" w:hAnsi="宋体"/>
                <w:sz w:val="24"/>
                <w:lang w:eastAsia="zh-CN"/>
              </w:rPr>
              <w:t>单位</w:t>
            </w:r>
            <w:r>
              <w:rPr>
                <w:rFonts w:ascii="宋体" w:hAnsi="宋体" w:eastAsia="宋体"/>
                <w:sz w:val="24"/>
              </w:rPr>
              <w:t>整体支出绩效自评表</w:t>
            </w:r>
          </w:p>
        </w:tc>
      </w:tr>
      <w:tr w14:paraId="3D2C7033">
        <w:tblPrEx>
          <w:tblCellMar>
            <w:top w:w="0" w:type="dxa"/>
            <w:left w:w="108" w:type="dxa"/>
            <w:bottom w:w="0" w:type="dxa"/>
            <w:right w:w="108" w:type="dxa"/>
          </w:tblCellMar>
        </w:tblPrEx>
        <w:tc>
          <w:tcPr>
            <w:tcW w:w="8840" w:type="dxa"/>
            <w:gridSpan w:val="8"/>
            <w:vAlign w:val="center"/>
          </w:tcPr>
          <w:p w14:paraId="2F32FB53">
            <w:pPr>
              <w:jc w:val="center"/>
            </w:pPr>
            <w:r>
              <w:rPr>
                <w:rFonts w:ascii="宋体" w:hAnsi="宋体" w:eastAsia="宋体"/>
                <w:sz w:val="24"/>
              </w:rPr>
              <w:t>（2024年度）</w:t>
            </w:r>
          </w:p>
        </w:tc>
      </w:tr>
      <w:tr w14:paraId="1E5916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ECE18">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B760D1">
            <w:pPr>
              <w:jc w:val="center"/>
            </w:pPr>
            <w:r>
              <w:rPr>
                <w:rFonts w:ascii="宋体" w:hAnsi="宋体" w:eastAsia="宋体"/>
                <w:sz w:val="16"/>
              </w:rPr>
              <w:t>特克斯县总工会</w:t>
            </w:r>
          </w:p>
        </w:tc>
      </w:tr>
      <w:tr w14:paraId="76D3715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0314D">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E86E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7FA50E">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5F2929">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52F84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C4C8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ADD801">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046051">
            <w:pPr>
              <w:jc w:val="center"/>
            </w:pPr>
            <w:r>
              <w:rPr>
                <w:rFonts w:ascii="宋体" w:hAnsi="宋体" w:eastAsia="宋体"/>
                <w:sz w:val="16"/>
              </w:rPr>
              <w:t>得分</w:t>
            </w:r>
          </w:p>
        </w:tc>
      </w:tr>
      <w:tr w14:paraId="34A29E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B7811C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DF277D">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1D7B1C">
            <w:pPr>
              <w:jc w:val="center"/>
            </w:pPr>
            <w:r>
              <w:rPr>
                <w:rFonts w:ascii="宋体" w:hAnsi="宋体" w:eastAsia="宋体"/>
                <w:sz w:val="16"/>
              </w:rPr>
              <w:t>136.94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1E530">
            <w:pPr>
              <w:jc w:val="center"/>
            </w:pPr>
            <w:r>
              <w:rPr>
                <w:rFonts w:ascii="宋体" w:hAnsi="宋体" w:eastAsia="宋体"/>
                <w:sz w:val="16"/>
              </w:rPr>
              <w:t>138.96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77D2F4">
            <w:pPr>
              <w:jc w:val="center"/>
            </w:pPr>
            <w:r>
              <w:rPr>
                <w:rFonts w:ascii="宋体" w:hAnsi="宋体" w:eastAsia="宋体"/>
                <w:sz w:val="16"/>
              </w:rPr>
              <w:t>138.96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3F4D7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5EC1F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0538EFF">
            <w:pPr>
              <w:jc w:val="center"/>
            </w:pPr>
            <w:r>
              <w:rPr>
                <w:rFonts w:ascii="宋体" w:hAnsi="宋体" w:eastAsia="宋体"/>
                <w:sz w:val="16"/>
              </w:rPr>
              <w:t>10</w:t>
            </w:r>
          </w:p>
        </w:tc>
      </w:tr>
      <w:tr w14:paraId="55819D0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2C6305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9FC18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CB09B7">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7B6BD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8D59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C3B7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FA8C4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73A665">
            <w:pPr>
              <w:jc w:val="center"/>
            </w:pPr>
            <w:r>
              <w:rPr>
                <w:rFonts w:ascii="宋体" w:hAnsi="宋体" w:eastAsia="宋体"/>
                <w:sz w:val="16"/>
              </w:rPr>
              <w:t>-</w:t>
            </w:r>
          </w:p>
        </w:tc>
      </w:tr>
      <w:tr w14:paraId="1202E95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D87075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60EE7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B3DEC1">
            <w:pPr>
              <w:jc w:val="center"/>
            </w:pPr>
            <w:r>
              <w:rPr>
                <w:rFonts w:ascii="宋体" w:hAnsi="宋体" w:eastAsia="宋体"/>
                <w:sz w:val="16"/>
              </w:rPr>
              <w:t>136.94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05B520">
            <w:pPr>
              <w:jc w:val="center"/>
            </w:pPr>
            <w:r>
              <w:rPr>
                <w:rFonts w:ascii="宋体" w:hAnsi="宋体" w:eastAsia="宋体"/>
                <w:sz w:val="16"/>
              </w:rPr>
              <w:t>138.96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2BF162">
            <w:pPr>
              <w:jc w:val="center"/>
            </w:pPr>
            <w:r>
              <w:rPr>
                <w:rFonts w:ascii="宋体" w:hAnsi="宋体" w:eastAsia="宋体"/>
                <w:sz w:val="16"/>
              </w:rPr>
              <w:t>138.96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AF3FB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469F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E71046">
            <w:pPr>
              <w:jc w:val="center"/>
            </w:pPr>
            <w:r>
              <w:rPr>
                <w:rFonts w:ascii="宋体" w:hAnsi="宋体" w:eastAsia="宋体"/>
                <w:sz w:val="16"/>
              </w:rPr>
              <w:t>-</w:t>
            </w:r>
          </w:p>
        </w:tc>
      </w:tr>
      <w:tr w14:paraId="55197D6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13027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7B45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03C8AC">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92819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6B36A">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352FD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C4F84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DF61E1">
            <w:pPr>
              <w:jc w:val="center"/>
            </w:pPr>
            <w:r>
              <w:rPr>
                <w:rFonts w:ascii="宋体" w:hAnsi="宋体" w:eastAsia="宋体"/>
                <w:sz w:val="16"/>
              </w:rPr>
              <w:t>-</w:t>
            </w:r>
          </w:p>
        </w:tc>
      </w:tr>
      <w:tr w14:paraId="7ABB1BC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220E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8DCE95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90AA6F">
            <w:pPr>
              <w:jc w:val="center"/>
            </w:pPr>
            <w:r>
              <w:rPr>
                <w:rFonts w:ascii="宋体" w:hAnsi="宋体" w:eastAsia="宋体"/>
                <w:sz w:val="16"/>
              </w:rPr>
              <w:t>实际完成情况</w:t>
            </w:r>
          </w:p>
        </w:tc>
      </w:tr>
      <w:tr w14:paraId="55104C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22AF8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16E62F">
            <w:pPr>
              <w:jc w:val="both"/>
            </w:pPr>
            <w:r>
              <w:rPr>
                <w:rFonts w:ascii="宋体" w:hAnsi="宋体" w:eastAsia="宋体"/>
                <w:sz w:val="16"/>
              </w:rPr>
              <w:t>2024年，特克斯县总工会将坚持问题导向，创新思路举措，</w:t>
            </w:r>
            <w:r>
              <w:rPr>
                <w:rFonts w:hint="eastAsia" w:ascii="宋体" w:hAnsi="宋体"/>
                <w:sz w:val="16"/>
                <w:lang w:eastAsia="zh-CN"/>
              </w:rPr>
              <w:t>巩固拓展主题教育成果</w:t>
            </w:r>
            <w:r>
              <w:rPr>
                <w:rFonts w:ascii="宋体" w:hAnsi="宋体" w:eastAsia="宋体"/>
                <w:sz w:val="16"/>
              </w:rPr>
              <w:t>，深化“县级工会加强年”专项行动，采取部门协同、上下联动，深入开展“工会助力‘人文特克斯’主题活动月”活动，推动“月月有重点”激活工会工作一盘棋，即：1月为送温暖月，2月为工会干部素质提升月，3月为巾帼服务月，4月为劳动和技能竞赛月，5月为劳模精神弘扬月，6月为线上会员服务月，7月为户外劳动者关爱月，8月为“县级工会加强年”巩固深化月，9月为职工文体活动月，10月为职工技术创新月，11月为服务阵地“惠”会员，12月为和谐劳动关系促进月，通过“主题活动月”等系列活动，进一步提升工会组织的影响力、吸引力、凝聚力，在全县各有工会营造积极作为、创新争先的良好氛围，推动工会在助推特克斯县高质量发展建</w:t>
            </w:r>
            <w:r>
              <w:rPr>
                <w:rFonts w:hint="eastAsia" w:ascii="宋体" w:hAnsi="宋体"/>
                <w:sz w:val="16"/>
                <w:lang w:eastAsia="zh-CN"/>
              </w:rPr>
              <w:t>设中</w:t>
            </w:r>
            <w:r>
              <w:rPr>
                <w:rFonts w:ascii="宋体" w:hAnsi="宋体" w:eastAsia="宋体"/>
                <w:sz w:val="16"/>
              </w:rPr>
              <w:t>展现新作为、展示新面貌。</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A80DF0">
            <w:pPr>
              <w:jc w:val="both"/>
            </w:pPr>
            <w:r>
              <w:rPr>
                <w:rFonts w:ascii="宋体" w:hAnsi="宋体" w:eastAsia="宋体"/>
                <w:sz w:val="16"/>
              </w:rPr>
              <w:t>（一）强化思想引领，凝聚思想共识</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是深入开展以铸牢中华民族共同体意识主题宣讲活动60场次。二是打造“劳模工匠宣讲党的创新理论”品牌,开展劳模宣讲活动4场次。三是践行“四下基层”优良传统，组织干部常态化下沉基层工会一线，解决职工急难愁盼问题，走访基层工会146家。四是充分发挥自身宣传优势，踊跃向各级媒体平台投送宣传稿件，向各平台投稿总计92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（二）建强基层组织，夯实工作基础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一是持续做好</w:t>
            </w:r>
            <w:r>
              <w:rPr>
                <w:rFonts w:hint="eastAsia" w:ascii="宋体" w:hAnsi="宋体"/>
                <w:sz w:val="16"/>
                <w:lang w:eastAsia="zh-CN"/>
              </w:rPr>
              <w:t>“两新”组织</w:t>
            </w:r>
            <w:r>
              <w:rPr>
                <w:rFonts w:ascii="宋体" w:hAnsi="宋体" w:eastAsia="宋体"/>
                <w:sz w:val="16"/>
              </w:rPr>
              <w:t>、新就业形态劳动者、社会组织建会专项行动，新组建基层工会5家，新发展工会会员161人。二是管好用好社会化工作者和专职集体协商指导员两支队伍，解决基层工会力量薄弱问题。</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（三）强化阵地建设，打造服务职工新平台</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是完善县职工服务中心各功能室基础设施，通过“健康职工”线上预约平台分批有序向辖区职工开放。二是县工人文化宫综合体育馆（扩建）项目完成审图工作，待招投标后适时开工建设。三是积极发挥阵地作用，在全县范围（含乡镇）的工会驿站、健康小屋、职工小家、职工书屋均免费向职工开放，共服务职工及群众13000余人次。四是对已建30家工会驿站统一工会驿站名称及标识。新打造3家工会驿站，完成3家工会驿站的提升改造，打造完成24小时驿站9家，提升驿站均配备书架、报刊、书籍、血压仪、充电设备、雨伞等设施。新打造智能化驿站1家，配备监控，安装刷脸门禁、远程医疗设备等智能化设备。五是打造1家州级劳模和工匠人才创新工作室。此工作室以喀拉达拉镇库木吐别克村原村党支部书记张桂彬为核心引领，紧密围绕乡村发展需求，扎实开展各类技术培训与实践指导活动。致力于培育一批有知识、懂技术、善经营的新型农民，为乡村振兴事业注入强劲动力。六是申报朱新春劳模和工匠人才创新工作室为2024年自治区劳模和工匠人才创新工作室扶持对象。</w:t>
            </w:r>
          </w:p>
        </w:tc>
      </w:tr>
      <w:tr w14:paraId="1A2B6F82">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C49783">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BFFB63">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A9D055">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E51E1">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9111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9184E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7CB4D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1D8F7B">
            <w:pPr>
              <w:jc w:val="center"/>
            </w:pPr>
            <w:r>
              <w:rPr>
                <w:rFonts w:ascii="宋体" w:hAnsi="宋体" w:eastAsia="宋体"/>
                <w:sz w:val="16"/>
              </w:rPr>
              <w:t>得分</w:t>
            </w:r>
          </w:p>
        </w:tc>
      </w:tr>
      <w:tr w14:paraId="1723092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012AD">
            <w:pPr>
              <w:jc w:val="center"/>
            </w:pPr>
            <w:r>
              <w:rPr>
                <w:rFonts w:ascii="宋体" w:hAnsi="宋体" w:eastAsia="宋体"/>
                <w:sz w:val="16"/>
              </w:rPr>
              <w:t>履职效能</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D1815">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5D010E">
            <w:pPr>
              <w:jc w:val="center"/>
            </w:pPr>
            <w:r>
              <w:rPr>
                <w:rFonts w:ascii="宋体" w:hAnsi="宋体" w:eastAsia="宋体"/>
                <w:sz w:val="16"/>
              </w:rPr>
              <w:t>开展好“四季送”温服活动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941CD1">
            <w:pPr>
              <w:jc w:val="center"/>
            </w:pPr>
            <w:r>
              <w:rPr>
                <w:rFonts w:ascii="宋体" w:hAnsi="宋体" w:eastAsia="宋体"/>
                <w:sz w:val="16"/>
              </w:rPr>
              <w:t>&gt;=6次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C63980">
            <w:pPr>
              <w:jc w:val="center"/>
            </w:pPr>
            <w:r>
              <w:rPr>
                <w:rFonts w:ascii="宋体" w:hAnsi="宋体" w:eastAsia="宋体"/>
                <w:sz w:val="16"/>
              </w:rPr>
              <w:t>特克斯县总工会2024年度工作要点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D505E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15F3958">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AC05AD">
            <w:pPr>
              <w:jc w:val="center"/>
            </w:pPr>
            <w:r>
              <w:rPr>
                <w:rFonts w:ascii="宋体" w:hAnsi="宋体" w:eastAsia="宋体"/>
                <w:sz w:val="16"/>
              </w:rPr>
              <w:t>20</w:t>
            </w:r>
          </w:p>
        </w:tc>
      </w:tr>
      <w:tr w14:paraId="3737B02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237224"/>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DB1A2">
            <w:pPr>
              <w:jc w:val="center"/>
            </w:pPr>
            <w:r>
              <w:rPr>
                <w:rFonts w:ascii="宋体" w:hAnsi="宋体" w:eastAsia="宋体"/>
                <w:sz w:val="16"/>
              </w:rPr>
              <w:t>数量指标</w:t>
            </w:r>
            <w:r>
              <w:rPr>
                <w:rFonts w:ascii="宋体" w:hAnsi="宋体" w:eastAsia="宋体"/>
                <w:sz w:val="16"/>
              </w:rPr>
              <w:tab/>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5D8299">
            <w:pPr>
              <w:jc w:val="center"/>
            </w:pPr>
            <w:r>
              <w:rPr>
                <w:rFonts w:ascii="宋体" w:hAnsi="宋体" w:eastAsia="宋体"/>
                <w:sz w:val="16"/>
              </w:rPr>
              <w:t>干部素质提升培训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CE460">
            <w:pPr>
              <w:jc w:val="center"/>
            </w:pPr>
            <w:r>
              <w:rPr>
                <w:rFonts w:ascii="宋体" w:hAnsi="宋体" w:eastAsia="宋体"/>
                <w:sz w:val="16"/>
              </w:rPr>
              <w:t>&gt;=2场次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AB800B">
            <w:pPr>
              <w:jc w:val="center"/>
            </w:pPr>
            <w:r>
              <w:rPr>
                <w:rFonts w:ascii="宋体" w:hAnsi="宋体" w:eastAsia="宋体"/>
                <w:sz w:val="16"/>
              </w:rPr>
              <w:t>特克斯县总工会2024年度工作要点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4B11C">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E0FBF8">
            <w:pPr>
              <w:jc w:val="center"/>
            </w:pPr>
            <w:r>
              <w:rPr>
                <w:rFonts w:ascii="宋体" w:hAnsi="宋体" w:eastAsia="宋体"/>
                <w:sz w:val="16"/>
              </w:rPr>
              <w:t>2场次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B07F35">
            <w:pPr>
              <w:jc w:val="center"/>
            </w:pPr>
            <w:r>
              <w:rPr>
                <w:rFonts w:ascii="宋体" w:hAnsi="宋体" w:eastAsia="宋体"/>
                <w:sz w:val="16"/>
              </w:rPr>
              <w:t>20</w:t>
            </w:r>
          </w:p>
        </w:tc>
      </w:tr>
      <w:tr w14:paraId="3F6429F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5B4E19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55B0F0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9CA3EC">
            <w:pPr>
              <w:jc w:val="center"/>
            </w:pPr>
            <w:r>
              <w:rPr>
                <w:rFonts w:ascii="宋体" w:hAnsi="宋体" w:eastAsia="宋体"/>
                <w:sz w:val="16"/>
              </w:rPr>
              <w:t>劳动和技能竞赛</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03212B">
            <w:pPr>
              <w:jc w:val="center"/>
            </w:pPr>
            <w:r>
              <w:rPr>
                <w:rFonts w:ascii="宋体" w:hAnsi="宋体" w:eastAsia="宋体"/>
                <w:sz w:val="16"/>
              </w:rPr>
              <w:t>&gt;=4次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228AA4">
            <w:pPr>
              <w:jc w:val="center"/>
            </w:pPr>
            <w:r>
              <w:rPr>
                <w:rFonts w:ascii="宋体" w:hAnsi="宋体" w:eastAsia="宋体"/>
                <w:sz w:val="16"/>
              </w:rPr>
              <w:t>特克斯县总工会2024年度工作要点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D9C2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08F518">
            <w:pPr>
              <w:jc w:val="center"/>
            </w:pPr>
            <w:r>
              <w:rPr>
                <w:rFonts w:ascii="宋体" w:hAnsi="宋体" w:eastAsia="宋体"/>
                <w:sz w:val="16"/>
              </w:rPr>
              <w:t>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35A303">
            <w:pPr>
              <w:jc w:val="center"/>
            </w:pPr>
            <w:r>
              <w:rPr>
                <w:rFonts w:ascii="宋体" w:hAnsi="宋体" w:eastAsia="宋体"/>
                <w:sz w:val="16"/>
              </w:rPr>
              <w:t>15</w:t>
            </w:r>
          </w:p>
        </w:tc>
      </w:tr>
      <w:tr w14:paraId="447AB77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F04364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998E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68C5C">
            <w:pPr>
              <w:jc w:val="center"/>
            </w:pPr>
            <w:r>
              <w:rPr>
                <w:rFonts w:ascii="宋体" w:hAnsi="宋体" w:eastAsia="宋体"/>
                <w:sz w:val="16"/>
              </w:rPr>
              <w:t>工会户外劳动者服务站点建设</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68761F">
            <w:pPr>
              <w:jc w:val="center"/>
            </w:pPr>
            <w:r>
              <w:rPr>
                <w:rFonts w:ascii="宋体" w:hAnsi="宋体" w:eastAsia="宋体"/>
                <w:sz w:val="16"/>
              </w:rPr>
              <w:t>&lt;=3个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6BB66F">
            <w:pPr>
              <w:jc w:val="center"/>
            </w:pPr>
            <w:r>
              <w:rPr>
                <w:rFonts w:ascii="宋体" w:hAnsi="宋体" w:eastAsia="宋体"/>
                <w:sz w:val="16"/>
              </w:rPr>
              <w:t>特克斯县总工会2024年度工作要点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41A23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5E2AA7">
            <w:pPr>
              <w:jc w:val="center"/>
            </w:pPr>
            <w:r>
              <w:rPr>
                <w:rFonts w:ascii="宋体" w:hAnsi="宋体" w:eastAsia="宋体"/>
                <w:sz w:val="16"/>
              </w:rPr>
              <w:t>3个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A7B58C">
            <w:pPr>
              <w:jc w:val="center"/>
            </w:pPr>
            <w:r>
              <w:rPr>
                <w:rFonts w:ascii="宋体" w:hAnsi="宋体" w:eastAsia="宋体"/>
                <w:sz w:val="16"/>
              </w:rPr>
              <w:t>15</w:t>
            </w:r>
          </w:p>
        </w:tc>
      </w:tr>
      <w:tr w14:paraId="17BC01C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C55631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7FB0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DA2E8E">
            <w:pPr>
              <w:jc w:val="center"/>
            </w:pPr>
            <w:r>
              <w:rPr>
                <w:rFonts w:ascii="宋体" w:hAnsi="宋体" w:eastAsia="宋体"/>
                <w:sz w:val="16"/>
              </w:rPr>
              <w:t>开展各类宣讲活动</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1F2807">
            <w:pPr>
              <w:jc w:val="center"/>
            </w:pPr>
            <w:r>
              <w:rPr>
                <w:rFonts w:ascii="宋体" w:hAnsi="宋体" w:eastAsia="宋体"/>
                <w:sz w:val="16"/>
              </w:rPr>
              <w:t>&gt;=5次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097D08">
            <w:pPr>
              <w:jc w:val="center"/>
            </w:pPr>
            <w:r>
              <w:rPr>
                <w:rFonts w:ascii="宋体" w:hAnsi="宋体" w:eastAsia="宋体"/>
                <w:sz w:val="16"/>
              </w:rPr>
              <w:t>特克斯县总工会2024年度工作要点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43ED45">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F5CCDD">
            <w:pPr>
              <w:jc w:val="center"/>
            </w:pPr>
            <w:r>
              <w:rPr>
                <w:rFonts w:ascii="宋体" w:hAnsi="宋体" w:eastAsia="宋体"/>
                <w:sz w:val="16"/>
              </w:rPr>
              <w:t>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704EDA">
            <w:pPr>
              <w:jc w:val="center"/>
            </w:pPr>
            <w:r>
              <w:rPr>
                <w:rFonts w:ascii="宋体" w:hAnsi="宋体" w:eastAsia="宋体"/>
                <w:sz w:val="16"/>
              </w:rPr>
              <w:t>20</w:t>
            </w:r>
          </w:p>
        </w:tc>
      </w:tr>
    </w:tbl>
    <w:p w14:paraId="3BE3F475">
      <w:r>
        <w:br w:type="page"/>
      </w:r>
    </w:p>
    <w:p w14:paraId="1B1501A8">
      <w:pPr>
        <w:spacing w:line="640" w:lineRule="exact"/>
        <w:ind w:firstLine="640"/>
        <w:jc w:val="both"/>
        <w:outlineLvl w:val="2"/>
      </w:pPr>
      <w:r>
        <w:rPr>
          <w:rFonts w:ascii="黑体" w:hAnsi="黑体" w:eastAsia="黑体"/>
          <w:sz w:val="32"/>
        </w:rPr>
        <w:t>十二、其他需说明的事项</w:t>
      </w:r>
    </w:p>
    <w:p w14:paraId="49CD318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75D28E1">
      <w:r>
        <w:br w:type="page"/>
      </w:r>
    </w:p>
    <w:p w14:paraId="08CF58A9">
      <w:pPr>
        <w:spacing w:line="240" w:lineRule="auto"/>
        <w:jc w:val="center"/>
        <w:outlineLvl w:val="1"/>
      </w:pPr>
      <w:r>
        <w:rPr>
          <w:rFonts w:ascii="黑体" w:hAnsi="黑体" w:eastAsia="黑体"/>
          <w:sz w:val="32"/>
        </w:rPr>
        <w:t>第三部分 专业名词解释</w:t>
      </w:r>
    </w:p>
    <w:p w14:paraId="37E4497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BF086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D5BD73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05D3BCF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10B38B44">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AA4DE7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35632E3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669023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B198D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40AC2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1F27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62F59C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7A5F06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F84C2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DE5C4A7">
      <w:r>
        <w:br w:type="page"/>
      </w:r>
    </w:p>
    <w:p w14:paraId="7D869666">
      <w:pPr>
        <w:spacing w:line="240" w:lineRule="auto"/>
        <w:jc w:val="center"/>
        <w:outlineLvl w:val="1"/>
      </w:pPr>
      <w:r>
        <w:rPr>
          <w:rFonts w:ascii="黑体" w:hAnsi="黑体" w:eastAsia="黑体"/>
          <w:sz w:val="32"/>
        </w:rPr>
        <w:t>第四部分 部门决算报表（见附表）</w:t>
      </w:r>
    </w:p>
    <w:p w14:paraId="584C4C0D">
      <w:pPr>
        <w:spacing w:line="240" w:lineRule="auto"/>
        <w:ind w:firstLine="640"/>
        <w:jc w:val="both"/>
      </w:pPr>
      <w:r>
        <w:rPr>
          <w:rFonts w:ascii="仿宋_GB2312" w:hAnsi="仿宋_GB2312" w:eastAsia="仿宋_GB2312"/>
          <w:b w:val="0"/>
          <w:sz w:val="32"/>
        </w:rPr>
        <w:t>一、《收入支出决算总表》</w:t>
      </w:r>
    </w:p>
    <w:p w14:paraId="7AE01543">
      <w:pPr>
        <w:spacing w:line="240" w:lineRule="auto"/>
        <w:ind w:firstLine="640"/>
        <w:jc w:val="both"/>
      </w:pPr>
      <w:r>
        <w:rPr>
          <w:rFonts w:ascii="仿宋_GB2312" w:hAnsi="仿宋_GB2312" w:eastAsia="仿宋_GB2312"/>
          <w:b w:val="0"/>
          <w:sz w:val="32"/>
        </w:rPr>
        <w:t>二、《收入决算表》</w:t>
      </w:r>
    </w:p>
    <w:p w14:paraId="3D58050E">
      <w:pPr>
        <w:spacing w:line="240" w:lineRule="auto"/>
        <w:ind w:firstLine="640"/>
        <w:jc w:val="both"/>
      </w:pPr>
      <w:r>
        <w:rPr>
          <w:rFonts w:ascii="仿宋_GB2312" w:hAnsi="仿宋_GB2312" w:eastAsia="仿宋_GB2312"/>
          <w:b w:val="0"/>
          <w:sz w:val="32"/>
        </w:rPr>
        <w:t>三、《支出决算表》</w:t>
      </w:r>
    </w:p>
    <w:p w14:paraId="28E8F634">
      <w:pPr>
        <w:spacing w:line="240" w:lineRule="auto"/>
        <w:ind w:firstLine="640"/>
        <w:jc w:val="both"/>
      </w:pPr>
      <w:r>
        <w:rPr>
          <w:rFonts w:ascii="仿宋_GB2312" w:hAnsi="仿宋_GB2312" w:eastAsia="仿宋_GB2312"/>
          <w:b w:val="0"/>
          <w:sz w:val="32"/>
        </w:rPr>
        <w:t>四、《财政拨款收入支出决算总表》</w:t>
      </w:r>
    </w:p>
    <w:p w14:paraId="0B6528D6">
      <w:pPr>
        <w:spacing w:line="240" w:lineRule="auto"/>
        <w:ind w:firstLine="640"/>
        <w:jc w:val="both"/>
      </w:pPr>
      <w:r>
        <w:rPr>
          <w:rFonts w:ascii="仿宋_GB2312" w:hAnsi="仿宋_GB2312" w:eastAsia="仿宋_GB2312"/>
          <w:b w:val="0"/>
          <w:sz w:val="32"/>
        </w:rPr>
        <w:t>五、《一般公共预算财政拨款支出决算表》</w:t>
      </w:r>
    </w:p>
    <w:p w14:paraId="5E406FD9">
      <w:pPr>
        <w:spacing w:line="240" w:lineRule="auto"/>
        <w:ind w:firstLine="640"/>
        <w:jc w:val="both"/>
      </w:pPr>
      <w:r>
        <w:rPr>
          <w:rFonts w:ascii="仿宋_GB2312" w:hAnsi="仿宋_GB2312" w:eastAsia="仿宋_GB2312"/>
          <w:b w:val="0"/>
          <w:sz w:val="32"/>
        </w:rPr>
        <w:t>六、《一般公共预算财政拨款基本支出决算表》</w:t>
      </w:r>
    </w:p>
    <w:p w14:paraId="46AA85FA">
      <w:pPr>
        <w:spacing w:line="240" w:lineRule="auto"/>
        <w:ind w:firstLine="640"/>
        <w:jc w:val="both"/>
      </w:pPr>
      <w:r>
        <w:rPr>
          <w:rFonts w:ascii="仿宋_GB2312" w:hAnsi="仿宋_GB2312" w:eastAsia="仿宋_GB2312"/>
          <w:b w:val="0"/>
          <w:sz w:val="32"/>
        </w:rPr>
        <w:t>七、《政府性基金预算财政拨款收入支出决算表》</w:t>
      </w:r>
    </w:p>
    <w:p w14:paraId="67FB06C6">
      <w:pPr>
        <w:spacing w:line="240" w:lineRule="auto"/>
        <w:ind w:firstLine="640"/>
        <w:jc w:val="both"/>
      </w:pPr>
      <w:r>
        <w:rPr>
          <w:rFonts w:ascii="仿宋_GB2312" w:hAnsi="仿宋_GB2312" w:eastAsia="仿宋_GB2312"/>
          <w:b w:val="0"/>
          <w:sz w:val="32"/>
        </w:rPr>
        <w:t>八、《国有资本经营预算财政拨款收入支出决算表》</w:t>
      </w:r>
    </w:p>
    <w:p w14:paraId="6FECADE9">
      <w:pPr>
        <w:spacing w:line="240" w:lineRule="auto"/>
        <w:ind w:firstLine="640"/>
        <w:jc w:val="both"/>
      </w:pPr>
      <w:r>
        <w:rPr>
          <w:rFonts w:ascii="仿宋_GB2312" w:hAnsi="仿宋_GB2312" w:eastAsia="仿宋_GB2312"/>
          <w:b w:val="0"/>
          <w:sz w:val="32"/>
        </w:rPr>
        <w:t>九、《财政拨款“三公”经费支出决算表》</w:t>
      </w:r>
    </w:p>
    <w:p w14:paraId="00E6ECEC">
      <w:pPr>
        <w:spacing w:line="240" w:lineRule="auto"/>
        <w:ind w:firstLine="640"/>
        <w:jc w:val="both"/>
      </w:pPr>
    </w:p>
    <w:p w14:paraId="3806408C">
      <w:pPr>
        <w:spacing w:line="240" w:lineRule="auto"/>
        <w:ind w:firstLine="640"/>
        <w:jc w:val="both"/>
      </w:pPr>
    </w:p>
    <w:p w14:paraId="48C806DC">
      <w:pPr>
        <w:spacing w:line="240" w:lineRule="auto"/>
        <w:ind w:firstLine="640"/>
        <w:jc w:val="both"/>
      </w:pPr>
    </w:p>
    <w:p w14:paraId="69DD76CA">
      <w:pPr>
        <w:spacing w:line="240" w:lineRule="auto"/>
        <w:ind w:firstLine="640"/>
        <w:jc w:val="both"/>
      </w:pPr>
    </w:p>
    <w:p w14:paraId="462F503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F45E2D"/>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90247F"/>
    <w:rsid w:val="69AD798C"/>
    <w:rsid w:val="6B68175F"/>
    <w:rsid w:val="6B8B5C99"/>
    <w:rsid w:val="6BA749C1"/>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cf517515-2175-4b4f-a476-1ece40a65c03</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62AA05C</paraID>
      <start>18</start>
      <end>20</end>
      <status>modified</status>
      <modifiedWord>》《</modifiedWord>
      <trackRevisions>false</trackRevisions>
    </reviewItem>
    <reviewItem>
      <errorID>dd0df500-4e01-43a1-9f7d-1d06d32c40cb</errorID>
      <errorWord>》、《</errorWord>
      <group>L1_Punc</group>
      <groupName>标点问题</groupName>
      <ability>L2_Punc</ability>
      <abilityName>标点符号检查</abilityName>
      <candidateList>
        <item>》《</item>
      </candidateList>
      <explain>根据国标GB/T 15834-2011《标点符号用法》中的4.5.3.5节，标有引号的并列成分之间、标有书名号的并列成分之间通常不用顿号。如“《红楼梦》《三国演义》《西游记》《水浒传》，是我国长篇小说的四大名著”。</explain>
      <paraID> 62AA05C</paraID>
      <start>26</start>
      <end>28</end>
      <status>modified</status>
      <modifiedWord>》《</modifiedWord>
      <trackRevisions>false</trackRevisions>
    </reviewItem>
    <reviewItem>
      <errorID>92bf2be4-fa52-4a1a-9db6-10f051c1e2f2</errorID>
      <errorWord>,</errorWord>
      <group>L1_Format</group>
      <groupName>格式问题</groupName>
      <ability>L2_HalfPunc</ability>
      <abilityName>全半角检查</abilityName>
      <candidateList>
        <item>，</item>
      </candidateList>
      <explain>文本全半角错误。</explain>
      <paraID>1282BA03</paraID>
      <start>55</start>
      <end>56</end>
      <status>unmodified</status>
      <modifiedWord/>
      <trackRevisions>false</trackRevisions>
    </reviewItem>
    <reviewItem>
      <errorID>48cbb40e-039a-47ad-9967-0e5d9452f449</errorID>
      <errorWord>,</errorWord>
      <group>L1_Format</group>
      <groupName>格式问题</groupName>
      <ability>L2_HalfPunc</ability>
      <abilityName>全半角检查</abilityName>
      <candidateList>
        <item>，</item>
      </candidateList>
      <explain>文本全半角错误。</explain>
      <paraID>1A83B27F</paraID>
      <start>109</start>
      <end>110</end>
      <status>unmodified</status>
      <modifiedWord/>
      <trackRevisions>false</trackRevisions>
    </reviewItem>
    <reviewItem>
      <errorID>4493ba85-2f59-4fe7-aaa5-bd7dc05a308b</errorID>
      <errorWord>,</errorWord>
      <group>L1_Format</group>
      <groupName>格式问题</groupName>
      <ability>L2_HalfPunc</ability>
      <abilityName>全半角检查</abilityName>
      <candidateList>
        <item>，</item>
      </candidateList>
      <explain>文本全半角错误。</explain>
      <paraID>67DB808F</paraID>
      <start>21</start>
      <end>22</end>
      <status>unmodified</status>
      <modifiedWord/>
      <trackRevisions>false</trackRevisions>
    </reviewItem>
    <reviewItem>
      <errorID>f1d0615d-9883-4484-9d07-fb550999bae3</errorID>
      <errorWord>,</errorWord>
      <group>L1_Format</group>
      <groupName>格式问题</groupName>
      <ability>L2_HalfPunc</ability>
      <abilityName>全半角检查</abilityName>
      <candidateList>
        <item>，</item>
      </candidateList>
      <explain>文本全半角错误。</explain>
      <paraID>2851D60E</paraID>
      <start>21</start>
      <end>22</end>
      <status>unmodified</status>
      <modifiedWord/>
      <trackRevisions>false</trackRevisions>
    </reviewItem>
    <reviewItem>
      <errorID>af0818fc-f9ba-401c-823b-8ffe3fb4e072</errorID>
      <errorWord>,</errorWord>
      <group>L1_Format</group>
      <groupName>格式问题</groupName>
      <ability>L2_HalfPunc</ability>
      <abilityName>全半角检查</abilityName>
      <candidateList>
        <item>，</item>
      </candidateList>
      <explain>文本全半角错误。</explain>
      <paraID> 2FA656E</paraID>
      <start>17</start>
      <end>18</end>
      <status>unmodified</status>
      <modifiedWord/>
      <trackRevisions>false</trackRevisions>
    </reviewItem>
    <reviewItem>
      <errorID>e5999d63-f86c-4971-b02a-ec2c71bfedf5</errorID>
      <errorWord>,</errorWord>
      <group>L1_Format</group>
      <groupName>格式问题</groupName>
      <ability>L2_HalfPunc</ability>
      <abilityName>全半角检查</abilityName>
      <candidateList>
        <item>，</item>
      </candidateList>
      <explain>文本全半角错误。</explain>
      <paraID>487EA94E</paraID>
      <start>18</start>
      <end>19</end>
      <status>unmodified</status>
      <modifiedWord/>
      <trackRevisions>false</trackRevisions>
    </reviewItem>
    <reviewItem>
      <errorID>0393023a-a011-440b-bccc-9c6c0d038ff2</errorID>
      <errorWord>:</errorWord>
      <group>L1_Format</group>
      <groupName>格式问题</groupName>
      <ability>L2_HalfPunc</ability>
      <abilityName>全半角检查</abilityName>
      <candidateList>
        <item>：</item>
      </candidateList>
      <explain>文本全半角错误。</explain>
      <paraID>332FCB59</paraID>
      <start>29</start>
      <end>30</end>
      <status>unmodified</status>
      <modifiedWord/>
      <trackRevisions>false</trackRevisions>
    </reviewItem>
    <reviewItem>
      <errorID>ed89e5e4-ba24-4a3a-b07b-70bda169c0a2</errorID>
      <errorWord>,</errorWord>
      <group>L1_Format</group>
      <groupName>格式问题</groupName>
      <ability>L2_HalfPunc</ability>
      <abilityName>全半角检查</abilityName>
      <candidateList>
        <item>，</item>
      </candidateList>
      <explain>文本全半角错误。</explain>
      <paraID>332FCB59</paraID>
      <start>68</start>
      <end>69</end>
      <status>unmodified</status>
      <modifiedWord/>
      <trackRevisions>false</trackRevisions>
    </reviewItem>
    <reviewItem>
      <errorID>9e9b811d-2bf6-4d6b-b673-e6cbb5e26b56</errorID>
      <errorWord>:</errorWord>
      <group>L1_Format</group>
      <groupName>格式问题</groupName>
      <ability>L2_HalfPunc</ability>
      <abilityName>全半角检查</abilityName>
      <candidateList>
        <item>：</item>
      </candidateList>
      <explain>文本全半角错误。</explain>
      <paraID>43EA90B9</paraID>
      <start>46</start>
      <end>47</end>
      <status>unmodified</status>
      <modifiedWord/>
      <trackRevisions>false</trackRevisions>
    </reviewItem>
    <reviewItem>
      <errorID>fbca1381-322e-4b1a-ac12-c3769631feb7</errorID>
      <errorWord>,</errorWord>
      <group>L1_Format</group>
      <groupName>格式问题</groupName>
      <ability>L2_HalfPunc</ability>
      <abilityName>全半角检查</abilityName>
      <candidateList>
        <item>，</item>
      </candidateList>
      <explain>文本全半角错误。</explain>
      <paraID>43EA90B9</paraID>
      <start>83</start>
      <end>84</end>
      <status>unmodified</status>
      <modifiedWord/>
      <trackRevisions>false</trackRevisions>
    </reviewItem>
    <reviewItem>
      <errorID>6b77ed0e-aa2b-4f67-91b1-573e63888593</errorID>
      <errorWord>:</errorWord>
      <group>L1_Format</group>
      <groupName>格式问题</groupName>
      <ability>L2_HalfPunc</ability>
      <abilityName>全半角检查</abilityName>
      <candidateList>
        <item>：</item>
      </candidateList>
      <explain>文本全半角错误。</explain>
      <paraID>1F2A90CA</paraID>
      <start>31</start>
      <end>32</end>
      <status>unmodified</status>
      <modifiedWord/>
      <trackRevisions>false</trackRevisions>
    </reviewItem>
    <reviewItem>
      <errorID>7e13ca34-f4b9-4079-8c93-4faefe6bc253</errorID>
      <errorWord>,</errorWord>
      <group>L1_Format</group>
      <groupName>格式问题</groupName>
      <ability>L2_HalfPunc</ability>
      <abilityName>全半角检查</abilityName>
      <candidateList>
        <item>，</item>
      </candidateList>
      <explain>文本全半角错误。</explain>
      <paraID>1F2A90CA</paraID>
      <start>66</start>
      <end>67</end>
      <status>unmodified</status>
      <modifiedWord/>
      <trackRevisions>false</trackRevisions>
    </reviewItem>
    <reviewItem>
      <errorID>311ef40a-6a9a-4f43-804b-9c5da1a418a3</errorID>
      <errorWord>:</errorWord>
      <group>L1_Format</group>
      <groupName>格式问题</groupName>
      <ability>L2_HalfPunc</ability>
      <abilityName>全半角检查</abilityName>
      <candidateList>
        <item>：</item>
      </candidateList>
      <explain>文本全半角错误。</explain>
      <paraID> C1B3F74</paraID>
      <start>32</start>
      <end>33</end>
      <status>unmodified</status>
      <modifiedWord/>
      <trackRevisions>false</trackRevisions>
    </reviewItem>
    <reviewItem>
      <errorID>f367a5fd-7da7-4d6b-a484-80676645d351</errorID>
      <errorWord>,</errorWord>
      <group>L1_Format</group>
      <groupName>格式问题</groupName>
      <ability>L2_HalfPunc</ability>
      <abilityName>全半角检查</abilityName>
      <candidateList>
        <item>，</item>
      </candidateList>
      <explain>文本全半角错误。</explain>
      <paraID> C1B3F74</paraID>
      <start>67</start>
      <end>68</end>
      <status>unmodified</status>
      <modifiedWord/>
      <trackRevisions>false</trackRevisions>
    </reviewItem>
    <reviewItem>
      <errorID>e63079e8-49c0-4766-8ff8-e9e9cb15f761</errorID>
      <errorWord>:</errorWord>
      <group>L1_Format</group>
      <groupName>格式问题</groupName>
      <ability>L2_HalfPunc</ability>
      <abilityName>全半角检查</abilityName>
      <candidateList>
        <item>：</item>
      </candidateList>
      <explain>文本全半角错误。</explain>
      <paraID>4AE6CB97</paraID>
      <start>37</start>
      <end>38</end>
      <status>unmodified</status>
      <modifiedWord/>
      <trackRevisions>false</trackRevisions>
    </reviewItem>
    <reviewItem>
      <errorID>be8d3b99-e606-4a36-8def-b0fed4a77380</errorID>
      <errorWord>,</errorWord>
      <group>L1_Format</group>
      <groupName>格式问题</groupName>
      <ability>L2_HalfPunc</ability>
      <abilityName>全半角检查</abilityName>
      <candidateList>
        <item>，</item>
      </candidateList>
      <explain>文本全半角错误。</explain>
      <paraID>4AE6CB97</paraID>
      <start>73</start>
      <end>74</end>
      <status>unmodified</status>
      <modifiedWord/>
      <trackRevisions>false</trackRevisions>
    </reviewItem>
    <reviewItem>
      <errorID>fac59009-d36a-4fd6-87d1-b27389f0e699</errorID>
      <errorWord>:</errorWord>
      <group>L1_Format</group>
      <groupName>格式问题</groupName>
      <ability>L2_HalfPunc</ability>
      <abilityName>全半角检查</abilityName>
      <candidateList>
        <item>：</item>
      </candidateList>
      <explain>文本全半角错误。</explain>
      <paraID> E204EE6</paraID>
      <start>28</start>
      <end>29</end>
      <status>unmodified</status>
      <modifiedWord/>
      <trackRevisions>false</trackRevisions>
    </reviewItem>
    <reviewItem>
      <errorID>660bcd44-f402-406f-ab3a-ba1cac910cf2</errorID>
      <errorWord>,</errorWord>
      <group>L1_Format</group>
      <groupName>格式问题</groupName>
      <ability>L2_HalfPunc</ability>
      <abilityName>全半角检查</abilityName>
      <candidateList>
        <item>，</item>
      </candidateList>
      <explain>文本全半角错误。</explain>
      <paraID> E204EE6</paraID>
      <start>64</start>
      <end>65</end>
      <status>unmodified</status>
      <modifiedWord/>
      <trackRevisions>false</trackRevisions>
    </reviewItem>
    <reviewItem>
      <errorID>b178c463-3ce6-424f-bdb7-b078a104e0c7</errorID>
      <errorWord>,</errorWord>
      <group>L1_Format</group>
      <groupName>格式问题</groupName>
      <ability>L2_HalfPunc</ability>
      <abilityName>全半角检查</abilityName>
      <candidateList>
        <item>，</item>
      </candidateList>
      <explain>文本全半角错误。</explain>
      <paraID>56A80DF0</paraID>
      <start>67</start>
      <end>68</end>
      <status>unmodified</status>
      <modifiedWord/>
      <trackRevisions>false</trackRevisions>
    </reviewItem>
    <reviewItem>
      <errorID>cd0c1e62-6c38-4587-9367-6ad613cfa08d</errorID>
      <errorWord>监控</errorWord>
      <group>L1_Sensitive</group>
      <groupName>敏感问题</groupName>
      <ability>L2_UserSensitive</ability>
      <abilityName>自定义敏感词</abilityName>
      <candidateList/>
      <explain>来自自定义敏感词库。</explain>
      <paraID>56A80DF0</paraID>
      <start>568</start>
      <end>570</end>
      <status>unmodified</status>
      <modifiedWord/>
      <trackRevisions>false</trackRevisions>
    </reviewItem>
    <reviewItem>
      <errorID>61862b41-bd19-4e8b-aee6-f87b7573cef0</errorID>
      <errorWord>支部书记</errorWord>
      <group>L1_Sensitive</group>
      <groupName>敏感问题</groupName>
      <ability>L2_UserSensitive</ability>
      <abilityName>自定义敏感词</abilityName>
      <candidateList/>
      <explain>来自自定义敏感词库。</explain>
      <paraID>56A80DF0</paraID>
      <start>631</start>
      <end>635</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801f1d-f571-4558-a0f5-2a568ac30fde}">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4281</Words>
  <Characters>4880</Characters>
  <Lines>0</Lines>
  <Paragraphs>0</Paragraphs>
  <TotalTime>2</TotalTime>
  <ScaleCrop>false</ScaleCrop>
  <LinksUpToDate>false</LinksUpToDate>
  <CharactersWithSpaces>4888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