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27187E"/>
    <w:p w14:paraId="0A09B816">
      <w:pPr>
        <w:spacing w:line="540" w:lineRule="exact"/>
        <w:jc w:val="center"/>
        <w:rPr>
          <w:rFonts w:hint="default" w:ascii="Times New Roman" w:hAnsi="Times New Roman" w:eastAsia="华文中宋" w:cs="Times New Roman"/>
          <w:b/>
          <w:kern w:val="0"/>
          <w:sz w:val="52"/>
          <w:szCs w:val="52"/>
        </w:rPr>
      </w:pPr>
    </w:p>
    <w:p w14:paraId="7AD672EC">
      <w:pPr>
        <w:spacing w:line="540" w:lineRule="exact"/>
        <w:rPr>
          <w:rFonts w:hint="default" w:ascii="Times New Roman" w:hAnsi="Times New Roman" w:eastAsia="华文中宋" w:cs="Times New Roman"/>
          <w:b/>
          <w:kern w:val="0"/>
          <w:sz w:val="52"/>
          <w:szCs w:val="52"/>
        </w:rPr>
      </w:pPr>
    </w:p>
    <w:p w14:paraId="4D4698B4">
      <w:pPr>
        <w:spacing w:line="540" w:lineRule="exact"/>
        <w:jc w:val="center"/>
        <w:rPr>
          <w:rFonts w:hint="default" w:ascii="Times New Roman" w:hAnsi="Times New Roman" w:eastAsia="华文中宋" w:cs="Times New Roman"/>
          <w:b/>
          <w:kern w:val="0"/>
          <w:sz w:val="52"/>
          <w:szCs w:val="52"/>
        </w:rPr>
      </w:pPr>
    </w:p>
    <w:p w14:paraId="6DEF814B">
      <w:pPr>
        <w:spacing w:line="540" w:lineRule="exact"/>
        <w:jc w:val="center"/>
        <w:rPr>
          <w:rFonts w:hint="default" w:ascii="Times New Roman" w:hAnsi="Times New Roman" w:eastAsia="华文中宋" w:cs="Times New Roman"/>
          <w:b/>
          <w:kern w:val="0"/>
          <w:sz w:val="52"/>
          <w:szCs w:val="52"/>
        </w:rPr>
      </w:pPr>
    </w:p>
    <w:p w14:paraId="21470DAD">
      <w:pPr>
        <w:spacing w:line="540" w:lineRule="exact"/>
        <w:jc w:val="center"/>
        <w:rPr>
          <w:rFonts w:hint="default" w:ascii="Times New Roman" w:hAnsi="Times New Roman" w:eastAsia="方正小标宋_GBK" w:cs="Times New Roman"/>
          <w:color w:val="auto"/>
          <w:kern w:val="0"/>
          <w:sz w:val="48"/>
          <w:szCs w:val="48"/>
          <w:highlight w:val="none"/>
        </w:rPr>
      </w:pPr>
      <w:r>
        <w:rPr>
          <w:rFonts w:hint="eastAsia" w:ascii="方正小标宋简体" w:hAnsi="方正小标宋简体" w:eastAsia="方正小标宋简体" w:cs="方正小标宋简体"/>
          <w:color w:val="auto"/>
          <w:kern w:val="0"/>
          <w:sz w:val="44"/>
          <w:szCs w:val="44"/>
          <w:highlight w:val="none"/>
        </w:rPr>
        <w:t>2024年</w:t>
      </w:r>
      <w:r>
        <w:rPr>
          <w:rFonts w:hint="eastAsia" w:ascii="方正小标宋简体" w:hAnsi="方正小标宋简体" w:eastAsia="方正小标宋简体" w:cs="方正小标宋简体"/>
          <w:color w:val="auto"/>
          <w:kern w:val="0"/>
          <w:sz w:val="44"/>
          <w:szCs w:val="44"/>
          <w:highlight w:val="none"/>
          <w:lang w:val="en-US" w:eastAsia="zh-CN"/>
        </w:rPr>
        <w:t>老年人福利补贴</w:t>
      </w:r>
      <w:r>
        <w:rPr>
          <w:rFonts w:hint="eastAsia" w:ascii="方正小标宋简体" w:hAnsi="方正小标宋简体" w:eastAsia="方正小标宋简体" w:cs="方正小标宋简体"/>
          <w:color w:val="auto"/>
          <w:kern w:val="0"/>
          <w:sz w:val="44"/>
          <w:szCs w:val="44"/>
          <w:highlight w:val="none"/>
        </w:rPr>
        <w:t>项目支出绩效评价报告</w:t>
      </w:r>
    </w:p>
    <w:p w14:paraId="25B02105">
      <w:pPr>
        <w:spacing w:line="540" w:lineRule="exact"/>
        <w:jc w:val="center"/>
        <w:rPr>
          <w:rFonts w:hint="default" w:ascii="Times New Roman" w:hAnsi="Times New Roman" w:eastAsia="华文中宋" w:cs="Times New Roman"/>
          <w:b/>
          <w:color w:val="auto"/>
          <w:kern w:val="0"/>
          <w:sz w:val="52"/>
          <w:szCs w:val="52"/>
          <w:highlight w:val="none"/>
        </w:rPr>
      </w:pPr>
    </w:p>
    <w:p w14:paraId="29C7E7E0">
      <w:pPr>
        <w:spacing w:line="540" w:lineRule="exact"/>
        <w:jc w:val="center"/>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（202</w:t>
      </w:r>
      <w:r>
        <w:rPr>
          <w:rFonts w:hint="default" w:ascii="Times New Roman" w:hAnsi="Times New Roman" w:eastAsia="仿宋_GB2312" w:cs="Times New Roman"/>
          <w:color w:val="auto"/>
          <w:kern w:val="0"/>
          <w:sz w:val="32"/>
          <w:szCs w:val="32"/>
          <w:highlight w:val="none"/>
          <w:lang w:val="en-US" w:eastAsia="zh-CN"/>
        </w:rPr>
        <w:t>4</w:t>
      </w:r>
      <w:r>
        <w:rPr>
          <w:rFonts w:hint="default" w:ascii="Times New Roman" w:hAnsi="Times New Roman" w:eastAsia="仿宋_GB2312" w:cs="Times New Roman"/>
          <w:color w:val="auto"/>
          <w:kern w:val="0"/>
          <w:sz w:val="32"/>
          <w:szCs w:val="32"/>
          <w:highlight w:val="none"/>
        </w:rPr>
        <w:t>年度）</w:t>
      </w:r>
    </w:p>
    <w:p w14:paraId="4A62AC4B">
      <w:pPr>
        <w:spacing w:line="540" w:lineRule="exact"/>
        <w:jc w:val="center"/>
        <w:rPr>
          <w:rFonts w:hint="default" w:ascii="Times New Roman" w:hAnsi="Times New Roman" w:eastAsia="仿宋_GB2312" w:cs="Times New Roman"/>
          <w:color w:val="auto"/>
          <w:kern w:val="0"/>
          <w:sz w:val="32"/>
          <w:szCs w:val="32"/>
          <w:highlight w:val="none"/>
        </w:rPr>
      </w:pPr>
    </w:p>
    <w:p w14:paraId="1A0347A4">
      <w:pPr>
        <w:pStyle w:val="9"/>
        <w:jc w:val="both"/>
        <w:rPr>
          <w:rFonts w:hint="default" w:ascii="Times New Roman" w:hAnsi="Times New Roman" w:cs="Times New Roman"/>
          <w:color w:val="auto"/>
          <w:sz w:val="32"/>
          <w:szCs w:val="32"/>
          <w:highlight w:val="none"/>
        </w:rPr>
      </w:pPr>
    </w:p>
    <w:p w14:paraId="3298E0CA">
      <w:pPr>
        <w:spacing w:line="540" w:lineRule="exact"/>
        <w:jc w:val="center"/>
        <w:rPr>
          <w:rFonts w:hint="default" w:ascii="Times New Roman" w:hAnsi="Times New Roman" w:eastAsia="仿宋_GB2312" w:cs="Times New Roman"/>
          <w:color w:val="auto"/>
          <w:kern w:val="0"/>
          <w:sz w:val="32"/>
          <w:szCs w:val="32"/>
          <w:highlight w:val="none"/>
        </w:rPr>
      </w:pPr>
    </w:p>
    <w:p w14:paraId="6AB1173A">
      <w:pPr>
        <w:spacing w:line="540" w:lineRule="exact"/>
        <w:rPr>
          <w:rFonts w:hint="default" w:ascii="Times New Roman" w:hAnsi="Times New Roman" w:eastAsia="仿宋_GB2312" w:cs="Times New Roman"/>
          <w:color w:val="auto"/>
          <w:kern w:val="0"/>
          <w:sz w:val="32"/>
          <w:szCs w:val="32"/>
          <w:highlight w:val="none"/>
        </w:rPr>
      </w:pPr>
    </w:p>
    <w:p w14:paraId="29A048CB">
      <w:pPr>
        <w:spacing w:line="700" w:lineRule="exact"/>
        <w:ind w:firstLine="1280" w:firstLineChars="400"/>
        <w:jc w:val="left"/>
        <w:rPr>
          <w:rFonts w:hint="default" w:ascii="Times New Roman" w:hAnsi="Times New Roman" w:eastAsia="仿宋_GB2312" w:cs="Times New Roman"/>
          <w:color w:val="auto"/>
          <w:kern w:val="0"/>
          <w:sz w:val="32"/>
          <w:szCs w:val="32"/>
          <w:highlight w:val="none"/>
          <w:lang w:val="en-US"/>
        </w:rPr>
      </w:pPr>
      <w:r>
        <w:rPr>
          <w:rFonts w:hint="default" w:ascii="Times New Roman" w:hAnsi="Times New Roman" w:eastAsia="仿宋_GB2312" w:cs="Times New Roman"/>
          <w:color w:val="auto"/>
          <w:kern w:val="0"/>
          <w:sz w:val="32"/>
          <w:szCs w:val="32"/>
          <w:highlight w:val="none"/>
        </w:rPr>
        <w:t>项目名称：</w:t>
      </w:r>
      <w:r>
        <w:rPr>
          <w:rFonts w:hint="eastAsia" w:eastAsia="仿宋_GB2312" w:cs="Times New Roman"/>
          <w:color w:val="auto"/>
          <w:kern w:val="0"/>
          <w:sz w:val="32"/>
          <w:szCs w:val="32"/>
          <w:highlight w:val="none"/>
          <w:lang w:val="en-US" w:eastAsia="zh-CN"/>
        </w:rPr>
        <w:t>老年人福利补贴</w:t>
      </w:r>
    </w:p>
    <w:p w14:paraId="074E1FAB">
      <w:pPr>
        <w:spacing w:line="700" w:lineRule="exact"/>
        <w:ind w:firstLine="1280" w:firstLineChars="400"/>
        <w:jc w:val="left"/>
        <w:rPr>
          <w:rFonts w:hint="eastAsia" w:eastAsia="仿宋_GB2312" w:cs="Times New Roman"/>
          <w:color w:val="auto"/>
          <w:kern w:val="0"/>
          <w:sz w:val="32"/>
          <w:szCs w:val="32"/>
          <w:highlight w:val="none"/>
          <w:lang w:eastAsia="zh-CN"/>
        </w:rPr>
      </w:pPr>
      <w:r>
        <w:rPr>
          <w:rFonts w:hint="default" w:ascii="Times New Roman" w:hAnsi="Times New Roman" w:eastAsia="仿宋_GB2312" w:cs="Times New Roman"/>
          <w:color w:val="auto"/>
          <w:kern w:val="0"/>
          <w:sz w:val="32"/>
          <w:szCs w:val="32"/>
          <w:highlight w:val="none"/>
        </w:rPr>
        <w:t>实施单位（公章）：</w:t>
      </w:r>
      <w:r>
        <w:rPr>
          <w:rFonts w:hint="eastAsia" w:eastAsia="仿宋_GB2312" w:cs="Times New Roman"/>
          <w:color w:val="auto"/>
          <w:kern w:val="0"/>
          <w:sz w:val="32"/>
          <w:szCs w:val="32"/>
          <w:highlight w:val="none"/>
          <w:lang w:eastAsia="zh-CN"/>
        </w:rPr>
        <w:t>特克斯县民政局</w:t>
      </w:r>
    </w:p>
    <w:p w14:paraId="1F163C89">
      <w:pPr>
        <w:spacing w:line="700" w:lineRule="exact"/>
        <w:ind w:firstLine="1280" w:firstLineChars="400"/>
        <w:jc w:val="left"/>
        <w:rPr>
          <w:rFonts w:hint="eastAsia" w:eastAsia="仿宋_GB2312" w:cs="Times New Roman"/>
          <w:color w:val="auto"/>
          <w:kern w:val="0"/>
          <w:sz w:val="32"/>
          <w:szCs w:val="32"/>
          <w:highlight w:val="none"/>
          <w:lang w:eastAsia="zh-CN"/>
        </w:rPr>
      </w:pPr>
      <w:r>
        <w:rPr>
          <w:rFonts w:hint="default" w:ascii="Times New Roman" w:hAnsi="Times New Roman" w:eastAsia="仿宋_GB2312" w:cs="Times New Roman"/>
          <w:color w:val="auto"/>
          <w:kern w:val="0"/>
          <w:sz w:val="32"/>
          <w:szCs w:val="32"/>
          <w:highlight w:val="none"/>
        </w:rPr>
        <w:t>主管部门（公章）：</w:t>
      </w:r>
      <w:r>
        <w:rPr>
          <w:rFonts w:hint="eastAsia" w:eastAsia="仿宋_GB2312" w:cs="Times New Roman"/>
          <w:color w:val="auto"/>
          <w:kern w:val="0"/>
          <w:sz w:val="32"/>
          <w:szCs w:val="32"/>
          <w:highlight w:val="none"/>
          <w:lang w:eastAsia="zh-CN"/>
        </w:rPr>
        <w:t>特克斯县民政局</w:t>
      </w:r>
    </w:p>
    <w:p w14:paraId="3A38CE3A">
      <w:pPr>
        <w:spacing w:line="700" w:lineRule="exact"/>
        <w:ind w:firstLine="1280" w:firstLineChars="400"/>
        <w:jc w:val="left"/>
        <w:rPr>
          <w:rFonts w:hint="eastAsia" w:ascii="Times New Roman" w:hAnsi="Times New Roman" w:eastAsia="仿宋_GB2312" w:cs="Times New Roman"/>
          <w:color w:val="auto"/>
          <w:kern w:val="0"/>
          <w:sz w:val="32"/>
          <w:szCs w:val="32"/>
          <w:highlight w:val="none"/>
          <w:lang w:eastAsia="zh-CN"/>
        </w:rPr>
      </w:pPr>
      <w:r>
        <w:rPr>
          <w:rFonts w:hint="default" w:ascii="Times New Roman" w:hAnsi="Times New Roman" w:eastAsia="仿宋_GB2312" w:cs="Times New Roman"/>
          <w:color w:val="auto"/>
          <w:kern w:val="0"/>
          <w:sz w:val="32"/>
          <w:szCs w:val="32"/>
          <w:highlight w:val="none"/>
        </w:rPr>
        <w:t>项目负责人（签章）：</w:t>
      </w:r>
      <w:r>
        <w:rPr>
          <w:rFonts w:hint="eastAsia" w:eastAsia="仿宋_GB2312" w:cs="Times New Roman"/>
          <w:color w:val="auto"/>
          <w:kern w:val="0"/>
          <w:sz w:val="32"/>
          <w:szCs w:val="32"/>
          <w:highlight w:val="none"/>
          <w:lang w:eastAsia="zh-CN"/>
        </w:rPr>
        <w:t>阿那匹亚</w:t>
      </w:r>
    </w:p>
    <w:p w14:paraId="36265742">
      <w:pPr>
        <w:spacing w:line="700" w:lineRule="exact"/>
        <w:ind w:firstLine="1280" w:firstLineChars="400"/>
        <w:jc w:val="left"/>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填报时间：</w:t>
      </w:r>
      <w:r>
        <w:rPr>
          <w:rFonts w:hint="eastAsia" w:eastAsia="仿宋_GB2312" w:cs="Times New Roman"/>
          <w:color w:val="auto"/>
          <w:kern w:val="0"/>
          <w:sz w:val="32"/>
          <w:szCs w:val="32"/>
          <w:highlight w:val="none"/>
          <w:lang w:val="en-US" w:eastAsia="zh-CN"/>
        </w:rPr>
        <w:t>2025</w:t>
      </w:r>
      <w:r>
        <w:rPr>
          <w:rFonts w:hint="default" w:ascii="Times New Roman" w:hAnsi="Times New Roman" w:eastAsia="仿宋_GB2312" w:cs="Times New Roman"/>
          <w:color w:val="auto"/>
          <w:kern w:val="0"/>
          <w:sz w:val="32"/>
          <w:szCs w:val="32"/>
          <w:highlight w:val="none"/>
        </w:rPr>
        <w:t>年</w:t>
      </w:r>
      <w:r>
        <w:rPr>
          <w:rFonts w:hint="eastAsia" w:eastAsia="仿宋_GB2312" w:cs="Times New Roman"/>
          <w:color w:val="auto"/>
          <w:kern w:val="0"/>
          <w:sz w:val="32"/>
          <w:szCs w:val="32"/>
          <w:highlight w:val="none"/>
          <w:lang w:val="en-US" w:eastAsia="zh-CN"/>
        </w:rPr>
        <w:t>05</w:t>
      </w:r>
      <w:r>
        <w:rPr>
          <w:rFonts w:hint="default" w:ascii="Times New Roman" w:hAnsi="Times New Roman" w:eastAsia="仿宋_GB2312" w:cs="Times New Roman"/>
          <w:color w:val="auto"/>
          <w:kern w:val="0"/>
          <w:sz w:val="32"/>
          <w:szCs w:val="32"/>
          <w:highlight w:val="none"/>
        </w:rPr>
        <w:t>月</w:t>
      </w:r>
      <w:r>
        <w:rPr>
          <w:rFonts w:hint="eastAsia" w:eastAsia="仿宋_GB2312" w:cs="Times New Roman"/>
          <w:color w:val="auto"/>
          <w:kern w:val="0"/>
          <w:sz w:val="32"/>
          <w:szCs w:val="32"/>
          <w:highlight w:val="none"/>
          <w:lang w:val="en-US" w:eastAsia="zh-CN"/>
        </w:rPr>
        <w:t>13</w:t>
      </w:r>
      <w:r>
        <w:rPr>
          <w:rFonts w:hint="default" w:ascii="Times New Roman" w:hAnsi="Times New Roman" w:eastAsia="仿宋_GB2312" w:cs="Times New Roman"/>
          <w:color w:val="auto"/>
          <w:kern w:val="0"/>
          <w:sz w:val="32"/>
          <w:szCs w:val="32"/>
          <w:highlight w:val="none"/>
        </w:rPr>
        <w:t>日</w:t>
      </w:r>
    </w:p>
    <w:p w14:paraId="7C9A3B5C">
      <w:pPr>
        <w:spacing w:line="540" w:lineRule="exact"/>
        <w:jc w:val="center"/>
        <w:rPr>
          <w:rFonts w:hint="default" w:ascii="Times New Roman" w:hAnsi="Times New Roman" w:eastAsia="仿宋_GB2312" w:cs="Times New Roman"/>
          <w:color w:val="auto"/>
          <w:kern w:val="0"/>
          <w:sz w:val="30"/>
          <w:szCs w:val="30"/>
          <w:highlight w:val="none"/>
        </w:rPr>
      </w:pPr>
    </w:p>
    <w:p w14:paraId="42C21F81">
      <w:pPr>
        <w:spacing w:line="540" w:lineRule="exact"/>
        <w:rPr>
          <w:rStyle w:val="15"/>
          <w:rFonts w:hint="default" w:ascii="Times New Roman" w:hAnsi="Times New Roman" w:eastAsia="黑体" w:cs="Times New Roman"/>
          <w:b w:val="0"/>
          <w:color w:val="auto"/>
          <w:spacing w:val="-4"/>
          <w:sz w:val="32"/>
          <w:szCs w:val="32"/>
          <w:highlight w:val="none"/>
        </w:rPr>
      </w:pPr>
    </w:p>
    <w:p w14:paraId="36BA9A65">
      <w:pPr>
        <w:spacing w:line="540" w:lineRule="exact"/>
        <w:ind w:firstLine="640"/>
        <w:rPr>
          <w:rStyle w:val="15"/>
          <w:rFonts w:hint="default" w:ascii="Times New Roman" w:hAnsi="Times New Roman" w:eastAsia="黑体" w:cs="Times New Roman"/>
          <w:b w:val="0"/>
          <w:color w:val="auto"/>
          <w:spacing w:val="-4"/>
          <w:sz w:val="32"/>
          <w:szCs w:val="32"/>
          <w:highlight w:val="none"/>
        </w:rPr>
      </w:pPr>
    </w:p>
    <w:p w14:paraId="5DBDF4E7">
      <w:pPr>
        <w:spacing w:line="560" w:lineRule="exact"/>
        <w:ind w:firstLine="640" w:firstLineChars="200"/>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一、基本情况</w:t>
      </w:r>
    </w:p>
    <w:p w14:paraId="31804E7D">
      <w:pPr>
        <w:spacing w:line="560" w:lineRule="exact"/>
        <w:ind w:firstLine="643" w:firstLineChars="200"/>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（一）项目概况</w:t>
      </w:r>
    </w:p>
    <w:p w14:paraId="0756660B">
      <w:pPr>
        <w:spacing w:line="560" w:lineRule="exact"/>
        <w:ind w:firstLine="643" w:firstLineChars="200"/>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t>1</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b/>
          <w:bCs/>
          <w:color w:val="auto"/>
          <w:sz w:val="32"/>
          <w:szCs w:val="32"/>
          <w:highlight w:val="none"/>
        </w:rPr>
        <w:t>项目背景</w:t>
      </w:r>
    </w:p>
    <w:p w14:paraId="7321ED41">
      <w:pPr>
        <w:spacing w:line="560" w:lineRule="exact"/>
        <w:ind w:firstLine="640" w:firstLineChars="200"/>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响应上级政策要求</w:t>
      </w:r>
      <w:r>
        <w:rPr>
          <w:rFonts w:hint="eastAsia" w:ascii="仿宋_GB2312" w:hAnsi="仿宋_GB2312" w:eastAsia="仿宋_GB2312" w:cs="仿宋_GB2312"/>
          <w:color w:val="auto"/>
          <w:sz w:val="32"/>
          <w:szCs w:val="32"/>
          <w:highlight w:val="none"/>
          <w:lang w:val="en-US" w:eastAsia="zh-CN"/>
        </w:rPr>
        <w:t>，</w:t>
      </w:r>
      <w:r>
        <w:rPr>
          <w:rFonts w:hint="default" w:ascii="仿宋_GB2312" w:hAnsi="仿宋_GB2312" w:eastAsia="仿宋_GB2312" w:cs="仿宋_GB2312"/>
          <w:color w:val="auto"/>
          <w:sz w:val="32"/>
          <w:szCs w:val="32"/>
          <w:highlight w:val="none"/>
          <w:lang w:val="en-US" w:eastAsia="zh-CN"/>
        </w:rPr>
        <w:t>2011年，新疆维吾尔自治区党委办公厅、政府办公厅印发《关于印发〈80周岁以上老年人基本生活津贴制度〉和〈80周岁以上老年人免费体检制度〉的通知》（新党办发〔2011〕31号），要求建立80周岁以上老年人基本生活津贴制度。特克斯县据此实施高龄津贴项目，是对自治区政策的积极落实，以保障本县高龄老人的基本生活。</w:t>
      </w:r>
    </w:p>
    <w:p w14:paraId="75C3522B">
      <w:pPr>
        <w:pStyle w:val="9"/>
        <w:numPr>
          <w:ilvl w:val="0"/>
          <w:numId w:val="0"/>
        </w:numPr>
        <w:spacing w:before="0" w:after="0" w:line="560" w:lineRule="exact"/>
        <w:ind w:firstLine="643" w:firstLineChars="200"/>
        <w:jc w:val="both"/>
        <w:rPr>
          <w:rFonts w:hint="default" w:ascii="Times New Roman" w:hAnsi="Times New Roman" w:eastAsia="仿宋_GB2312" w:cs="Times New Roman"/>
          <w:color w:val="auto"/>
          <w:kern w:val="2"/>
          <w:highlight w:val="none"/>
        </w:rPr>
      </w:pPr>
      <w:r>
        <w:rPr>
          <w:rFonts w:hint="default" w:ascii="Times New Roman" w:hAnsi="Times New Roman" w:eastAsia="仿宋_GB2312" w:cs="Times New Roman"/>
          <w:color w:val="auto"/>
          <w:kern w:val="2"/>
          <w:highlight w:val="none"/>
          <w:lang w:val="en-US" w:eastAsia="zh-CN"/>
        </w:rPr>
        <w:t>2.</w:t>
      </w:r>
      <w:r>
        <w:rPr>
          <w:rFonts w:hint="default" w:ascii="Times New Roman" w:hAnsi="Times New Roman" w:eastAsia="仿宋_GB2312" w:cs="Times New Roman"/>
          <w:color w:val="auto"/>
          <w:kern w:val="2"/>
          <w:highlight w:val="none"/>
        </w:rPr>
        <w:t>项目主要内容</w:t>
      </w:r>
    </w:p>
    <w:p w14:paraId="359C1C40">
      <w:pPr>
        <w:spacing w:line="560" w:lineRule="exact"/>
        <w:ind w:firstLine="640" w:firstLineChars="200"/>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项目主要内容：发放对象</w:t>
      </w:r>
      <w:r>
        <w:rPr>
          <w:rFonts w:hint="eastAsia" w:ascii="仿宋_GB2312" w:hAnsi="仿宋_GB2312" w:eastAsia="仿宋_GB2312" w:cs="仿宋_GB2312"/>
          <w:color w:val="auto"/>
          <w:sz w:val="32"/>
          <w:szCs w:val="32"/>
          <w:highlight w:val="none"/>
          <w:lang w:val="en-US" w:eastAsia="zh-CN"/>
        </w:rPr>
        <w:t>：</w:t>
      </w:r>
      <w:r>
        <w:rPr>
          <w:rFonts w:hint="default" w:ascii="仿宋_GB2312" w:hAnsi="仿宋_GB2312" w:eastAsia="仿宋_GB2312" w:cs="仿宋_GB2312"/>
          <w:color w:val="auto"/>
          <w:sz w:val="32"/>
          <w:szCs w:val="32"/>
          <w:highlight w:val="none"/>
          <w:lang w:val="en-US" w:eastAsia="zh-CN"/>
        </w:rPr>
        <w:t>具有新疆维吾尔自治区特克斯县户籍，年满80周岁及以上的老年人。</w:t>
      </w:r>
    </w:p>
    <w:p w14:paraId="2506556C">
      <w:pPr>
        <w:spacing w:line="560" w:lineRule="exact"/>
        <w:ind w:firstLine="640" w:firstLineChars="200"/>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发放标准</w:t>
      </w:r>
      <w:r>
        <w:rPr>
          <w:rFonts w:hint="eastAsia" w:ascii="仿宋_GB2312" w:hAnsi="仿宋_GB2312" w:eastAsia="仿宋_GB2312" w:cs="仿宋_GB2312"/>
          <w:color w:val="auto"/>
          <w:sz w:val="32"/>
          <w:szCs w:val="32"/>
          <w:highlight w:val="none"/>
          <w:lang w:val="en-US" w:eastAsia="zh-CN"/>
        </w:rPr>
        <w:t>：</w:t>
      </w:r>
      <w:r>
        <w:rPr>
          <w:rFonts w:hint="default" w:ascii="仿宋_GB2312" w:hAnsi="仿宋_GB2312" w:eastAsia="仿宋_GB2312" w:cs="仿宋_GB2312"/>
          <w:color w:val="auto"/>
          <w:sz w:val="32"/>
          <w:szCs w:val="32"/>
          <w:highlight w:val="none"/>
          <w:lang w:val="en-US" w:eastAsia="zh-CN"/>
        </w:rPr>
        <w:t>80-89周岁老年人每人每月补贴</w:t>
      </w:r>
      <w:r>
        <w:rPr>
          <w:rFonts w:hint="eastAsia" w:ascii="仿宋_GB2312" w:hAnsi="仿宋_GB2312" w:eastAsia="仿宋_GB2312" w:cs="仿宋_GB2312"/>
          <w:color w:val="auto"/>
          <w:sz w:val="32"/>
          <w:szCs w:val="32"/>
          <w:highlight w:val="none"/>
          <w:lang w:val="en-US" w:eastAsia="zh-CN"/>
        </w:rPr>
        <w:t>1</w:t>
      </w:r>
      <w:r>
        <w:rPr>
          <w:rFonts w:hint="default" w:ascii="仿宋_GB2312" w:hAnsi="仿宋_GB2312" w:eastAsia="仿宋_GB2312" w:cs="仿宋_GB2312"/>
          <w:color w:val="auto"/>
          <w:sz w:val="32"/>
          <w:szCs w:val="32"/>
          <w:highlight w:val="none"/>
          <w:lang w:val="en-US" w:eastAsia="zh-CN"/>
        </w:rPr>
        <w:t>50元</w:t>
      </w:r>
      <w:r>
        <w:rPr>
          <w:rFonts w:hint="eastAsia" w:ascii="仿宋_GB2312" w:hAnsi="仿宋_GB2312" w:eastAsia="仿宋_GB2312" w:cs="仿宋_GB2312"/>
          <w:color w:val="auto"/>
          <w:sz w:val="32"/>
          <w:szCs w:val="32"/>
          <w:highlight w:val="none"/>
          <w:lang w:val="en-US" w:eastAsia="zh-CN"/>
        </w:rPr>
        <w:t>、</w:t>
      </w:r>
      <w:r>
        <w:rPr>
          <w:rFonts w:hint="default" w:ascii="仿宋_GB2312" w:hAnsi="仿宋_GB2312" w:eastAsia="仿宋_GB2312" w:cs="仿宋_GB2312"/>
          <w:color w:val="auto"/>
          <w:sz w:val="32"/>
          <w:szCs w:val="32"/>
          <w:highlight w:val="none"/>
          <w:lang w:val="en-US" w:eastAsia="zh-CN"/>
        </w:rPr>
        <w:t>90-99周岁老年人每人每月补贴</w:t>
      </w:r>
      <w:r>
        <w:rPr>
          <w:rFonts w:hint="eastAsia" w:ascii="仿宋_GB2312" w:hAnsi="仿宋_GB2312" w:eastAsia="仿宋_GB2312" w:cs="仿宋_GB2312"/>
          <w:color w:val="auto"/>
          <w:sz w:val="32"/>
          <w:szCs w:val="32"/>
          <w:highlight w:val="none"/>
          <w:lang w:val="en-US" w:eastAsia="zh-CN"/>
        </w:rPr>
        <w:t>36</w:t>
      </w:r>
      <w:r>
        <w:rPr>
          <w:rFonts w:hint="default" w:ascii="仿宋_GB2312" w:hAnsi="仿宋_GB2312" w:eastAsia="仿宋_GB2312" w:cs="仿宋_GB2312"/>
          <w:color w:val="auto"/>
          <w:sz w:val="32"/>
          <w:szCs w:val="32"/>
          <w:highlight w:val="none"/>
          <w:lang w:val="en-US" w:eastAsia="zh-CN"/>
        </w:rPr>
        <w:t>0元</w:t>
      </w:r>
      <w:r>
        <w:rPr>
          <w:rFonts w:hint="eastAsia" w:ascii="仿宋_GB2312" w:hAnsi="仿宋_GB2312" w:eastAsia="仿宋_GB2312" w:cs="仿宋_GB2312"/>
          <w:color w:val="auto"/>
          <w:sz w:val="32"/>
          <w:szCs w:val="32"/>
          <w:highlight w:val="none"/>
          <w:lang w:val="en-US" w:eastAsia="zh-CN"/>
        </w:rPr>
        <w:t>、</w:t>
      </w:r>
      <w:r>
        <w:rPr>
          <w:rFonts w:hint="default" w:ascii="仿宋_GB2312" w:hAnsi="仿宋_GB2312" w:eastAsia="仿宋_GB2312" w:cs="仿宋_GB2312"/>
          <w:color w:val="auto"/>
          <w:sz w:val="32"/>
          <w:szCs w:val="32"/>
          <w:highlight w:val="none"/>
          <w:lang w:val="en-US" w:eastAsia="zh-CN"/>
        </w:rPr>
        <w:t>100周岁以上老年人每人每月补贴</w:t>
      </w:r>
      <w:r>
        <w:rPr>
          <w:rFonts w:hint="eastAsia" w:ascii="仿宋_GB2312" w:hAnsi="仿宋_GB2312" w:eastAsia="仿宋_GB2312" w:cs="仿宋_GB2312"/>
          <w:color w:val="auto"/>
          <w:sz w:val="32"/>
          <w:szCs w:val="32"/>
          <w:highlight w:val="none"/>
          <w:lang w:val="en-US" w:eastAsia="zh-CN"/>
        </w:rPr>
        <w:t>6</w:t>
      </w:r>
      <w:r>
        <w:rPr>
          <w:rFonts w:hint="default" w:ascii="仿宋_GB2312" w:hAnsi="仿宋_GB2312" w:eastAsia="仿宋_GB2312" w:cs="仿宋_GB2312"/>
          <w:color w:val="auto"/>
          <w:sz w:val="32"/>
          <w:szCs w:val="32"/>
          <w:highlight w:val="none"/>
          <w:lang w:val="en-US" w:eastAsia="zh-CN"/>
        </w:rPr>
        <w:t>00元。</w:t>
      </w:r>
    </w:p>
    <w:p w14:paraId="6DBF7704">
      <w:pPr>
        <w:spacing w:line="560" w:lineRule="exact"/>
        <w:ind w:firstLine="640" w:firstLineChars="200"/>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申请方式</w:t>
      </w:r>
      <w:r>
        <w:rPr>
          <w:rFonts w:hint="eastAsia" w:ascii="仿宋_GB2312" w:hAnsi="仿宋_GB2312" w:eastAsia="仿宋_GB2312" w:cs="仿宋_GB2312"/>
          <w:color w:val="auto"/>
          <w:sz w:val="32"/>
          <w:szCs w:val="32"/>
          <w:highlight w:val="none"/>
          <w:lang w:val="en-US" w:eastAsia="zh-CN"/>
        </w:rPr>
        <w:t>：1.</w:t>
      </w:r>
      <w:r>
        <w:rPr>
          <w:rFonts w:hint="default" w:ascii="仿宋_GB2312" w:hAnsi="仿宋_GB2312" w:eastAsia="仿宋_GB2312" w:cs="仿宋_GB2312"/>
          <w:color w:val="auto"/>
          <w:sz w:val="32"/>
          <w:szCs w:val="32"/>
          <w:highlight w:val="none"/>
          <w:lang w:val="en-US" w:eastAsia="zh-CN"/>
        </w:rPr>
        <w:t>线上申请：通过“新疆高龄老年人基本生活津贴”微信小程序办理。</w:t>
      </w:r>
      <w:r>
        <w:rPr>
          <w:rFonts w:hint="eastAsia" w:ascii="仿宋_GB2312" w:hAnsi="仿宋_GB2312" w:eastAsia="仿宋_GB2312" w:cs="仿宋_GB2312"/>
          <w:color w:val="auto"/>
          <w:sz w:val="32"/>
          <w:szCs w:val="32"/>
          <w:highlight w:val="none"/>
          <w:lang w:val="en-US" w:eastAsia="zh-CN"/>
        </w:rPr>
        <w:t>2.</w:t>
      </w:r>
      <w:r>
        <w:rPr>
          <w:rFonts w:hint="default" w:ascii="仿宋_GB2312" w:hAnsi="仿宋_GB2312" w:eastAsia="仿宋_GB2312" w:cs="仿宋_GB2312"/>
          <w:color w:val="auto"/>
          <w:sz w:val="32"/>
          <w:szCs w:val="32"/>
          <w:highlight w:val="none"/>
          <w:lang w:val="en-US" w:eastAsia="zh-CN"/>
        </w:rPr>
        <w:t>线下申请：携带身份证（或户口簿）和社会保障卡（或“一卡通”银行卡）原件及复印件，在户籍所在地的村（居）民委员会办理。</w:t>
      </w:r>
      <w:r>
        <w:rPr>
          <w:rFonts w:hint="eastAsia" w:ascii="仿宋_GB2312" w:hAnsi="仿宋_GB2312" w:eastAsia="仿宋_GB2312" w:cs="仿宋_GB2312"/>
          <w:color w:val="auto"/>
          <w:sz w:val="32"/>
          <w:szCs w:val="32"/>
          <w:highlight w:val="none"/>
          <w:lang w:val="en-US" w:eastAsia="zh-CN"/>
        </w:rPr>
        <w:t>3.</w:t>
      </w:r>
      <w:r>
        <w:rPr>
          <w:rFonts w:hint="default" w:ascii="仿宋_GB2312" w:hAnsi="仿宋_GB2312" w:eastAsia="仿宋_GB2312" w:cs="仿宋_GB2312"/>
          <w:color w:val="auto"/>
          <w:sz w:val="32"/>
          <w:szCs w:val="32"/>
          <w:highlight w:val="none"/>
          <w:lang w:val="en-US" w:eastAsia="zh-CN"/>
        </w:rPr>
        <w:t>委托申请：因身体原因、迁居外地等情形无法通过线上或线下方式申请的，可委托近亲属或其他人员通过线上或线下方式申请。</w:t>
      </w:r>
    </w:p>
    <w:p w14:paraId="7959F500">
      <w:pPr>
        <w:spacing w:line="560" w:lineRule="exact"/>
        <w:ind w:firstLine="640" w:firstLineChars="200"/>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发放方式</w:t>
      </w:r>
      <w:r>
        <w:rPr>
          <w:rFonts w:hint="eastAsia" w:ascii="仿宋_GB2312" w:hAnsi="仿宋_GB2312" w:eastAsia="仿宋_GB2312" w:cs="仿宋_GB2312"/>
          <w:color w:val="auto"/>
          <w:sz w:val="32"/>
          <w:szCs w:val="32"/>
          <w:highlight w:val="none"/>
          <w:lang w:val="en-US" w:eastAsia="zh-CN"/>
        </w:rPr>
        <w:t>：</w:t>
      </w:r>
      <w:r>
        <w:rPr>
          <w:rFonts w:hint="default" w:ascii="仿宋_GB2312" w:hAnsi="仿宋_GB2312" w:eastAsia="仿宋_GB2312" w:cs="仿宋_GB2312"/>
          <w:color w:val="auto"/>
          <w:sz w:val="32"/>
          <w:szCs w:val="32"/>
          <w:highlight w:val="none"/>
          <w:lang w:val="en-US" w:eastAsia="zh-CN"/>
        </w:rPr>
        <w:t>户籍老人在年满80周岁的当月即具备享受高龄津贴资格，受理审结后通过惠民惠农财政补贴资金“一卡通”平台按月发放高龄津贴。</w:t>
      </w:r>
    </w:p>
    <w:p w14:paraId="0E9AC23D">
      <w:pPr>
        <w:spacing w:line="560" w:lineRule="exact"/>
        <w:ind w:firstLine="640" w:firstLineChars="200"/>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资格认证</w:t>
      </w:r>
      <w:r>
        <w:rPr>
          <w:rFonts w:hint="eastAsia" w:ascii="仿宋_GB2312" w:hAnsi="仿宋_GB2312" w:eastAsia="仿宋_GB2312" w:cs="仿宋_GB2312"/>
          <w:color w:val="auto"/>
          <w:sz w:val="32"/>
          <w:szCs w:val="32"/>
          <w:highlight w:val="none"/>
          <w:lang w:val="en-US" w:eastAsia="zh-CN"/>
        </w:rPr>
        <w:t>：</w:t>
      </w:r>
      <w:r>
        <w:rPr>
          <w:rFonts w:hint="default" w:ascii="仿宋_GB2312" w:hAnsi="仿宋_GB2312" w:eastAsia="仿宋_GB2312" w:cs="仿宋_GB2312"/>
          <w:color w:val="auto"/>
          <w:sz w:val="32"/>
          <w:szCs w:val="32"/>
          <w:highlight w:val="none"/>
          <w:lang w:val="en-US" w:eastAsia="zh-CN"/>
        </w:rPr>
        <w:t>未享受社会保险待遇的，应在每年2月、5月、8月、11月的16日开始后30天内（至次月15日惠民惠农财政补贴资金“一卡通”平台打卡发放前），通过“</w:t>
      </w:r>
      <w:r>
        <w:rPr>
          <w:rFonts w:hint="eastAsia" w:ascii="仿宋_GB2312" w:hAnsi="仿宋_GB2312" w:eastAsia="仿宋_GB2312" w:cs="仿宋_GB2312"/>
          <w:color w:val="auto"/>
          <w:sz w:val="32"/>
          <w:szCs w:val="32"/>
          <w:highlight w:val="none"/>
          <w:lang w:val="en-US" w:eastAsia="zh-CN"/>
        </w:rPr>
        <w:t>高龄</w:t>
      </w:r>
      <w:r>
        <w:rPr>
          <w:rFonts w:hint="default" w:ascii="仿宋_GB2312" w:hAnsi="仿宋_GB2312" w:eastAsia="仿宋_GB2312" w:cs="仿宋_GB2312"/>
          <w:color w:val="auto"/>
          <w:sz w:val="32"/>
          <w:szCs w:val="32"/>
          <w:highlight w:val="none"/>
          <w:lang w:val="en-US" w:eastAsia="zh-CN"/>
        </w:rPr>
        <w:t>津贴”微信小程序完成线上“人脸核身”。</w:t>
      </w:r>
    </w:p>
    <w:p w14:paraId="52A7450B">
      <w:pPr>
        <w:pStyle w:val="11"/>
        <w:keepNext w:val="0"/>
        <w:keepLines w:val="0"/>
        <w:pageBreakBefore w:val="0"/>
        <w:widowControl w:val="0"/>
        <w:numPr>
          <w:ilvl w:val="0"/>
          <w:numId w:val="0"/>
        </w:numPr>
        <w:kinsoku/>
        <w:wordWrap/>
        <w:overflowPunct/>
        <w:topLinePunct w:val="0"/>
        <w:autoSpaceDE/>
        <w:autoSpaceDN/>
        <w:bidi w:val="0"/>
        <w:adjustRightInd/>
        <w:snapToGrid/>
        <w:spacing w:after="0" w:afterLines="0" w:line="56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Times New Roman" w:hAnsi="Times New Roman" w:eastAsia="仿宋_GB2312" w:cs="Times New Roman"/>
          <w:color w:val="auto"/>
          <w:sz w:val="32"/>
          <w:szCs w:val="32"/>
          <w:highlight w:val="none"/>
        </w:rPr>
        <w:t>项目实施情况：</w:t>
      </w:r>
      <w:r>
        <w:rPr>
          <w:rFonts w:hint="eastAsia" w:ascii="仿宋_GB2312" w:hAnsi="仿宋_GB2312" w:eastAsia="仿宋_GB2312" w:cs="仿宋_GB2312"/>
          <w:color w:val="auto"/>
          <w:kern w:val="2"/>
          <w:sz w:val="32"/>
          <w:szCs w:val="32"/>
          <w:highlight w:val="none"/>
          <w:lang w:val="en-US" w:eastAsia="zh-CN" w:bidi="ar-SA"/>
        </w:rPr>
        <w:t>根据自治区党委办公厅、自治区人民政府办公厅《关于印发〈80岁以上老年人基本生活津贴制度和每年体检制度〉的通知》（新党办［2011］31号）文件精神和我县惠及老年人政策的要求，为做好发放80岁以上老年人基本生活津贴工作。</w:t>
      </w:r>
      <w:r>
        <w:rPr>
          <w:rFonts w:hint="eastAsia" w:ascii="仿宋_GB2312" w:hAnsi="仿宋_GB2312" w:eastAsia="仿宋_GB2312" w:cs="仿宋_GB2312"/>
          <w:color w:val="auto"/>
          <w:kern w:val="2"/>
          <w:sz w:val="32"/>
          <w:szCs w:val="32"/>
          <w:highlight w:val="none"/>
          <w:lang w:val="en-US" w:eastAsia="en-US" w:bidi="ar-SA"/>
        </w:rPr>
        <w:t>202</w:t>
      </w:r>
      <w:r>
        <w:rPr>
          <w:rFonts w:hint="eastAsia" w:ascii="仿宋_GB2312" w:hAnsi="仿宋_GB2312" w:eastAsia="仿宋_GB2312" w:cs="仿宋_GB2312"/>
          <w:color w:val="auto"/>
          <w:kern w:val="2"/>
          <w:sz w:val="32"/>
          <w:szCs w:val="32"/>
          <w:highlight w:val="none"/>
          <w:lang w:val="en-US" w:eastAsia="zh-CN" w:bidi="ar-SA"/>
        </w:rPr>
        <w:t>4</w:t>
      </w:r>
      <w:r>
        <w:rPr>
          <w:rFonts w:hint="eastAsia" w:ascii="仿宋_GB2312" w:hAnsi="仿宋_GB2312" w:eastAsia="仿宋_GB2312" w:cs="仿宋_GB2312"/>
          <w:color w:val="auto"/>
          <w:kern w:val="2"/>
          <w:sz w:val="32"/>
          <w:szCs w:val="32"/>
          <w:highlight w:val="none"/>
          <w:lang w:val="en-US" w:eastAsia="en-US" w:bidi="ar-SA"/>
        </w:rPr>
        <w:t>年</w:t>
      </w:r>
      <w:r>
        <w:rPr>
          <w:rFonts w:hint="eastAsia" w:ascii="仿宋_GB2312" w:hAnsi="仿宋_GB2312" w:eastAsia="仿宋_GB2312" w:cs="仿宋_GB2312"/>
          <w:color w:val="auto"/>
          <w:kern w:val="2"/>
          <w:sz w:val="32"/>
          <w:szCs w:val="32"/>
          <w:highlight w:val="none"/>
          <w:lang w:val="en-US" w:eastAsia="zh-CN" w:bidi="ar-SA"/>
        </w:rPr>
        <w:t>1-12</w:t>
      </w:r>
      <w:r>
        <w:rPr>
          <w:rFonts w:hint="eastAsia" w:ascii="仿宋_GB2312" w:hAnsi="仿宋_GB2312" w:eastAsia="仿宋_GB2312" w:cs="仿宋_GB2312"/>
          <w:color w:val="auto"/>
          <w:kern w:val="2"/>
          <w:sz w:val="32"/>
          <w:szCs w:val="32"/>
          <w:highlight w:val="none"/>
          <w:lang w:val="en-US" w:eastAsia="en-US" w:bidi="ar-SA"/>
        </w:rPr>
        <w:t>月份享受</w:t>
      </w:r>
      <w:r>
        <w:rPr>
          <w:rFonts w:hint="eastAsia" w:ascii="仿宋_GB2312" w:hAnsi="仿宋_GB2312" w:eastAsia="仿宋_GB2312" w:cs="仿宋_GB2312"/>
          <w:color w:val="auto"/>
          <w:kern w:val="2"/>
          <w:sz w:val="32"/>
          <w:szCs w:val="32"/>
          <w:highlight w:val="none"/>
          <w:lang w:val="en-US" w:eastAsia="zh-CN" w:bidi="ar-SA"/>
        </w:rPr>
        <w:t>高龄津贴平均人数1797人</w:t>
      </w:r>
      <w:r>
        <w:rPr>
          <w:rFonts w:hint="eastAsia" w:ascii="仿宋_GB2312" w:hAnsi="仿宋_GB2312" w:eastAsia="仿宋_GB2312" w:cs="仿宋_GB2312"/>
          <w:color w:val="auto"/>
          <w:kern w:val="2"/>
          <w:sz w:val="32"/>
          <w:szCs w:val="32"/>
          <w:highlight w:val="none"/>
          <w:lang w:val="en-US" w:eastAsia="en-US" w:bidi="ar-SA"/>
        </w:rPr>
        <w:t>，其中</w:t>
      </w:r>
      <w:r>
        <w:rPr>
          <w:rFonts w:hint="eastAsia" w:ascii="仿宋_GB2312" w:hAnsi="仿宋_GB2312" w:eastAsia="仿宋_GB2312" w:cs="仿宋_GB2312"/>
          <w:color w:val="auto"/>
          <w:kern w:val="2"/>
          <w:sz w:val="32"/>
          <w:szCs w:val="32"/>
          <w:highlight w:val="none"/>
          <w:lang w:val="en-US" w:eastAsia="zh-CN" w:bidi="ar-SA"/>
        </w:rPr>
        <w:t>100岁以上平均人数为3人，90-99岁平均人数为179人</w:t>
      </w:r>
      <w:r>
        <w:rPr>
          <w:rFonts w:hint="eastAsia" w:ascii="仿宋_GB2312" w:hAnsi="仿宋_GB2312" w:eastAsia="仿宋_GB2312" w:cs="仿宋_GB2312"/>
          <w:color w:val="auto"/>
          <w:kern w:val="2"/>
          <w:sz w:val="32"/>
          <w:szCs w:val="32"/>
          <w:highlight w:val="none"/>
          <w:lang w:val="en-US" w:eastAsia="en-US" w:bidi="ar-SA"/>
        </w:rPr>
        <w:t>，</w:t>
      </w:r>
      <w:r>
        <w:rPr>
          <w:rFonts w:hint="eastAsia" w:ascii="仿宋_GB2312" w:hAnsi="仿宋_GB2312" w:eastAsia="仿宋_GB2312" w:cs="仿宋_GB2312"/>
          <w:color w:val="auto"/>
          <w:kern w:val="2"/>
          <w:sz w:val="32"/>
          <w:szCs w:val="32"/>
          <w:highlight w:val="none"/>
          <w:lang w:val="en-US" w:eastAsia="zh-CN" w:bidi="ar-SA"/>
        </w:rPr>
        <w:t>80-89岁平均人数为1615人，高龄津贴项目目前1-3月按季度发放高龄津贴88.2480万元，共1756人，4月1740人、5月1765人、6月1810人、7月1823人、8月1833人、9月1847人、10月1869人、11月1862人、12月1858人按月发放，4-12月共计发放282.171万元，总计发放370.419万元。(其中自治区彩票公益金62万元，本级配套308.419万元)补贴发放覆盖率达到100%，保证每月的补贴当月15日之前发放到位，补贴发放及时率达到100%。</w:t>
      </w:r>
    </w:p>
    <w:p w14:paraId="7C59EE4B">
      <w:pPr>
        <w:spacing w:line="560" w:lineRule="exact"/>
        <w:ind w:firstLine="643" w:firstLineChars="200"/>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t>3</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b/>
          <w:bCs/>
          <w:color w:val="auto"/>
          <w:sz w:val="32"/>
          <w:szCs w:val="32"/>
          <w:highlight w:val="none"/>
        </w:rPr>
        <w:t>资金投入和使用情况</w:t>
      </w:r>
    </w:p>
    <w:p w14:paraId="6A586B75">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（1）资金投入情况</w:t>
      </w:r>
    </w:p>
    <w:p w14:paraId="4F14FCBC">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该项目年初预算数</w:t>
      </w:r>
      <w:r>
        <w:rPr>
          <w:rFonts w:hint="eastAsia" w:eastAsia="仿宋_GB2312" w:cs="Times New Roman"/>
          <w:color w:val="auto"/>
          <w:sz w:val="32"/>
          <w:szCs w:val="32"/>
          <w:highlight w:val="none"/>
          <w:lang w:val="en-US" w:eastAsia="zh-CN"/>
        </w:rPr>
        <w:t>308.42</w:t>
      </w:r>
      <w:r>
        <w:rPr>
          <w:rFonts w:hint="default" w:ascii="Times New Roman" w:hAnsi="Times New Roman" w:eastAsia="仿宋_GB2312" w:cs="Times New Roman"/>
          <w:color w:val="auto"/>
          <w:sz w:val="32"/>
          <w:szCs w:val="32"/>
          <w:highlight w:val="none"/>
          <w:lang w:val="en-US" w:eastAsia="zh-CN"/>
        </w:rPr>
        <w:t>万元，全年预算数</w:t>
      </w:r>
      <w:r>
        <w:rPr>
          <w:rFonts w:hint="eastAsia" w:eastAsia="仿宋_GB2312" w:cs="Times New Roman"/>
          <w:color w:val="auto"/>
          <w:sz w:val="32"/>
          <w:szCs w:val="32"/>
          <w:highlight w:val="none"/>
          <w:lang w:val="en-US" w:eastAsia="zh-CN"/>
        </w:rPr>
        <w:t>308.42</w:t>
      </w:r>
      <w:r>
        <w:rPr>
          <w:rFonts w:hint="default" w:ascii="Times New Roman" w:hAnsi="Times New Roman" w:eastAsia="仿宋_GB2312" w:cs="Times New Roman"/>
          <w:color w:val="auto"/>
          <w:sz w:val="32"/>
          <w:szCs w:val="32"/>
          <w:highlight w:val="none"/>
          <w:lang w:val="en-US" w:eastAsia="zh-CN"/>
        </w:rPr>
        <w:t>万元，该项目资金已全部落实到位，资金来源为</w:t>
      </w:r>
      <w:r>
        <w:rPr>
          <w:rFonts w:hint="eastAsia" w:eastAsia="仿宋_GB2312" w:cs="Times New Roman"/>
          <w:color w:val="auto"/>
          <w:sz w:val="32"/>
          <w:szCs w:val="32"/>
          <w:highlight w:val="none"/>
          <w:lang w:val="en-US" w:eastAsia="zh-CN"/>
        </w:rPr>
        <w:t>财政拨款</w:t>
      </w:r>
      <w:r>
        <w:rPr>
          <w:rFonts w:hint="default" w:ascii="Times New Roman" w:hAnsi="Times New Roman" w:eastAsia="仿宋_GB2312" w:cs="Times New Roman"/>
          <w:color w:val="auto"/>
          <w:sz w:val="32"/>
          <w:szCs w:val="32"/>
          <w:highlight w:val="none"/>
          <w:lang w:val="en-US" w:eastAsia="zh-CN"/>
        </w:rPr>
        <w:t>。</w:t>
      </w:r>
    </w:p>
    <w:p w14:paraId="3C92CCD2">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（2）资金使用情况</w:t>
      </w:r>
    </w:p>
    <w:p w14:paraId="1CDBEB27">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该项目年初预算数</w:t>
      </w:r>
      <w:r>
        <w:rPr>
          <w:rFonts w:hint="eastAsia" w:eastAsia="仿宋_GB2312" w:cs="Times New Roman"/>
          <w:color w:val="auto"/>
          <w:sz w:val="32"/>
          <w:szCs w:val="32"/>
          <w:highlight w:val="none"/>
          <w:lang w:val="en-US" w:eastAsia="zh-CN"/>
        </w:rPr>
        <w:t>308.42</w:t>
      </w:r>
      <w:r>
        <w:rPr>
          <w:rFonts w:hint="default" w:ascii="Times New Roman" w:hAnsi="Times New Roman" w:eastAsia="仿宋_GB2312" w:cs="Times New Roman"/>
          <w:color w:val="auto"/>
          <w:sz w:val="32"/>
          <w:szCs w:val="32"/>
          <w:highlight w:val="none"/>
          <w:lang w:val="en-US" w:eastAsia="zh-CN"/>
        </w:rPr>
        <w:t>万元，全年预算数</w:t>
      </w:r>
      <w:r>
        <w:rPr>
          <w:rFonts w:hint="eastAsia" w:eastAsia="仿宋_GB2312" w:cs="Times New Roman"/>
          <w:color w:val="auto"/>
          <w:sz w:val="32"/>
          <w:szCs w:val="32"/>
          <w:highlight w:val="none"/>
          <w:lang w:val="en-US" w:eastAsia="zh-CN"/>
        </w:rPr>
        <w:t>308.42</w:t>
      </w:r>
      <w:r>
        <w:rPr>
          <w:rFonts w:hint="default" w:ascii="Times New Roman" w:hAnsi="Times New Roman" w:eastAsia="仿宋_GB2312" w:cs="Times New Roman"/>
          <w:color w:val="auto"/>
          <w:sz w:val="32"/>
          <w:szCs w:val="32"/>
          <w:highlight w:val="none"/>
          <w:lang w:val="en-US" w:eastAsia="zh-CN"/>
        </w:rPr>
        <w:t>万元</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，全年执行数</w:t>
      </w:r>
      <w:r>
        <w:rPr>
          <w:rFonts w:hint="eastAsia" w:eastAsia="仿宋_GB2312" w:cs="Times New Roman"/>
          <w:color w:val="auto"/>
          <w:sz w:val="32"/>
          <w:szCs w:val="32"/>
          <w:highlight w:val="none"/>
          <w:lang w:val="en-US" w:eastAsia="zh-CN"/>
        </w:rPr>
        <w:t>308.42</w:t>
      </w:r>
      <w:r>
        <w:rPr>
          <w:rFonts w:hint="default" w:ascii="Times New Roman" w:hAnsi="Times New Roman" w:eastAsia="仿宋_GB2312" w:cs="Times New Roman"/>
          <w:color w:val="auto"/>
          <w:sz w:val="32"/>
          <w:szCs w:val="32"/>
          <w:highlight w:val="none"/>
          <w:lang w:val="en-US" w:eastAsia="zh-CN"/>
        </w:rPr>
        <w:t>万元，预算执行率为</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%，主要用于：</w:t>
      </w:r>
      <w:r>
        <w:rPr>
          <w:rFonts w:hint="eastAsia" w:eastAsia="仿宋_GB2312" w:cs="Times New Roman"/>
          <w:color w:val="auto"/>
          <w:sz w:val="32"/>
          <w:szCs w:val="32"/>
          <w:highlight w:val="none"/>
          <w:lang w:val="en-US" w:eastAsia="zh-CN"/>
        </w:rPr>
        <w:t>保障80周岁以上老年人基本生活津贴</w:t>
      </w:r>
      <w:r>
        <w:rPr>
          <w:rFonts w:hint="default" w:ascii="Times New Roman" w:hAnsi="Times New Roman" w:eastAsia="仿宋_GB2312" w:cs="Times New Roman"/>
          <w:color w:val="auto"/>
          <w:sz w:val="32"/>
          <w:szCs w:val="32"/>
          <w:highlight w:val="none"/>
          <w:lang w:val="en-US" w:eastAsia="zh-CN"/>
        </w:rPr>
        <w:t>。</w:t>
      </w:r>
    </w:p>
    <w:p w14:paraId="7E1CC4AC">
      <w:pPr>
        <w:spacing w:line="560" w:lineRule="exact"/>
        <w:ind w:firstLine="643" w:firstLineChars="200"/>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（二）项目绩效目标</w:t>
      </w:r>
    </w:p>
    <w:p w14:paraId="045B2F37">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总体目标</w:t>
      </w:r>
    </w:p>
    <w:p w14:paraId="7279D46D">
      <w:pPr>
        <w:spacing w:line="560" w:lineRule="exact"/>
        <w:ind w:firstLine="640" w:firstLineChars="200"/>
        <w:rPr>
          <w:rFonts w:hint="default" w:ascii="Times New Roman" w:hAnsi="Times New Roman" w:eastAsia="仿宋_GB2312" w:cs="Times New Roman"/>
          <w:b w:val="0"/>
          <w:bCs w:val="0"/>
          <w:color w:val="auto"/>
          <w:kern w:val="28"/>
          <w:sz w:val="32"/>
          <w:szCs w:val="32"/>
          <w:highlight w:val="none"/>
          <w:lang w:val="en-US" w:eastAsia="zh-CN" w:bidi="ar-SA"/>
        </w:rPr>
      </w:pPr>
      <w:r>
        <w:rPr>
          <w:rFonts w:hint="default" w:ascii="Times New Roman" w:hAnsi="Times New Roman" w:eastAsia="仿宋_GB2312" w:cs="Times New Roman"/>
          <w:b w:val="0"/>
          <w:bCs w:val="0"/>
          <w:color w:val="auto"/>
          <w:kern w:val="28"/>
          <w:sz w:val="32"/>
          <w:szCs w:val="32"/>
          <w:highlight w:val="none"/>
          <w:lang w:val="en-US" w:eastAsia="zh-CN" w:bidi="ar-SA"/>
        </w:rPr>
        <w:t>按照150元/月标准，发放80-89岁的高龄老人津贴，共计1615人，按照360元/月发放标准，90-99岁的高龄老人津贴，共计179人，按照600元/月发放标准，100岁以上高龄老人津贴，共计3人。1-3月按季度发放，4月开始每月发放。2.阶段性目标</w:t>
      </w:r>
    </w:p>
    <w:p w14:paraId="1C35090A">
      <w:pPr>
        <w:ind w:firstLine="640" w:firstLineChars="200"/>
        <w:rPr>
          <w:rFonts w:hint="eastAsia" w:ascii="Times New Roman" w:hAnsi="Times New Roman" w:eastAsia="仿宋_GB2312" w:cs="Times New Roman"/>
          <w:b w:val="0"/>
          <w:bCs w:val="0"/>
          <w:color w:val="auto"/>
          <w:kern w:val="28"/>
          <w:sz w:val="32"/>
          <w:szCs w:val="32"/>
          <w:highlight w:val="none"/>
          <w:lang w:val="en-US" w:eastAsia="zh-CN" w:bidi="ar-SA"/>
        </w:rPr>
      </w:pPr>
      <w:r>
        <w:rPr>
          <w:rFonts w:hint="eastAsia" w:ascii="Times New Roman" w:hAnsi="Times New Roman" w:eastAsia="仿宋_GB2312" w:cs="Times New Roman"/>
          <w:b w:val="0"/>
          <w:bCs w:val="0"/>
          <w:color w:val="auto"/>
          <w:kern w:val="28"/>
          <w:sz w:val="32"/>
          <w:szCs w:val="32"/>
          <w:highlight w:val="none"/>
          <w:lang w:val="en-US" w:eastAsia="zh-CN" w:bidi="ar-SA"/>
        </w:rPr>
        <w:t>高龄津贴项目1-3月按季度发放高龄津贴88.2480万元，共1756人，4月1740人、5月1765人、6月1810人、7月1823人、8月1833人、9月1847人、10月1869人、11月1862人、12月1858人按月发放，4-12月共计发放282.171万元，总计发放370.419万元。提高生活质量：通过稳定的津贴发放和不断优化的服务，切实解决高龄老人的基本生活问题，减轻其经济负担，进而提高高龄老人的生活质量和幸福感。</w:t>
      </w:r>
    </w:p>
    <w:p w14:paraId="0F190E74">
      <w:pPr>
        <w:spacing w:line="560" w:lineRule="exact"/>
        <w:ind w:firstLine="640" w:firstLineChars="20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二、绩效评价工作开展情况</w:t>
      </w:r>
    </w:p>
    <w:p w14:paraId="3521AC29">
      <w:pPr>
        <w:spacing w:line="560" w:lineRule="exact"/>
        <w:ind w:firstLine="643" w:firstLineChars="200"/>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（一）绩效评价目的、对象和范围</w:t>
      </w:r>
    </w:p>
    <w:p w14:paraId="33D9DEAC">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val="en-US" w:eastAsia="zh-CN"/>
        </w:rPr>
      </w:pPr>
      <w:r>
        <w:rPr>
          <w:rFonts w:hint="default" w:ascii="Times New Roman" w:hAnsi="Times New Roman" w:eastAsia="仿宋_GB2312" w:cs="Times New Roman"/>
          <w:b w:val="0"/>
          <w:bCs w:val="0"/>
          <w:color w:val="auto"/>
          <w:highlight w:val="none"/>
          <w:lang w:val="en-US" w:eastAsia="zh-CN"/>
        </w:rPr>
        <w:t>1.绩效评价完整性</w:t>
      </w:r>
    </w:p>
    <w:p w14:paraId="1F39859D">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355B47E3">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在评价指标体系的构建上，充分考虑了项目的性质、目标以及预期成果，选取了具有代表性和可衡量性的关键指标，涵盖了社会效益维度，力求全方位反映项目的绩效状况。同时，对于每个指标的评价标准和数据来源均进行了明确说明，确保评价结果的客观性和可追溯性。</w:t>
      </w:r>
    </w:p>
    <w:p w14:paraId="2814DFDF">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46E7E26B">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001B37FD">
      <w:pPr>
        <w:spacing w:line="56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399A8D65">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绩效评价的目的</w:t>
      </w:r>
    </w:p>
    <w:p w14:paraId="6D93F67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（1）评估项目实施效果</w:t>
      </w:r>
    </w:p>
    <w:p w14:paraId="4FA2878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通过对项目预算执行情况及各项绩效目标达成程度的系统性分析，全面、客观地评估项目在预定周期内的实施效果，包括社会效益以及可持续性维度指标，为项目后续的改进与优化提供科学依据。</w:t>
      </w:r>
    </w:p>
    <w:p w14:paraId="2F0B94B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（2）提升资源利用效率</w:t>
      </w:r>
    </w:p>
    <w:p w14:paraId="094C70C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4221DF4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（3）强化项目管理责任</w:t>
      </w:r>
    </w:p>
    <w:p w14:paraId="5E5AB44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796541B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（4）为决策提供支持</w:t>
      </w:r>
    </w:p>
    <w:p w14:paraId="2288274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42BBD82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（5）促进项目持续改进</w:t>
      </w:r>
    </w:p>
    <w:p w14:paraId="2B068F0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2E8173B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仿宋_GB2312" w:cs="Times New Roman"/>
          <w:color w:val="auto"/>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54545288">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lang w:val="en-US" w:eastAsia="zh-CN"/>
        </w:rPr>
        <w:t>3</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b w:val="0"/>
          <w:bCs w:val="0"/>
          <w:color w:val="auto"/>
          <w:highlight w:val="none"/>
        </w:rPr>
        <w:t>绩效评价的对象</w:t>
      </w:r>
    </w:p>
    <w:p w14:paraId="756D06B0">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本项目预算绩效评价报告的评价对象是老年人福利补贴及其预算执行情况。该项目由</w:t>
      </w:r>
      <w:r>
        <w:rPr>
          <w:rFonts w:hint="eastAsia" w:ascii="Times New Roman" w:hAnsi="Times New Roman" w:eastAsia="仿宋_GB2312" w:cs="Times New Roman"/>
          <w:b w:val="0"/>
          <w:bCs w:val="0"/>
          <w:color w:val="auto"/>
          <w:kern w:val="2"/>
          <w:sz w:val="32"/>
          <w:szCs w:val="32"/>
          <w:highlight w:val="none"/>
          <w:lang w:val="en-US" w:eastAsia="zh-CN" w:bidi="ar-SA"/>
        </w:rPr>
        <w:t>特克斯县民政局</w:t>
      </w:r>
      <w:r>
        <w:rPr>
          <w:rFonts w:hint="default" w:ascii="Times New Roman" w:hAnsi="Times New Roman" w:eastAsia="仿宋_GB2312" w:cs="Times New Roman"/>
          <w:b w:val="0"/>
          <w:bCs w:val="0"/>
          <w:color w:val="auto"/>
          <w:kern w:val="2"/>
          <w:sz w:val="32"/>
          <w:szCs w:val="32"/>
          <w:highlight w:val="none"/>
          <w:lang w:val="en-US" w:eastAsia="zh-CN" w:bidi="ar-SA"/>
        </w:rPr>
        <w:t>负责实施，旨在实施80周岁以上老年人基本生活津贴发放制度，完成2024年度高龄津贴的发放工作，保障老年人合法权益。项目预算涵盖从</w:t>
      </w:r>
      <w:r>
        <w:rPr>
          <w:rFonts w:hint="eastAsia" w:ascii="Times New Roman" w:hAnsi="Times New Roman" w:eastAsia="仿宋_GB2312" w:cs="Times New Roman"/>
          <w:b w:val="0"/>
          <w:bCs w:val="0"/>
          <w:color w:val="auto"/>
          <w:kern w:val="2"/>
          <w:sz w:val="32"/>
          <w:szCs w:val="32"/>
          <w:highlight w:val="none"/>
          <w:lang w:val="en-US" w:eastAsia="zh-CN" w:bidi="ar-SA"/>
        </w:rPr>
        <w:t>2024年1月</w:t>
      </w:r>
      <w:r>
        <w:rPr>
          <w:rFonts w:hint="default" w:ascii="Times New Roman" w:hAnsi="Times New Roman" w:eastAsia="仿宋_GB2312" w:cs="Times New Roman"/>
          <w:b w:val="0"/>
          <w:bCs w:val="0"/>
          <w:color w:val="auto"/>
          <w:kern w:val="2"/>
          <w:sz w:val="32"/>
          <w:szCs w:val="32"/>
          <w:highlight w:val="none"/>
          <w:lang w:val="en-US" w:eastAsia="zh-CN" w:bidi="ar-SA"/>
        </w:rPr>
        <w:t>至</w:t>
      </w:r>
      <w:r>
        <w:rPr>
          <w:rFonts w:hint="eastAsia" w:ascii="Times New Roman" w:hAnsi="Times New Roman" w:eastAsia="仿宋_GB2312" w:cs="Times New Roman"/>
          <w:b w:val="0"/>
          <w:bCs w:val="0"/>
          <w:color w:val="auto"/>
          <w:kern w:val="2"/>
          <w:sz w:val="32"/>
          <w:szCs w:val="32"/>
          <w:highlight w:val="none"/>
          <w:lang w:val="en-US" w:eastAsia="zh-CN" w:bidi="ar-SA"/>
        </w:rPr>
        <w:t>2024年12月</w:t>
      </w:r>
      <w:r>
        <w:rPr>
          <w:rFonts w:hint="default" w:ascii="Times New Roman" w:hAnsi="Times New Roman" w:eastAsia="仿宋_GB2312" w:cs="Times New Roman"/>
          <w:b w:val="0"/>
          <w:bCs w:val="0"/>
          <w:color w:val="auto"/>
          <w:kern w:val="2"/>
          <w:sz w:val="32"/>
          <w:szCs w:val="32"/>
          <w:highlight w:val="none"/>
          <w:lang w:val="en-US" w:eastAsia="zh-CN" w:bidi="ar-SA"/>
        </w:rPr>
        <w:t>的全部资金投入与支出，涉及资金总额为</w:t>
      </w:r>
      <w:r>
        <w:rPr>
          <w:rFonts w:hint="eastAsia" w:ascii="Times New Roman" w:hAnsi="Times New Roman" w:eastAsia="仿宋_GB2312" w:cs="Times New Roman"/>
          <w:b w:val="0"/>
          <w:bCs w:val="0"/>
          <w:color w:val="auto"/>
          <w:kern w:val="2"/>
          <w:sz w:val="32"/>
          <w:szCs w:val="32"/>
          <w:highlight w:val="none"/>
          <w:lang w:val="en-US" w:eastAsia="zh-CN" w:bidi="ar-SA"/>
        </w:rPr>
        <w:t>308.42</w:t>
      </w:r>
      <w:r>
        <w:rPr>
          <w:rFonts w:hint="default" w:ascii="Times New Roman" w:hAnsi="Times New Roman" w:eastAsia="仿宋_GB2312" w:cs="Times New Roman"/>
          <w:b w:val="0"/>
          <w:bCs w:val="0"/>
          <w:color w:val="auto"/>
          <w:kern w:val="2"/>
          <w:sz w:val="32"/>
          <w:szCs w:val="32"/>
          <w:highlight w:val="none"/>
          <w:lang w:val="en-US" w:eastAsia="zh-CN" w:bidi="ar-SA"/>
        </w:rPr>
        <w:t>万元。</w:t>
      </w:r>
    </w:p>
    <w:p w14:paraId="5F9C487D">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lang w:val="en-US" w:eastAsia="zh-CN"/>
        </w:rPr>
        <w:t>4.</w:t>
      </w:r>
      <w:r>
        <w:rPr>
          <w:rFonts w:hint="default" w:ascii="Times New Roman" w:hAnsi="Times New Roman" w:eastAsia="仿宋_GB2312" w:cs="Times New Roman"/>
          <w:b w:val="0"/>
          <w:bCs w:val="0"/>
          <w:color w:val="auto"/>
          <w:highlight w:val="none"/>
        </w:rPr>
        <w:t>绩效评价的范围</w:t>
      </w:r>
    </w:p>
    <w:p w14:paraId="2CE0041D">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本项目预算绩效评价报告的评价范围广泛而全面，涵盖了从项目立项至评价时点期间的所有关键预算活动和财务流程。具体而言，评价范围包括但不限于以下几个方面：</w:t>
      </w:r>
    </w:p>
    <w:p w14:paraId="4B40DB4F">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项目预算编制与执行：全面审视项目预算的编制依据、合理性、科学性以及实际执行情况，包括预算调整的原因和效果。</w:t>
      </w:r>
    </w:p>
    <w:p w14:paraId="5A128808">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eastAsia="zh-CN"/>
        </w:rPr>
      </w:pPr>
      <w:r>
        <w:rPr>
          <w:rFonts w:hint="default" w:ascii="Times New Roman" w:hAnsi="Times New Roman" w:eastAsia="仿宋_GB2312" w:cs="Times New Roman"/>
          <w:b w:val="0"/>
          <w:bCs w:val="0"/>
          <w:color w:val="auto"/>
          <w:highlight w:val="none"/>
        </w:rPr>
        <w:t>资金管理：深入分析项目资金的分配、使用和监管情况，确保资金使用的合规性、高效性和透明度。</w:t>
      </w:r>
    </w:p>
    <w:p w14:paraId="5F9E761D">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eastAsia="zh-CN"/>
        </w:rPr>
      </w:pPr>
      <w:r>
        <w:rPr>
          <w:rFonts w:hint="default" w:ascii="Times New Roman" w:hAnsi="Times New Roman" w:eastAsia="仿宋_GB2312" w:cs="Times New Roman"/>
          <w:b w:val="0"/>
          <w:bCs w:val="0"/>
          <w:color w:val="auto"/>
          <w:highlight w:val="none"/>
        </w:rPr>
        <w:t>项目实施进度与产出：评估项目是否按照既定计划顺利推进，各项任务是否按时完成，以及项目产出的数量、质量和时效性是否符合预期。</w:t>
      </w:r>
    </w:p>
    <w:p w14:paraId="403F64DA">
      <w:pPr>
        <w:pStyle w:val="9"/>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eastAsia="zh-CN"/>
        </w:rPr>
      </w:pPr>
      <w:r>
        <w:rPr>
          <w:rFonts w:hint="default" w:ascii="Times New Roman" w:hAnsi="Times New Roman" w:eastAsia="仿宋_GB2312" w:cs="Times New Roman"/>
          <w:b w:val="0"/>
          <w:bCs w:val="0"/>
          <w:color w:val="auto"/>
          <w:highlight w:val="none"/>
        </w:rPr>
        <w:t>社会影响：考察项目对社会方面的综合影响。</w:t>
      </w:r>
    </w:p>
    <w:p w14:paraId="017523F5">
      <w:pPr>
        <w:spacing w:line="560" w:lineRule="exact"/>
        <w:ind w:firstLine="643" w:firstLineChars="200"/>
        <w:rPr>
          <w:rFonts w:hint="default" w:ascii="Times New Roman" w:hAnsi="Times New Roman" w:cs="Times New Roman"/>
          <w:color w:val="auto"/>
          <w:highlight w:val="none"/>
        </w:rPr>
      </w:pPr>
      <w:r>
        <w:rPr>
          <w:rFonts w:hint="default" w:ascii="Times New Roman" w:hAnsi="Times New Roman" w:eastAsia="楷体_GB2312" w:cs="Times New Roman"/>
          <w:b/>
          <w:bCs/>
          <w:color w:val="auto"/>
          <w:sz w:val="32"/>
          <w:szCs w:val="32"/>
          <w:highlight w:val="none"/>
        </w:rPr>
        <w:t>（二）绩效评价原则、评价指标体系（详情见表1）、评价方法、评价标准。</w:t>
      </w:r>
    </w:p>
    <w:p w14:paraId="2B108576">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1</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b w:val="0"/>
          <w:bCs w:val="0"/>
          <w:color w:val="auto"/>
          <w:highlight w:val="none"/>
        </w:rPr>
        <w:t>绩效评价原则</w:t>
      </w:r>
    </w:p>
    <w:p w14:paraId="0424EFC7">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本次项目绩效评价遵循以下基本原则：</w:t>
      </w:r>
    </w:p>
    <w:p w14:paraId="76CDEBFB">
      <w:pPr>
        <w:pStyle w:val="9"/>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（1）科学公正。绩效评价应当运用科学合理的方法，按照规范的程序，对项目绩效进行客观、公正的反映。</w:t>
      </w:r>
    </w:p>
    <w:p w14:paraId="6939DCFB">
      <w:pPr>
        <w:pStyle w:val="9"/>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（2）统筹兼顾。单位自评、部门评价和财政评价应职责明确，各有侧重，相互衔接。单位自评应由项目单位自主实施，即“谁支出、谁自评”。部门评价和财政评价应在单位自评的基础上开展。</w:t>
      </w:r>
    </w:p>
    <w:p w14:paraId="47EF782D">
      <w:pPr>
        <w:pStyle w:val="9"/>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（3）激励约束。绩效评价结果应与预算安排、政策调整、改进管理实质性挂钩，体现奖优罚劣和激励相容导向，有效要安排、低效要压减、无效要问责。</w:t>
      </w:r>
    </w:p>
    <w:p w14:paraId="550BF35A">
      <w:pPr>
        <w:pStyle w:val="9"/>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（4）公开透明。绩效评价结果应依法依规公开，并自觉接受社会监督。</w:t>
      </w:r>
    </w:p>
    <w:p w14:paraId="2CB20D89">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2</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b w:val="0"/>
          <w:bCs w:val="0"/>
          <w:color w:val="auto"/>
          <w:highlight w:val="none"/>
        </w:rPr>
        <w:t>评价指标体系</w:t>
      </w:r>
    </w:p>
    <w:p w14:paraId="2A8BDC75">
      <w:pPr>
        <w:spacing w:line="560" w:lineRule="exact"/>
        <w:ind w:firstLine="708" w:firstLineChars="200"/>
        <w:rPr>
          <w:rFonts w:hint="default" w:ascii="Times New Roman" w:hAnsi="Times New Roman"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绩效评价框架是开展绩效评价的核心。绩效评价框架包括评价准则、关键评价问题、评价指标、数据来源、数据收集方法等。指标体系建立过程如下：</w:t>
      </w:r>
    </w:p>
    <w:p w14:paraId="6B6F71AB">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（1）确定评价指标</w:t>
      </w:r>
    </w:p>
    <w:p w14:paraId="3E8D034F">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采用层次分析法，建立评价指标体系。绩效评价将指标分为项目决策指标、项目过程指标、项目产出指标、项目效益指标四个维度，最终形成一个由多个相互联系的指标组成的多层次指标体系。</w:t>
      </w:r>
    </w:p>
    <w:p w14:paraId="166486B6">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（2）确定权重</w:t>
      </w:r>
    </w:p>
    <w:p w14:paraId="5B9C8E1B">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确定各个指标相对于项目总体绩效的权重分值。在绩效评价指标体系中，项目决策权重为20分，项目过程权重为20分，项目产出权重为40分，项目效益权重为20分。</w:t>
      </w:r>
    </w:p>
    <w:p w14:paraId="07C3FCC9">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（3）确定指标标准值</w:t>
      </w:r>
    </w:p>
    <w:p w14:paraId="3B1973CE">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指标标准值是绩效评价指标的尺度，既要反映同类项目的先进水平，又要符合项目的实际绩效水平。具体采用计划标准等确定此次绩效评价指标标准值。</w:t>
      </w:r>
    </w:p>
    <w:p w14:paraId="55A038B0">
      <w:pPr>
        <w:pStyle w:val="9"/>
        <w:spacing w:before="0" w:after="0" w:line="560" w:lineRule="exact"/>
        <w:ind w:firstLine="708" w:firstLineChars="200"/>
        <w:jc w:val="both"/>
        <w:rPr>
          <w:rFonts w:hint="default" w:ascii="Times New Roman" w:hAnsi="Times New Roman" w:eastAsia="仿宋_GB2312" w:cs="Times New Roman"/>
          <w:b w:val="0"/>
          <w:bCs w:val="0"/>
          <w:color w:val="auto"/>
          <w:spacing w:val="17"/>
          <w:kern w:val="2"/>
          <w:highlight w:val="none"/>
        </w:rPr>
      </w:pPr>
      <w:r>
        <w:rPr>
          <w:rFonts w:hint="default" w:ascii="Times New Roman" w:hAnsi="Times New Roman" w:eastAsia="仿宋_GB2312" w:cs="Times New Roman"/>
          <w:b w:val="0"/>
          <w:bCs w:val="0"/>
          <w:color w:val="auto"/>
          <w:spacing w:val="17"/>
          <w:kern w:val="2"/>
          <w:highlight w:val="none"/>
        </w:rPr>
        <w:t>绩效评价总分值100分，根据综合评分结果，90（含）-100分为优、80（含）-90分为良、60（含）-80分为中、60分以下为差。</w:t>
      </w:r>
    </w:p>
    <w:p w14:paraId="671537CE">
      <w:pPr>
        <w:pStyle w:val="9"/>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auto"/>
          <w:spacing w:val="17"/>
          <w:highlight w:val="none"/>
        </w:rPr>
      </w:pPr>
      <w:r>
        <w:rPr>
          <w:rFonts w:hint="default" w:ascii="Times New Roman" w:hAnsi="Times New Roman" w:eastAsia="仿宋_GB2312" w:cs="Times New Roman"/>
          <w:b w:val="0"/>
          <w:bCs w:val="0"/>
          <w:color w:val="auto"/>
          <w:spacing w:val="17"/>
          <w:highlight w:val="none"/>
        </w:rPr>
        <w:t>具体评价指标体系详情见附件1</w:t>
      </w:r>
    </w:p>
    <w:p w14:paraId="6CAEC632">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3</w:t>
      </w:r>
      <w:r>
        <w:rPr>
          <w:rFonts w:hint="default" w:ascii="Times New Roman" w:hAnsi="Times New Roman" w:eastAsia="仿宋_GB2312" w:cs="Times New Roman"/>
          <w:b w:val="0"/>
          <w:bCs w:val="0"/>
          <w:color w:val="auto"/>
          <w:highlight w:val="none"/>
          <w:lang w:val="en-US" w:eastAsia="zh-CN"/>
        </w:rPr>
        <w:t>.</w:t>
      </w:r>
      <w:r>
        <w:rPr>
          <w:rFonts w:hint="default" w:ascii="Times New Roman" w:hAnsi="Times New Roman" w:eastAsia="仿宋_GB2312" w:cs="Times New Roman"/>
          <w:b w:val="0"/>
          <w:bCs w:val="0"/>
          <w:color w:val="auto"/>
          <w:highlight w:val="none"/>
        </w:rPr>
        <w:t>绩效评价方法</w:t>
      </w:r>
    </w:p>
    <w:p w14:paraId="4263E5CC">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绩效评价从项目决策、项目过程、项目产出、项目效益四个维度进行评价。评价对象为项目目标实施情况，  评价核心为资金的支出完成情况和项目的产出效益。</w:t>
      </w:r>
    </w:p>
    <w:p w14:paraId="079AE0C7">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本次评价指标中，既有定性指标又有定量指标，各类指标因考核内容不同和客观标准不同存在较大差异，因此核定具体指标时采用了不同方法，具体评价方法如下：</w:t>
      </w:r>
    </w:p>
    <w:p w14:paraId="2E3792FF">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w:t>
      </w:r>
      <w:r>
        <w:rPr>
          <w:rFonts w:hint="eastAsia" w:eastAsia="仿宋_GB2312" w:cs="Times New Roman"/>
          <w:color w:val="auto"/>
          <w:spacing w:val="17"/>
          <w:sz w:val="32"/>
          <w:szCs w:val="32"/>
          <w:highlight w:val="none"/>
          <w:lang w:val="en-US" w:eastAsia="zh-CN"/>
        </w:rPr>
        <w:t>一</w:t>
      </w:r>
      <w:r>
        <w:rPr>
          <w:rFonts w:hint="default" w:ascii="Times New Roman" w:hAnsi="Times New Roman" w:eastAsia="仿宋_GB2312" w:cs="Times New Roman"/>
          <w:color w:val="auto"/>
          <w:spacing w:val="17"/>
          <w:sz w:val="32"/>
          <w:szCs w:val="32"/>
          <w:highlight w:val="none"/>
        </w:rPr>
        <w:t>）因素分析法。是指综合分析影响绩效目标实现、实施效果的内外部因素的方法。能清晰地确定影响高龄津贴绩效的各种因素，如津贴标准的合理性、发放流程的便捷性、宣传推广的力度、资金使用的效率等。通过对这些因素的分析，可以全面了解津贴政策实施过程中的各个环节，找出可能存在的问题和影响绩效的关键因素。</w:t>
      </w:r>
    </w:p>
    <w:p w14:paraId="088FDAA1">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4</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b w:val="0"/>
          <w:bCs w:val="0"/>
          <w:color w:val="auto"/>
          <w:highlight w:val="none"/>
        </w:rPr>
        <w:t>评价标准</w:t>
      </w:r>
    </w:p>
    <w:p w14:paraId="4372F65D">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eastAsia="zh-CN"/>
        </w:rPr>
      </w:pPr>
      <w:r>
        <w:rPr>
          <w:rFonts w:hint="default" w:ascii="Times New Roman" w:hAnsi="Times New Roman" w:eastAsia="仿宋_GB2312" w:cs="Times New Roman"/>
          <w:b w:val="0"/>
          <w:bCs w:val="0"/>
          <w:color w:val="auto"/>
          <w:highlight w:val="none"/>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color w:val="auto"/>
          <w:highlight w:val="none"/>
          <w:lang w:val="en-US" w:eastAsia="zh-CN"/>
        </w:rPr>
        <w:t>计划</w:t>
      </w:r>
      <w:r>
        <w:rPr>
          <w:rFonts w:hint="default" w:ascii="Times New Roman" w:hAnsi="Times New Roman" w:eastAsia="仿宋_GB2312" w:cs="Times New Roman"/>
          <w:b w:val="0"/>
          <w:bCs w:val="0"/>
          <w:color w:val="auto"/>
          <w:highlight w:val="none"/>
        </w:rPr>
        <w:t>标准。</w:t>
      </w:r>
    </w:p>
    <w:p w14:paraId="6C3D7F66">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计划标准。指以预先制定的目标、计划、预算、定额等作为评价标准。计划标准明确规定了高龄津贴发放的目标和要求，例如津贴的发放范围、发放金额、发放时间等，这使得相关部门和工作人员在实施过程中有明确的方向，能够围绕既定目标开展工作，确保津贴制度能够精准地惠及符合条件的高龄老人，实现保障老年人生活质量的目标。</w:t>
      </w:r>
    </w:p>
    <w:p w14:paraId="6AB4453F">
      <w:pPr>
        <w:pStyle w:val="9"/>
        <w:numPr>
          <w:ilvl w:val="0"/>
          <w:numId w:val="2"/>
        </w:numPr>
        <w:spacing w:before="0" w:after="0" w:line="560" w:lineRule="exact"/>
        <w:ind w:firstLine="711" w:firstLineChars="200"/>
        <w:jc w:val="both"/>
        <w:rPr>
          <w:rFonts w:hint="default" w:ascii="Times New Roman" w:hAnsi="Times New Roman" w:eastAsia="楷体" w:cs="Times New Roman"/>
          <w:color w:val="auto"/>
          <w:spacing w:val="17"/>
          <w:highlight w:val="none"/>
        </w:rPr>
      </w:pPr>
      <w:r>
        <w:rPr>
          <w:rFonts w:hint="default" w:ascii="Times New Roman" w:hAnsi="Times New Roman" w:eastAsia="楷体" w:cs="Times New Roman"/>
          <w:color w:val="auto"/>
          <w:spacing w:val="17"/>
          <w:highlight w:val="none"/>
        </w:rPr>
        <w:t>绩效评价工作过程</w:t>
      </w:r>
    </w:p>
    <w:p w14:paraId="3FE214B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前期准备与规划</w:t>
      </w:r>
    </w:p>
    <w:p w14:paraId="76E0D8C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0897F22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eastAsia="zh-CN"/>
        </w:rPr>
        <w:t>）指标体系构建</w:t>
      </w:r>
    </w:p>
    <w:p w14:paraId="2F7F47C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auto"/>
          <w:spacing w:val="17"/>
          <w:sz w:val="32"/>
          <w:szCs w:val="32"/>
          <w:highlight w:val="none"/>
        </w:rPr>
        <w:t>项目决策、项目过程、项目产出、项目效益四个维度</w:t>
      </w:r>
      <w:r>
        <w:rPr>
          <w:rFonts w:hint="default" w:ascii="Times New Roman" w:hAnsi="Times New Roman" w:eastAsia="仿宋_GB2312" w:cs="Times New Roman"/>
          <w:color w:val="auto"/>
          <w:sz w:val="32"/>
          <w:szCs w:val="32"/>
          <w:highlight w:val="none"/>
          <w:lang w:eastAsia="zh-CN"/>
        </w:rPr>
        <w:t>，选取了具有代表性和可衡量性的关键指标，并为每个指标设定了明确的评价标准与权重，确保评价结果能够全面、准确地反映项目的绩效状况。</w:t>
      </w:r>
    </w:p>
    <w:p w14:paraId="0238F30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lang w:eastAsia="zh-CN"/>
        </w:rPr>
        <w:t>）数据收集与整理</w:t>
      </w:r>
    </w:p>
    <w:p w14:paraId="33B7E1B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6780B13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lang w:eastAsia="zh-CN"/>
        </w:rPr>
        <w:t>）数据分析与评估</w:t>
      </w:r>
    </w:p>
    <w:p w14:paraId="304370E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0590A00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lang w:eastAsia="zh-CN"/>
        </w:rPr>
        <w:t>）报告撰写与反馈</w:t>
      </w:r>
    </w:p>
    <w:p w14:paraId="6936184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238A93E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lang w:eastAsia="zh-CN"/>
        </w:rPr>
        <w:t>）后续跟踪与改进</w:t>
      </w:r>
    </w:p>
    <w:p w14:paraId="2792417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7E596949">
      <w:pPr>
        <w:numPr>
          <w:ilvl w:val="0"/>
          <w:numId w:val="3"/>
        </w:numPr>
        <w:spacing w:line="560" w:lineRule="exact"/>
        <w:ind w:firstLine="640" w:firstLineChars="20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综合评价情况及评价结论（附相关评分表）</w:t>
      </w:r>
    </w:p>
    <w:p w14:paraId="49668CC5">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color w:val="auto"/>
          <w:highlight w:val="none"/>
          <w:lang w:val="en-US" w:eastAsia="zh-CN"/>
        </w:rPr>
      </w:pPr>
      <w:r>
        <w:rPr>
          <w:rFonts w:hint="default" w:ascii="Times New Roman" w:hAnsi="Times New Roman" w:eastAsia="楷体_GB2312" w:cs="Times New Roman"/>
          <w:color w:val="auto"/>
          <w:highlight w:val="none"/>
          <w:lang w:eastAsia="zh-CN"/>
        </w:rPr>
        <w:t>（</w:t>
      </w:r>
      <w:r>
        <w:rPr>
          <w:rFonts w:hint="default" w:ascii="Times New Roman" w:hAnsi="Times New Roman" w:eastAsia="楷体_GB2312" w:cs="Times New Roman"/>
          <w:color w:val="auto"/>
          <w:highlight w:val="none"/>
          <w:lang w:val="en-US" w:eastAsia="zh-CN"/>
        </w:rPr>
        <w:t>一</w:t>
      </w:r>
      <w:r>
        <w:rPr>
          <w:rFonts w:hint="default" w:ascii="Times New Roman" w:hAnsi="Times New Roman" w:eastAsia="楷体_GB2312" w:cs="Times New Roman"/>
          <w:color w:val="auto"/>
          <w:highlight w:val="none"/>
          <w:lang w:eastAsia="zh-CN"/>
        </w:rPr>
        <w:t>）</w:t>
      </w:r>
      <w:r>
        <w:rPr>
          <w:rFonts w:hint="default" w:ascii="Times New Roman" w:hAnsi="Times New Roman" w:eastAsia="楷体_GB2312" w:cs="Times New Roman"/>
          <w:color w:val="auto"/>
          <w:highlight w:val="none"/>
          <w:lang w:val="en-US" w:eastAsia="zh-CN"/>
        </w:rPr>
        <w:t>评价情况</w:t>
      </w:r>
    </w:p>
    <w:p w14:paraId="31A2FCF9">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本项目的综合评价基于对项目各方面绩效的深入分析与评估。从项目目标的达成情况来看，</w:t>
      </w:r>
      <w:r>
        <w:rPr>
          <w:rFonts w:hint="eastAsia" w:eastAsia="仿宋_GB2312" w:cs="Times New Roman"/>
          <w:color w:val="auto"/>
          <w:sz w:val="32"/>
          <w:szCs w:val="32"/>
          <w:highlight w:val="none"/>
          <w:lang w:val="en-US" w:eastAsia="zh-CN"/>
        </w:rPr>
        <w:t>老年人福利补贴</w:t>
      </w:r>
      <w:r>
        <w:rPr>
          <w:rFonts w:hint="default" w:ascii="Times New Roman" w:hAnsi="Times New Roman" w:eastAsia="仿宋_GB2312" w:cs="Times New Roman"/>
          <w:color w:val="auto"/>
          <w:sz w:val="32"/>
          <w:szCs w:val="32"/>
          <w:highlight w:val="none"/>
        </w:rPr>
        <w:t>在</w:t>
      </w:r>
      <w:r>
        <w:rPr>
          <w:rFonts w:hint="eastAsia" w:eastAsia="仿宋_GB2312" w:cs="Times New Roman"/>
          <w:color w:val="auto"/>
          <w:sz w:val="32"/>
          <w:szCs w:val="32"/>
          <w:highlight w:val="none"/>
          <w:lang w:val="en-US" w:eastAsia="zh-CN"/>
        </w:rPr>
        <w:t>覆盖范围</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发放精准性</w:t>
      </w:r>
      <w:r>
        <w:rPr>
          <w:rFonts w:hint="default" w:ascii="Times New Roman" w:hAnsi="Times New Roman" w:eastAsia="仿宋_GB2312" w:cs="Times New Roman"/>
          <w:color w:val="auto"/>
          <w:sz w:val="32"/>
          <w:szCs w:val="32"/>
          <w:highlight w:val="none"/>
        </w:rPr>
        <w:t>等方面表现出色，达到了预期的标准与要求。同时，项目也在</w:t>
      </w:r>
      <w:r>
        <w:rPr>
          <w:rFonts w:hint="eastAsia" w:eastAsia="仿宋_GB2312" w:cs="Times New Roman"/>
          <w:color w:val="auto"/>
          <w:sz w:val="32"/>
          <w:szCs w:val="32"/>
          <w:highlight w:val="none"/>
          <w:lang w:val="en-US" w:eastAsia="zh-CN"/>
        </w:rPr>
        <w:t>提升老人生活质量</w:t>
      </w:r>
      <w:r>
        <w:rPr>
          <w:rFonts w:hint="default" w:ascii="Times New Roman" w:hAnsi="Times New Roman" w:eastAsia="仿宋_GB2312" w:cs="Times New Roman"/>
          <w:color w:val="auto"/>
          <w:sz w:val="32"/>
          <w:szCs w:val="32"/>
          <w:highlight w:val="none"/>
        </w:rPr>
        <w:t>取得了显著的成效，如</w:t>
      </w:r>
      <w:r>
        <w:rPr>
          <w:rFonts w:hint="eastAsia" w:eastAsia="仿宋_GB2312" w:cs="Times New Roman"/>
          <w:color w:val="auto"/>
          <w:sz w:val="32"/>
          <w:szCs w:val="32"/>
          <w:highlight w:val="none"/>
          <w:lang w:val="en-US" w:eastAsia="zh-CN"/>
        </w:rPr>
        <w:t>缓解经济压力</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促进社会和谐</w:t>
      </w:r>
      <w:r>
        <w:rPr>
          <w:rFonts w:hint="default" w:ascii="Times New Roman" w:hAnsi="Times New Roman" w:eastAsia="仿宋_GB2312" w:cs="Times New Roman"/>
          <w:color w:val="auto"/>
          <w:sz w:val="32"/>
          <w:szCs w:val="32"/>
          <w:highlight w:val="none"/>
        </w:rPr>
        <w:t>等。</w:t>
      </w:r>
    </w:p>
    <w:p w14:paraId="73EB1886">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在项目管理方面，</w:t>
      </w:r>
      <w:r>
        <w:rPr>
          <w:rFonts w:hint="eastAsia" w:eastAsia="仿宋_GB2312" w:cs="Times New Roman"/>
          <w:color w:val="auto"/>
          <w:sz w:val="32"/>
          <w:szCs w:val="32"/>
          <w:highlight w:val="none"/>
          <w:lang w:val="en-US" w:eastAsia="zh-CN"/>
        </w:rPr>
        <w:t>特克斯县民政局</w:t>
      </w:r>
      <w:r>
        <w:rPr>
          <w:rFonts w:hint="default" w:ascii="Times New Roman" w:hAnsi="Times New Roman" w:eastAsia="仿宋_GB2312" w:cs="Times New Roman"/>
          <w:color w:val="auto"/>
          <w:sz w:val="32"/>
          <w:szCs w:val="32"/>
          <w:highlight w:val="none"/>
        </w:rPr>
        <w:t>通过有效的规划、组织与协调，项目得以顺利实施，并在预算与时间上保持了良好的控制。</w:t>
      </w:r>
    </w:p>
    <w:p w14:paraId="2433174A">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从项目效益的角度来看，本项目不仅实现了预期的社会效益方面产生了积极的影响。具体而言，</w:t>
      </w:r>
      <w:r>
        <w:rPr>
          <w:rFonts w:hint="eastAsia" w:eastAsia="仿宋_GB2312" w:cs="Times New Roman"/>
          <w:color w:val="auto"/>
          <w:sz w:val="32"/>
          <w:szCs w:val="32"/>
          <w:highlight w:val="none"/>
          <w:lang w:val="en-US" w:eastAsia="zh-CN"/>
        </w:rPr>
        <w:t>提高高龄老人基本生活质量</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普及老年优待政策，加大老人对政策知晓情况</w:t>
      </w:r>
      <w:r>
        <w:rPr>
          <w:rFonts w:hint="default" w:ascii="Times New Roman" w:hAnsi="Times New Roman" w:eastAsia="仿宋_GB2312" w:cs="Times New Roman"/>
          <w:color w:val="auto"/>
          <w:sz w:val="32"/>
          <w:szCs w:val="32"/>
          <w:highlight w:val="none"/>
        </w:rPr>
        <w:t>]等方面的提升，为项目的利益相关者带来了实实在在的利益。</w:t>
      </w:r>
    </w:p>
    <w:p w14:paraId="0D862D75">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color w:val="auto"/>
          <w:highlight w:val="none"/>
        </w:rPr>
      </w:pPr>
      <w:r>
        <w:rPr>
          <w:rFonts w:hint="default" w:ascii="Times New Roman" w:hAnsi="Times New Roman" w:eastAsia="仿宋_GB2312" w:cs="Times New Roman"/>
          <w:color w:val="auto"/>
          <w:sz w:val="32"/>
          <w:szCs w:val="32"/>
          <w:highlight w:val="none"/>
        </w:rPr>
        <w:t>综上所述，</w:t>
      </w:r>
      <w:r>
        <w:rPr>
          <w:rFonts w:hint="eastAsia" w:eastAsia="仿宋_GB2312" w:cs="Times New Roman"/>
          <w:color w:val="auto"/>
          <w:sz w:val="32"/>
          <w:szCs w:val="32"/>
          <w:highlight w:val="none"/>
          <w:lang w:val="en-US" w:eastAsia="zh-CN"/>
        </w:rPr>
        <w:t>老年人福利补贴</w:t>
      </w:r>
      <w:r>
        <w:rPr>
          <w:rFonts w:hint="default" w:ascii="Times New Roman" w:hAnsi="Times New Roman" w:eastAsia="仿宋_GB2312" w:cs="Times New Roman"/>
          <w:color w:val="auto"/>
          <w:sz w:val="32"/>
          <w:szCs w:val="32"/>
          <w:highlight w:val="none"/>
        </w:rPr>
        <w:t>在绩效评价中表现出色，达到了项目的预期目标，并在多个方面取得了显著的成效。</w:t>
      </w:r>
    </w:p>
    <w:p w14:paraId="57A1295A">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color w:val="auto"/>
          <w:highlight w:val="none"/>
          <w:lang w:val="en-US" w:eastAsia="zh-CN"/>
        </w:rPr>
      </w:pPr>
      <w:r>
        <w:rPr>
          <w:rFonts w:hint="default" w:ascii="Times New Roman" w:hAnsi="Times New Roman" w:eastAsia="楷体_GB2312" w:cs="Times New Roman"/>
          <w:color w:val="auto"/>
          <w:highlight w:val="none"/>
          <w:lang w:eastAsia="zh-CN"/>
        </w:rPr>
        <w:t>（</w:t>
      </w:r>
      <w:r>
        <w:rPr>
          <w:rFonts w:hint="default" w:ascii="Times New Roman" w:hAnsi="Times New Roman" w:eastAsia="楷体_GB2312" w:cs="Times New Roman"/>
          <w:color w:val="auto"/>
          <w:highlight w:val="none"/>
          <w:lang w:val="en-US" w:eastAsia="zh-CN"/>
        </w:rPr>
        <w:t>二</w:t>
      </w:r>
      <w:r>
        <w:rPr>
          <w:rFonts w:hint="default" w:ascii="Times New Roman" w:hAnsi="Times New Roman" w:eastAsia="楷体_GB2312" w:cs="Times New Roman"/>
          <w:color w:val="auto"/>
          <w:highlight w:val="none"/>
          <w:lang w:eastAsia="zh-CN"/>
        </w:rPr>
        <w:t>）</w:t>
      </w:r>
      <w:r>
        <w:rPr>
          <w:rFonts w:hint="default" w:ascii="Times New Roman" w:hAnsi="Times New Roman" w:eastAsia="楷体_GB2312" w:cs="Times New Roman"/>
          <w:color w:val="auto"/>
          <w:highlight w:val="none"/>
          <w:lang w:val="en-US" w:eastAsia="zh-CN"/>
        </w:rPr>
        <w:t>评价结论</w:t>
      </w:r>
    </w:p>
    <w:p w14:paraId="27A6F81C">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eastAsia="zh-CN"/>
        </w:rPr>
      </w:pPr>
      <w:r>
        <w:rPr>
          <w:rFonts w:hint="default" w:ascii="Times New Roman" w:hAnsi="Times New Roman" w:eastAsia="仿宋_GB2312" w:cs="Times New Roman"/>
          <w:b w:val="0"/>
          <w:bCs w:val="0"/>
          <w:color w:val="auto"/>
          <w:highlight w:val="none"/>
        </w:rPr>
        <w:t xml:space="preserve">运用绩效评价组制定的评价指标体系以及财政部《项目支出绩效评价管理办法》（财预〔2020〕10号）文件的评分标准，通过数据采集、问卷调查及访谈等方式，对本项目进行客观评价，最终评分结果：总得分为 </w:t>
      </w:r>
      <w:r>
        <w:rPr>
          <w:rFonts w:hint="eastAsia"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 xml:space="preserve">分，属于“优”。其中，项目决策类指标权重为20分，得分为 </w:t>
      </w:r>
      <w:r>
        <w:rPr>
          <w:rFonts w:hint="eastAsia" w:ascii="Times New Roman" w:hAnsi="Times New Roman" w:eastAsia="仿宋_GB2312" w:cs="Times New Roman"/>
          <w:b w:val="0"/>
          <w:bCs w:val="0"/>
          <w:color w:val="auto"/>
          <w:highlight w:val="none"/>
          <w:lang w:val="en-US" w:eastAsia="zh-CN"/>
        </w:rPr>
        <w:t>20</w:t>
      </w:r>
      <w:r>
        <w:rPr>
          <w:rFonts w:hint="default" w:ascii="Times New Roman" w:hAnsi="Times New Roman" w:eastAsia="仿宋_GB2312" w:cs="Times New Roman"/>
          <w:b w:val="0"/>
          <w:bCs w:val="0"/>
          <w:color w:val="auto"/>
          <w:highlight w:val="none"/>
        </w:rPr>
        <w:t xml:space="preserve">分，得分率为 </w:t>
      </w:r>
      <w:r>
        <w:rPr>
          <w:rFonts w:hint="eastAsia"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%。项目过程类指标权重为20分，得分为</w:t>
      </w:r>
      <w:r>
        <w:rPr>
          <w:rFonts w:hint="eastAsia" w:ascii="Times New Roman" w:hAnsi="Times New Roman" w:eastAsia="仿宋_GB2312" w:cs="Times New Roman"/>
          <w:b w:val="0"/>
          <w:bCs w:val="0"/>
          <w:color w:val="auto"/>
          <w:highlight w:val="none"/>
          <w:lang w:val="en-US" w:eastAsia="zh-CN"/>
        </w:rPr>
        <w:t>20</w:t>
      </w:r>
      <w:r>
        <w:rPr>
          <w:rFonts w:hint="default" w:ascii="Times New Roman" w:hAnsi="Times New Roman" w:eastAsia="仿宋_GB2312" w:cs="Times New Roman"/>
          <w:b w:val="0"/>
          <w:bCs w:val="0"/>
          <w:color w:val="auto"/>
          <w:highlight w:val="none"/>
        </w:rPr>
        <w:t xml:space="preserve">分，得分率为 </w:t>
      </w:r>
      <w:r>
        <w:rPr>
          <w:rFonts w:hint="eastAsia"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%。项目产出类指标权重为40分，得分为</w:t>
      </w:r>
      <w:r>
        <w:rPr>
          <w:rFonts w:hint="eastAsia" w:ascii="Times New Roman" w:hAnsi="Times New Roman" w:eastAsia="仿宋_GB2312" w:cs="Times New Roman"/>
          <w:b w:val="0"/>
          <w:bCs w:val="0"/>
          <w:color w:val="auto"/>
          <w:highlight w:val="none"/>
          <w:lang w:val="en-US" w:eastAsia="zh-CN"/>
        </w:rPr>
        <w:t>40</w:t>
      </w:r>
      <w:r>
        <w:rPr>
          <w:rFonts w:hint="default" w:ascii="Times New Roman" w:hAnsi="Times New Roman" w:eastAsia="仿宋_GB2312" w:cs="Times New Roman"/>
          <w:b w:val="0"/>
          <w:bCs w:val="0"/>
          <w:color w:val="auto"/>
          <w:highlight w:val="none"/>
        </w:rPr>
        <w:t xml:space="preserve">分，得分率为 </w:t>
      </w:r>
      <w:r>
        <w:rPr>
          <w:rFonts w:hint="eastAsia"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%。项目效益类指标权重为20分，得分为</w:t>
      </w:r>
      <w:r>
        <w:rPr>
          <w:rFonts w:hint="eastAsia" w:ascii="Times New Roman" w:hAnsi="Times New Roman" w:eastAsia="仿宋_GB2312" w:cs="Times New Roman"/>
          <w:b w:val="0"/>
          <w:bCs w:val="0"/>
          <w:color w:val="auto"/>
          <w:highlight w:val="none"/>
          <w:lang w:val="en-US" w:eastAsia="zh-CN"/>
        </w:rPr>
        <w:t>20</w:t>
      </w:r>
      <w:r>
        <w:rPr>
          <w:rFonts w:hint="default" w:ascii="Times New Roman" w:hAnsi="Times New Roman" w:eastAsia="仿宋_GB2312" w:cs="Times New Roman"/>
          <w:b w:val="0"/>
          <w:bCs w:val="0"/>
          <w:color w:val="auto"/>
          <w:highlight w:val="none"/>
        </w:rPr>
        <w:t>分，得分率为</w:t>
      </w:r>
      <w:r>
        <w:rPr>
          <w:rFonts w:hint="eastAsia"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%。具体打分情况详见：附件1综合评分表</w:t>
      </w:r>
      <w:r>
        <w:rPr>
          <w:rFonts w:hint="default" w:ascii="Times New Roman" w:hAnsi="Times New Roman" w:eastAsia="仿宋_GB2312" w:cs="Times New Roman"/>
          <w:b w:val="0"/>
          <w:bCs w:val="0"/>
          <w:color w:val="auto"/>
          <w:highlight w:val="none"/>
          <w:lang w:eastAsia="zh-CN"/>
        </w:rPr>
        <w:t>。</w:t>
      </w:r>
    </w:p>
    <w:p w14:paraId="78D8BD21">
      <w:pPr>
        <w:pStyle w:val="9"/>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表1综合评分表</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14:paraId="03BF0383">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4959CD2D">
            <w:pPr>
              <w:jc w:val="center"/>
              <w:rPr>
                <w:rFonts w:hint="default" w:ascii="Times New Roman" w:hAnsi="Times New Roman" w:eastAsia="仿宋_GB2312" w:cs="Times New Roman"/>
                <w:b/>
                <w:bCs/>
                <w:color w:val="auto"/>
                <w:sz w:val="21"/>
                <w:szCs w:val="21"/>
                <w:highlight w:val="none"/>
              </w:rPr>
            </w:pPr>
            <w:r>
              <w:rPr>
                <w:rFonts w:hint="default" w:ascii="Times New Roman" w:hAnsi="Times New Roman" w:eastAsia="仿宋_GB2312" w:cs="Times New Roman"/>
                <w:b/>
                <w:bCs/>
                <w:color w:val="auto"/>
                <w:sz w:val="21"/>
                <w:szCs w:val="21"/>
                <w:highlight w:val="none"/>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41B5DE6E">
            <w:pPr>
              <w:jc w:val="center"/>
              <w:rPr>
                <w:rFonts w:hint="default" w:ascii="Times New Roman" w:hAnsi="Times New Roman" w:eastAsia="仿宋_GB2312" w:cs="Times New Roman"/>
                <w:b/>
                <w:bCs/>
                <w:color w:val="auto"/>
                <w:sz w:val="21"/>
                <w:szCs w:val="21"/>
                <w:highlight w:val="none"/>
              </w:rPr>
            </w:pPr>
            <w:r>
              <w:rPr>
                <w:rFonts w:hint="default" w:ascii="Times New Roman" w:hAnsi="Times New Roman" w:eastAsia="仿宋_GB2312" w:cs="Times New Roman"/>
                <w:b/>
                <w:bCs/>
                <w:color w:val="auto"/>
                <w:sz w:val="21"/>
                <w:szCs w:val="21"/>
                <w:highlight w:val="none"/>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63D8D30E">
            <w:pPr>
              <w:jc w:val="center"/>
              <w:rPr>
                <w:rFonts w:hint="default" w:ascii="Times New Roman" w:hAnsi="Times New Roman" w:eastAsia="仿宋_GB2312" w:cs="Times New Roman"/>
                <w:b/>
                <w:bCs/>
                <w:color w:val="auto"/>
                <w:sz w:val="21"/>
                <w:szCs w:val="21"/>
                <w:highlight w:val="none"/>
              </w:rPr>
            </w:pPr>
            <w:r>
              <w:rPr>
                <w:rFonts w:hint="default" w:ascii="Times New Roman" w:hAnsi="Times New Roman" w:eastAsia="仿宋_GB2312" w:cs="Times New Roman"/>
                <w:b/>
                <w:bCs/>
                <w:color w:val="auto"/>
                <w:sz w:val="21"/>
                <w:szCs w:val="21"/>
                <w:highlight w:val="none"/>
              </w:rPr>
              <w:t>得分</w:t>
            </w:r>
          </w:p>
        </w:tc>
      </w:tr>
      <w:tr w14:paraId="6633CD3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A0105E1">
            <w:pPr>
              <w:jc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14:paraId="1EE3E230">
            <w:pPr>
              <w:jc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9147EB2">
            <w:pPr>
              <w:jc w:val="center"/>
              <w:rPr>
                <w:rFonts w:hint="default" w:ascii="Times New Roman" w:hAnsi="Times New Roman" w:eastAsia="仿宋_GB2312" w:cs="Times New Roman"/>
                <w:color w:val="auto"/>
                <w:sz w:val="21"/>
                <w:szCs w:val="21"/>
                <w:highlight w:val="none"/>
                <w:lang w:val="en-US" w:eastAsia="zh-CN"/>
              </w:rPr>
            </w:pPr>
            <w:r>
              <w:rPr>
                <w:rFonts w:hint="eastAsia" w:eastAsia="仿宋_GB2312" w:cs="Times New Roman"/>
                <w:color w:val="auto"/>
                <w:sz w:val="21"/>
                <w:szCs w:val="21"/>
                <w:highlight w:val="none"/>
                <w:lang w:val="en-US" w:eastAsia="zh-CN"/>
              </w:rPr>
              <w:t>20</w:t>
            </w:r>
          </w:p>
        </w:tc>
      </w:tr>
      <w:tr w14:paraId="5B9EAE8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8F7DE32">
            <w:pPr>
              <w:jc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14:paraId="097D23C0">
            <w:pPr>
              <w:jc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01C6BAF">
            <w:pPr>
              <w:jc w:val="center"/>
              <w:rPr>
                <w:rFonts w:hint="default" w:ascii="Times New Roman" w:hAnsi="Times New Roman" w:eastAsia="仿宋_GB2312" w:cs="Times New Roman"/>
                <w:color w:val="auto"/>
                <w:sz w:val="21"/>
                <w:szCs w:val="21"/>
                <w:highlight w:val="none"/>
                <w:lang w:val="en-US" w:eastAsia="zh-CN"/>
              </w:rPr>
            </w:pPr>
            <w:r>
              <w:rPr>
                <w:rFonts w:hint="eastAsia" w:eastAsia="仿宋_GB2312" w:cs="Times New Roman"/>
                <w:color w:val="auto"/>
                <w:sz w:val="21"/>
                <w:szCs w:val="21"/>
                <w:highlight w:val="none"/>
                <w:lang w:val="en-US" w:eastAsia="zh-CN"/>
              </w:rPr>
              <w:t>20</w:t>
            </w:r>
          </w:p>
        </w:tc>
      </w:tr>
      <w:tr w14:paraId="7CB33B0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3DE6DBE">
            <w:pPr>
              <w:jc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14:paraId="7B196E13">
            <w:pPr>
              <w:jc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1AF14584">
            <w:pPr>
              <w:jc w:val="center"/>
              <w:rPr>
                <w:rFonts w:hint="default" w:ascii="Times New Roman" w:hAnsi="Times New Roman" w:eastAsia="仿宋_GB2312" w:cs="Times New Roman"/>
                <w:color w:val="auto"/>
                <w:sz w:val="21"/>
                <w:szCs w:val="21"/>
                <w:highlight w:val="none"/>
                <w:lang w:val="en-US" w:eastAsia="zh-CN"/>
              </w:rPr>
            </w:pPr>
            <w:r>
              <w:rPr>
                <w:rFonts w:hint="eastAsia" w:eastAsia="仿宋_GB2312" w:cs="Times New Roman"/>
                <w:color w:val="auto"/>
                <w:sz w:val="21"/>
                <w:szCs w:val="21"/>
                <w:highlight w:val="none"/>
                <w:lang w:val="en-US" w:eastAsia="zh-CN"/>
              </w:rPr>
              <w:t>40</w:t>
            </w:r>
          </w:p>
        </w:tc>
      </w:tr>
      <w:tr w14:paraId="48A456A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F07AA14">
            <w:pPr>
              <w:jc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14:paraId="0CA711C9">
            <w:pPr>
              <w:jc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7308EF2">
            <w:pPr>
              <w:jc w:val="center"/>
              <w:rPr>
                <w:rFonts w:hint="default" w:ascii="Times New Roman" w:hAnsi="Times New Roman" w:eastAsia="仿宋_GB2312" w:cs="Times New Roman"/>
                <w:color w:val="auto"/>
                <w:sz w:val="21"/>
                <w:szCs w:val="21"/>
                <w:highlight w:val="none"/>
                <w:lang w:val="en-US" w:eastAsia="zh-CN"/>
              </w:rPr>
            </w:pPr>
            <w:r>
              <w:rPr>
                <w:rFonts w:hint="eastAsia" w:eastAsia="仿宋_GB2312" w:cs="Times New Roman"/>
                <w:color w:val="auto"/>
                <w:sz w:val="21"/>
                <w:szCs w:val="21"/>
                <w:highlight w:val="none"/>
                <w:lang w:val="en-US" w:eastAsia="zh-CN"/>
              </w:rPr>
              <w:t>20</w:t>
            </w:r>
          </w:p>
        </w:tc>
      </w:tr>
      <w:tr w14:paraId="5EEF19C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72E70F7">
            <w:pPr>
              <w:jc w:val="center"/>
              <w:rPr>
                <w:rFonts w:hint="default" w:ascii="Times New Roman" w:hAnsi="Times New Roman" w:eastAsia="仿宋_GB2312" w:cs="Times New Roman"/>
                <w:b/>
                <w:bCs/>
                <w:color w:val="auto"/>
                <w:sz w:val="21"/>
                <w:szCs w:val="21"/>
                <w:highlight w:val="none"/>
              </w:rPr>
            </w:pPr>
            <w:r>
              <w:rPr>
                <w:rFonts w:hint="default" w:ascii="Times New Roman" w:hAnsi="Times New Roman" w:eastAsia="仿宋_GB2312" w:cs="Times New Roman"/>
                <w:b/>
                <w:bCs/>
                <w:color w:val="auto"/>
                <w:sz w:val="21"/>
                <w:szCs w:val="21"/>
                <w:highlight w:val="none"/>
              </w:rPr>
              <w:t>合计</w:t>
            </w:r>
          </w:p>
        </w:tc>
        <w:tc>
          <w:tcPr>
            <w:tcW w:w="2168" w:type="dxa"/>
            <w:tcBorders>
              <w:top w:val="nil"/>
              <w:left w:val="nil"/>
              <w:bottom w:val="single" w:color="auto" w:sz="4" w:space="0"/>
              <w:right w:val="single" w:color="auto" w:sz="4" w:space="0"/>
            </w:tcBorders>
            <w:shd w:val="clear" w:color="auto" w:fill="auto"/>
            <w:vAlign w:val="center"/>
          </w:tcPr>
          <w:p w14:paraId="403DF4DF">
            <w:pPr>
              <w:jc w:val="center"/>
              <w:rPr>
                <w:rFonts w:hint="default" w:ascii="Times New Roman" w:hAnsi="Times New Roman" w:eastAsia="仿宋_GB2312" w:cs="Times New Roman"/>
                <w:b/>
                <w:bCs/>
                <w:color w:val="auto"/>
                <w:sz w:val="21"/>
                <w:szCs w:val="21"/>
                <w:highlight w:val="none"/>
                <w:lang w:val="en-US" w:eastAsia="zh-CN"/>
              </w:rPr>
            </w:pPr>
            <w:r>
              <w:rPr>
                <w:rFonts w:hint="default" w:ascii="Times New Roman" w:hAnsi="Times New Roman" w:eastAsia="仿宋_GB2312" w:cs="Times New Roman"/>
                <w:b/>
                <w:bCs/>
                <w:color w:val="auto"/>
                <w:sz w:val="21"/>
                <w:szCs w:val="21"/>
                <w:highlight w:val="none"/>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4FF95A22">
            <w:pPr>
              <w:jc w:val="center"/>
              <w:rPr>
                <w:rFonts w:hint="default" w:ascii="Times New Roman" w:hAnsi="Times New Roman" w:eastAsia="仿宋_GB2312" w:cs="Times New Roman"/>
                <w:b/>
                <w:bCs/>
                <w:color w:val="auto"/>
                <w:sz w:val="21"/>
                <w:szCs w:val="21"/>
                <w:highlight w:val="none"/>
                <w:lang w:val="en-US" w:eastAsia="zh-CN"/>
              </w:rPr>
            </w:pPr>
            <w:r>
              <w:rPr>
                <w:rFonts w:hint="eastAsia" w:eastAsia="仿宋_GB2312" w:cs="Times New Roman"/>
                <w:b/>
                <w:bCs/>
                <w:color w:val="auto"/>
                <w:sz w:val="21"/>
                <w:szCs w:val="21"/>
                <w:highlight w:val="none"/>
                <w:lang w:val="en-US" w:eastAsia="zh-CN"/>
              </w:rPr>
              <w:t>100</w:t>
            </w:r>
          </w:p>
        </w:tc>
      </w:tr>
    </w:tbl>
    <w:p w14:paraId="1A64CCE9">
      <w:pPr>
        <w:spacing w:line="560" w:lineRule="exact"/>
        <w:ind w:firstLine="640" w:firstLineChars="20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四、绩效评价指标分析</w:t>
      </w:r>
    </w:p>
    <w:p w14:paraId="20FFF065">
      <w:pPr>
        <w:pStyle w:val="9"/>
        <w:spacing w:before="0" w:after="0" w:line="560" w:lineRule="exact"/>
        <w:ind w:firstLine="643" w:firstLineChars="200"/>
        <w:jc w:val="both"/>
        <w:rPr>
          <w:rFonts w:hint="default" w:ascii="Times New Roman" w:hAnsi="Times New Roman" w:eastAsia="楷体_GB2312" w:cs="Times New Roman"/>
          <w:color w:val="auto"/>
          <w:highlight w:val="none"/>
        </w:rPr>
      </w:pPr>
      <w:r>
        <w:rPr>
          <w:rFonts w:hint="default" w:ascii="Times New Roman" w:hAnsi="Times New Roman" w:eastAsia="楷体_GB2312" w:cs="Times New Roman"/>
          <w:color w:val="auto"/>
          <w:highlight w:val="none"/>
        </w:rPr>
        <w:t>（一）项目决策情况</w:t>
      </w:r>
    </w:p>
    <w:p w14:paraId="40909CDF">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color w:val="auto"/>
          <w:sz w:val="32"/>
          <w:szCs w:val="32"/>
          <w:highlight w:val="none"/>
          <w:lang w:val="en-US" w:eastAsia="zh-CN"/>
        </w:rPr>
        <w:t>20</w:t>
      </w:r>
      <w:r>
        <w:rPr>
          <w:rFonts w:hint="default" w:ascii="Times New Roman" w:hAnsi="Times New Roman" w:eastAsia="仿宋_GB2312" w:cs="Times New Roman"/>
          <w:color w:val="auto"/>
          <w:sz w:val="32"/>
          <w:szCs w:val="32"/>
          <w:highlight w:val="none"/>
          <w:lang w:val="en-US" w:eastAsia="zh-CN"/>
        </w:rPr>
        <w:t>分，得分率为</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w:t>
      </w:r>
    </w:p>
    <w:p w14:paraId="1D3CB78E">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1.项目立项</w:t>
      </w:r>
    </w:p>
    <w:p w14:paraId="662D914D">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（1）立项依据充分性</w:t>
      </w:r>
    </w:p>
    <w:p w14:paraId="1E5EDCA8">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0B65E1A7">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（2）立项程序规范性</w:t>
      </w:r>
    </w:p>
    <w:p w14:paraId="453F7DB8">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项目申请、设立过程符合相关要求，严格按照审批流程准备符合要求的文件、材料；</w:t>
      </w:r>
      <w:r>
        <w:rPr>
          <w:rFonts w:hint="default" w:ascii="Times New Roman" w:hAnsi="Times New Roman" w:eastAsia="仿宋_GB2312" w:cs="Times New Roman"/>
          <w:color w:val="auto"/>
          <w:sz w:val="32"/>
          <w:szCs w:val="32"/>
          <w:highlight w:val="none"/>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6D679A73">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2.绩效目标</w:t>
      </w:r>
    </w:p>
    <w:p w14:paraId="5B7F4C4F">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（1）绩效目标合理性</w:t>
      </w:r>
    </w:p>
    <w:p w14:paraId="4E179C7E">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rPr>
        <w:t>年初结合实际工作内容</w:t>
      </w:r>
      <w:r>
        <w:rPr>
          <w:rFonts w:hint="default" w:ascii="Times New Roman" w:hAnsi="Times New Roman" w:eastAsia="仿宋_GB2312" w:cs="Times New Roman"/>
          <w:color w:val="auto"/>
          <w:sz w:val="32"/>
          <w:szCs w:val="32"/>
          <w:highlight w:val="none"/>
          <w:lang w:val="en-US" w:eastAsia="zh-CN"/>
        </w:rPr>
        <w:t>设定绩效目标</w:t>
      </w:r>
      <w:r>
        <w:rPr>
          <w:rFonts w:hint="default" w:ascii="Times New Roman" w:hAnsi="Times New Roman" w:eastAsia="仿宋_GB2312" w:cs="Times New Roman"/>
          <w:color w:val="auto"/>
          <w:sz w:val="32"/>
          <w:szCs w:val="32"/>
          <w:highlight w:val="none"/>
          <w:lang w:val="en-US"/>
        </w:rPr>
        <w:t>，绩效目标</w:t>
      </w:r>
      <w:r>
        <w:rPr>
          <w:rFonts w:hint="default" w:ascii="Times New Roman" w:hAnsi="Times New Roman" w:eastAsia="仿宋_GB2312" w:cs="Times New Roman"/>
          <w:color w:val="auto"/>
          <w:sz w:val="32"/>
          <w:szCs w:val="32"/>
          <w:highlight w:val="none"/>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603B8C49">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（2）绩效指标明确性</w:t>
      </w:r>
    </w:p>
    <w:p w14:paraId="74D37479">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项目设置了明确的预期产出效益和效果，将绩效目标细化分解为具体的绩效指标，绩效目标与项目目标任务数相对应，绩效目标设定的绩效指标清晰、细化、可衡量。</w:t>
      </w:r>
    </w:p>
    <w:p w14:paraId="3B04A73F">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3.资金投入</w:t>
      </w:r>
    </w:p>
    <w:p w14:paraId="2BD3BCB4">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（1）预算编制科学性</w:t>
      </w:r>
    </w:p>
    <w:p w14:paraId="69D3BE7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1A862E5C">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在预算编制过程中，</w:t>
      </w:r>
      <w:r>
        <w:rPr>
          <w:rFonts w:hint="default" w:ascii="Times New Roman" w:hAnsi="Times New Roman" w:eastAsia="仿宋_GB2312" w:cs="Times New Roman"/>
          <w:color w:val="auto"/>
          <w:sz w:val="32"/>
          <w:szCs w:val="32"/>
          <w:highlight w:val="none"/>
          <w:lang w:val="en-US" w:eastAsia="zh-CN"/>
        </w:rPr>
        <w:t>还</w:t>
      </w:r>
      <w:r>
        <w:rPr>
          <w:rFonts w:hint="default" w:ascii="Times New Roman" w:hAnsi="Times New Roman" w:eastAsia="仿宋_GB2312" w:cs="Times New Roman"/>
          <w:color w:val="auto"/>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2B46EA8A">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（2）资金分配合理性</w:t>
      </w:r>
    </w:p>
    <w:p w14:paraId="25BA7A0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2243A21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28FB579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17E7983E">
      <w:pPr>
        <w:pStyle w:val="9"/>
        <w:numPr>
          <w:ilvl w:val="0"/>
          <w:numId w:val="4"/>
        </w:numPr>
        <w:spacing w:before="0" w:after="0" w:line="560" w:lineRule="exact"/>
        <w:ind w:firstLine="643" w:firstLineChars="200"/>
        <w:jc w:val="both"/>
        <w:rPr>
          <w:rFonts w:hint="default" w:ascii="Times New Roman" w:hAnsi="Times New Roman" w:eastAsia="楷体" w:cs="Times New Roman"/>
          <w:color w:val="auto"/>
          <w:highlight w:val="none"/>
        </w:rPr>
      </w:pPr>
      <w:r>
        <w:rPr>
          <w:rFonts w:hint="default" w:ascii="Times New Roman" w:hAnsi="Times New Roman" w:eastAsia="楷体" w:cs="Times New Roman"/>
          <w:color w:val="auto"/>
          <w:highlight w:val="none"/>
        </w:rPr>
        <w:t>项目过程情况</w:t>
      </w:r>
    </w:p>
    <w:p w14:paraId="2605A9ED">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项目过程类指标包括资金管理和组织实施两方面的内容，由5个三级指标构成，权重分值为20分，实际得分</w:t>
      </w:r>
      <w:r>
        <w:rPr>
          <w:rFonts w:hint="eastAsia" w:eastAsia="仿宋_GB2312" w:cs="Times New Roman"/>
          <w:color w:val="auto"/>
          <w:sz w:val="32"/>
          <w:szCs w:val="32"/>
          <w:highlight w:val="none"/>
          <w:lang w:val="en-US" w:eastAsia="zh-CN"/>
        </w:rPr>
        <w:t>20</w:t>
      </w:r>
      <w:r>
        <w:rPr>
          <w:rFonts w:hint="default" w:ascii="Times New Roman" w:hAnsi="Times New Roman" w:eastAsia="仿宋_GB2312" w:cs="Times New Roman"/>
          <w:color w:val="auto"/>
          <w:sz w:val="32"/>
          <w:szCs w:val="32"/>
          <w:highlight w:val="none"/>
          <w:lang w:val="en-US" w:eastAsia="zh-CN"/>
        </w:rPr>
        <w:t>分，得分率为</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w:t>
      </w:r>
    </w:p>
    <w:p w14:paraId="2593677C">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1.资金管理</w:t>
      </w:r>
    </w:p>
    <w:p w14:paraId="1B765312">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（1）资金到位率</w:t>
      </w:r>
    </w:p>
    <w:p w14:paraId="4A8CAEDF">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本项目总投资</w:t>
      </w:r>
      <w:r>
        <w:rPr>
          <w:rFonts w:hint="eastAsia" w:eastAsia="仿宋_GB2312" w:cs="Times New Roman"/>
          <w:color w:val="auto"/>
          <w:sz w:val="32"/>
          <w:szCs w:val="32"/>
          <w:highlight w:val="none"/>
          <w:lang w:val="en-US" w:eastAsia="zh-CN"/>
        </w:rPr>
        <w:t>308.42</w:t>
      </w:r>
      <w:r>
        <w:rPr>
          <w:rFonts w:hint="default" w:ascii="Times New Roman" w:hAnsi="Times New Roman" w:eastAsia="仿宋_GB2312" w:cs="Times New Roman"/>
          <w:color w:val="auto"/>
          <w:sz w:val="32"/>
          <w:szCs w:val="32"/>
          <w:highlight w:val="none"/>
          <w:lang w:val="en-US" w:eastAsia="zh-CN"/>
        </w:rPr>
        <w:t>万元，财政资金及时足额到位，到位率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%，预算资金按计划进度执行。</w:t>
      </w:r>
    </w:p>
    <w:p w14:paraId="49D623E7">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（2）预算执行率</w:t>
      </w:r>
    </w:p>
    <w:p w14:paraId="1B7C48FD">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预算编制较为详细，项目资金支出总体能够按照预算执行，预算资金支出</w:t>
      </w:r>
      <w:r>
        <w:rPr>
          <w:rFonts w:hint="eastAsia" w:eastAsia="仿宋_GB2312" w:cs="Times New Roman"/>
          <w:color w:val="auto"/>
          <w:sz w:val="32"/>
          <w:szCs w:val="32"/>
          <w:highlight w:val="none"/>
          <w:lang w:val="en-US" w:eastAsia="zh-CN"/>
        </w:rPr>
        <w:t>308.42</w:t>
      </w:r>
      <w:r>
        <w:rPr>
          <w:rFonts w:hint="default" w:ascii="Times New Roman" w:hAnsi="Times New Roman" w:eastAsia="仿宋_GB2312" w:cs="Times New Roman"/>
          <w:color w:val="auto"/>
          <w:sz w:val="32"/>
          <w:szCs w:val="32"/>
          <w:highlight w:val="none"/>
          <w:lang w:val="en-US" w:eastAsia="zh-CN"/>
        </w:rPr>
        <w:t>万元，预算执行率为</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w:t>
      </w:r>
    </w:p>
    <w:p w14:paraId="7AA19E20">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（3）资金使用合规性</w:t>
      </w:r>
    </w:p>
    <w:p w14:paraId="6A06290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78E59DF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2E9F060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5AB77AAA">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2.组织实施</w:t>
      </w:r>
    </w:p>
    <w:p w14:paraId="66450FE4">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（1）管理制度健全性</w:t>
      </w:r>
    </w:p>
    <w:p w14:paraId="705F121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49A41CA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在制度设计上，我们注重了制度的科学性与可操作性，确保制度能够切实指导项目的执行与管理。</w:t>
      </w:r>
    </w:p>
    <w:p w14:paraId="4FD1C54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408A30A6">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3216F499">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（2）制度执行有效性</w:t>
      </w:r>
    </w:p>
    <w:p w14:paraId="4B416D2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color w:val="auto"/>
          <w:sz w:val="32"/>
          <w:szCs w:val="32"/>
          <w:highlight w:val="none"/>
          <w:lang w:val="en-US" w:eastAsia="zh-CN"/>
        </w:rPr>
        <w:t>单位</w:t>
      </w:r>
      <w:r>
        <w:rPr>
          <w:rFonts w:hint="default" w:ascii="Times New Roman" w:hAnsi="Times New Roman" w:eastAsia="仿宋_GB2312" w:cs="Times New Roman"/>
          <w:color w:val="auto"/>
          <w:sz w:val="32"/>
          <w:szCs w:val="32"/>
          <w:highlight w:val="none"/>
          <w:lang w:eastAsia="zh-CN"/>
        </w:rPr>
        <w:t>重视制度执行的重要性，通过明确责任分工、制定详细执行计划、加强监督考核等措施，确保了各项管理制度能够得到有效执行。</w:t>
      </w:r>
    </w:p>
    <w:p w14:paraId="0D5A1F6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0152EF5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eastAsia="zh-CN"/>
        </w:rPr>
        <w:t>综上所述，本项目的管理制度在执行过程中表现出了高度的有效性，既确保了项目的顺利进行，又实现了项目目标的有效达成。</w:t>
      </w:r>
    </w:p>
    <w:p w14:paraId="367D2BB3">
      <w:pPr>
        <w:pStyle w:val="10"/>
        <w:numPr>
          <w:ilvl w:val="0"/>
          <w:numId w:val="4"/>
        </w:numPr>
        <w:spacing w:line="560" w:lineRule="exact"/>
        <w:ind w:firstLine="643"/>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项目产出</w:t>
      </w:r>
      <w:r>
        <w:rPr>
          <w:rFonts w:hint="default" w:ascii="Times New Roman" w:hAnsi="Times New Roman" w:eastAsia="楷体_GB2312" w:cs="Times New Roman"/>
          <w:b/>
          <w:bCs/>
          <w:color w:val="auto"/>
          <w:sz w:val="32"/>
          <w:szCs w:val="32"/>
          <w:highlight w:val="none"/>
          <w:lang w:val="en-US" w:eastAsia="zh-CN"/>
        </w:rPr>
        <w:t>情况</w:t>
      </w:r>
    </w:p>
    <w:p w14:paraId="783F0D28">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项目产出类指标包括产出数量、产出质量、产出时效、产出成本四方面的内容，由</w:t>
      </w:r>
      <w:r>
        <w:rPr>
          <w:rFonts w:hint="eastAsia"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lang w:val="en-US" w:eastAsia="zh-CN"/>
        </w:rPr>
        <w:t>个三级指标构成，权重分为40分，实际得分</w:t>
      </w:r>
      <w:r>
        <w:rPr>
          <w:rFonts w:hint="eastAsia" w:eastAsia="仿宋_GB2312" w:cs="Times New Roman"/>
          <w:color w:val="auto"/>
          <w:sz w:val="32"/>
          <w:szCs w:val="32"/>
          <w:highlight w:val="none"/>
          <w:lang w:val="en-US" w:eastAsia="zh-CN"/>
        </w:rPr>
        <w:t>40</w:t>
      </w:r>
      <w:r>
        <w:rPr>
          <w:rFonts w:hint="default" w:ascii="Times New Roman" w:hAnsi="Times New Roman" w:eastAsia="仿宋_GB2312" w:cs="Times New Roman"/>
          <w:color w:val="auto"/>
          <w:sz w:val="32"/>
          <w:szCs w:val="32"/>
          <w:highlight w:val="none"/>
          <w:lang w:val="en-US" w:eastAsia="zh-CN"/>
        </w:rPr>
        <w:t>分，得分率为</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%。具体产出指标完成情况如下：</w:t>
      </w:r>
    </w:p>
    <w:p w14:paraId="1EF91E55">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 1 \* GB3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rPr>
        <w:t>①</w:t>
      </w:r>
      <w:r>
        <w:rPr>
          <w:rFonts w:hint="default" w:ascii="Times New Roman" w:hAnsi="Times New Roman" w:eastAsia="仿宋_GB2312" w:cs="Times New Roman"/>
          <w:color w:val="auto"/>
          <w:sz w:val="32"/>
          <w:szCs w:val="32"/>
          <w:highlight w:val="none"/>
        </w:rPr>
        <w:fldChar w:fldCharType="end"/>
      </w:r>
      <w:r>
        <w:rPr>
          <w:rFonts w:hint="default" w:ascii="Times New Roman" w:hAnsi="Times New Roman" w:eastAsia="仿宋_GB2312" w:cs="Times New Roman"/>
          <w:color w:val="auto"/>
          <w:sz w:val="32"/>
          <w:szCs w:val="32"/>
          <w:highlight w:val="none"/>
        </w:rPr>
        <w:t>数量指标：</w:t>
      </w:r>
    </w:p>
    <w:p w14:paraId="5905F627">
      <w:pPr>
        <w:shd w:val="clear" w:color="auto" w:fill="auto"/>
        <w:spacing w:line="600" w:lineRule="exact"/>
        <w:ind w:firstLine="640" w:firstLineChars="200"/>
        <w:outlineLvl w:val="0"/>
        <w:rPr>
          <w:rFonts w:hint="eastAsia"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指标1</w:t>
      </w:r>
      <w:r>
        <w:rPr>
          <w:rFonts w:hint="eastAsia" w:eastAsia="仿宋_GB2312" w:cs="Times New Roman"/>
          <w:color w:val="auto"/>
          <w:sz w:val="32"/>
          <w:szCs w:val="32"/>
          <w:highlight w:val="none"/>
          <w:lang w:eastAsia="zh-CN"/>
        </w:rPr>
        <w:t>：</w:t>
      </w:r>
      <w:r>
        <w:rPr>
          <w:rFonts w:hint="eastAsia" w:eastAsia="仿宋_GB2312" w:cs="Times New Roman"/>
          <w:color w:val="auto"/>
          <w:sz w:val="32"/>
          <w:szCs w:val="32"/>
          <w:highlight w:val="none"/>
          <w:lang w:val="en-US" w:eastAsia="zh-CN"/>
        </w:rPr>
        <w:t>80-89岁的高龄老人</w:t>
      </w:r>
      <w:r>
        <w:rPr>
          <w:rFonts w:hint="default" w:ascii="Times New Roman" w:hAnsi="Times New Roman" w:eastAsia="仿宋_GB2312" w:cs="Times New Roman"/>
          <w:color w:val="auto"/>
          <w:sz w:val="32"/>
          <w:szCs w:val="32"/>
          <w:highlight w:val="none"/>
        </w:rPr>
        <w:t>，指标值：</w:t>
      </w:r>
      <w:r>
        <w:rPr>
          <w:rFonts w:hint="eastAsia" w:eastAsia="仿宋_GB2312" w:cs="Times New Roman"/>
          <w:color w:val="auto"/>
          <w:sz w:val="32"/>
          <w:szCs w:val="32"/>
          <w:highlight w:val="none"/>
          <w:lang w:val="en-US" w:eastAsia="zh-CN"/>
        </w:rPr>
        <w:t>＞=1615人</w:t>
      </w:r>
      <w:r>
        <w:rPr>
          <w:rFonts w:hint="default" w:ascii="Times New Roman" w:hAnsi="Times New Roman" w:eastAsia="仿宋_GB2312" w:cs="Times New Roman"/>
          <w:color w:val="auto"/>
          <w:sz w:val="32"/>
          <w:szCs w:val="32"/>
          <w:highlight w:val="none"/>
        </w:rPr>
        <w:t>，实际完成值：</w:t>
      </w:r>
      <w:r>
        <w:rPr>
          <w:rFonts w:hint="eastAsia" w:eastAsia="仿宋_GB2312" w:cs="Times New Roman"/>
          <w:color w:val="auto"/>
          <w:sz w:val="32"/>
          <w:szCs w:val="32"/>
          <w:highlight w:val="none"/>
          <w:lang w:val="en-US" w:eastAsia="zh-CN"/>
        </w:rPr>
        <w:t>1615人</w:t>
      </w:r>
      <w:r>
        <w:rPr>
          <w:rFonts w:hint="default" w:ascii="Times New Roman" w:hAnsi="Times New Roman" w:eastAsia="仿宋_GB2312" w:cs="Times New Roman"/>
          <w:color w:val="auto"/>
          <w:sz w:val="32"/>
          <w:szCs w:val="32"/>
          <w:highlight w:val="none"/>
        </w:rPr>
        <w:t>，指标完成率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eastAsia="zh-CN"/>
        </w:rPr>
        <w:t>。</w:t>
      </w:r>
    </w:p>
    <w:p w14:paraId="675B1F60">
      <w:pPr>
        <w:shd w:val="clear" w:color="auto" w:fill="auto"/>
        <w:spacing w:line="600" w:lineRule="exact"/>
        <w:ind w:firstLine="640" w:firstLineChars="200"/>
        <w:outlineLvl w:val="0"/>
        <w:rPr>
          <w:rFonts w:hint="eastAsia"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指标</w:t>
      </w:r>
      <w:r>
        <w:rPr>
          <w:rFonts w:hint="eastAsia" w:eastAsia="仿宋_GB2312" w:cs="Times New Roman"/>
          <w:color w:val="auto"/>
          <w:sz w:val="32"/>
          <w:szCs w:val="32"/>
          <w:highlight w:val="none"/>
          <w:lang w:val="en-US" w:eastAsia="zh-CN"/>
        </w:rPr>
        <w:t>2：90-99岁的高龄老人，</w:t>
      </w:r>
      <w:r>
        <w:rPr>
          <w:rFonts w:hint="default" w:ascii="Times New Roman" w:hAnsi="Times New Roman" w:eastAsia="仿宋_GB2312" w:cs="Times New Roman"/>
          <w:color w:val="auto"/>
          <w:sz w:val="32"/>
          <w:szCs w:val="32"/>
          <w:highlight w:val="none"/>
        </w:rPr>
        <w:t>指标值：</w:t>
      </w:r>
      <w:r>
        <w:rPr>
          <w:rFonts w:hint="eastAsia" w:eastAsia="仿宋_GB2312" w:cs="Times New Roman"/>
          <w:color w:val="auto"/>
          <w:sz w:val="32"/>
          <w:szCs w:val="32"/>
          <w:highlight w:val="none"/>
          <w:lang w:val="en-US" w:eastAsia="zh-CN"/>
        </w:rPr>
        <w:t>＞=179人</w:t>
      </w:r>
      <w:r>
        <w:rPr>
          <w:rFonts w:hint="default" w:ascii="Times New Roman" w:hAnsi="Times New Roman" w:eastAsia="仿宋_GB2312" w:cs="Times New Roman"/>
          <w:color w:val="auto"/>
          <w:sz w:val="32"/>
          <w:szCs w:val="32"/>
          <w:highlight w:val="none"/>
        </w:rPr>
        <w:t>，实际完成值：</w:t>
      </w:r>
      <w:r>
        <w:rPr>
          <w:rFonts w:hint="eastAsia" w:eastAsia="仿宋_GB2312" w:cs="Times New Roman"/>
          <w:color w:val="auto"/>
          <w:sz w:val="32"/>
          <w:szCs w:val="32"/>
          <w:highlight w:val="none"/>
          <w:lang w:val="en-US" w:eastAsia="zh-CN"/>
        </w:rPr>
        <w:t>179人</w:t>
      </w:r>
      <w:r>
        <w:rPr>
          <w:rFonts w:hint="default" w:ascii="Times New Roman" w:hAnsi="Times New Roman" w:eastAsia="仿宋_GB2312" w:cs="Times New Roman"/>
          <w:color w:val="auto"/>
          <w:sz w:val="32"/>
          <w:szCs w:val="32"/>
          <w:highlight w:val="none"/>
        </w:rPr>
        <w:t>，指标完成率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eastAsia="zh-CN"/>
        </w:rPr>
        <w:t>。</w:t>
      </w:r>
    </w:p>
    <w:p w14:paraId="1CB7FE38">
      <w:pPr>
        <w:shd w:val="clear" w:color="auto" w:fill="auto"/>
        <w:spacing w:line="600" w:lineRule="exact"/>
        <w:ind w:firstLine="640" w:firstLineChars="200"/>
        <w:outlineLvl w:val="0"/>
        <w:rPr>
          <w:rFonts w:hint="eastAsia"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指标</w:t>
      </w:r>
      <w:r>
        <w:rPr>
          <w:rFonts w:hint="eastAsia" w:eastAsia="仿宋_GB2312" w:cs="Times New Roman"/>
          <w:color w:val="auto"/>
          <w:sz w:val="32"/>
          <w:szCs w:val="32"/>
          <w:highlight w:val="none"/>
          <w:lang w:val="en-US" w:eastAsia="zh-CN"/>
        </w:rPr>
        <w:t>3：100岁以上岁的高龄老人，</w:t>
      </w:r>
      <w:r>
        <w:rPr>
          <w:rFonts w:hint="default" w:ascii="Times New Roman" w:hAnsi="Times New Roman" w:eastAsia="仿宋_GB2312" w:cs="Times New Roman"/>
          <w:color w:val="auto"/>
          <w:sz w:val="32"/>
          <w:szCs w:val="32"/>
          <w:highlight w:val="none"/>
        </w:rPr>
        <w:t>指标值：</w:t>
      </w:r>
      <w:r>
        <w:rPr>
          <w:rFonts w:hint="eastAsia" w:eastAsia="仿宋_GB2312" w:cs="Times New Roman"/>
          <w:color w:val="auto"/>
          <w:sz w:val="32"/>
          <w:szCs w:val="32"/>
          <w:highlight w:val="none"/>
          <w:lang w:val="en-US" w:eastAsia="zh-CN"/>
        </w:rPr>
        <w:t>＞=3人</w:t>
      </w:r>
      <w:r>
        <w:rPr>
          <w:rFonts w:hint="default" w:ascii="Times New Roman" w:hAnsi="Times New Roman" w:eastAsia="仿宋_GB2312" w:cs="Times New Roman"/>
          <w:color w:val="auto"/>
          <w:sz w:val="32"/>
          <w:szCs w:val="32"/>
          <w:highlight w:val="none"/>
        </w:rPr>
        <w:t>，实际完成值：</w:t>
      </w:r>
      <w:r>
        <w:rPr>
          <w:rFonts w:hint="eastAsia" w:eastAsia="仿宋_GB2312" w:cs="Times New Roman"/>
          <w:color w:val="auto"/>
          <w:sz w:val="32"/>
          <w:szCs w:val="32"/>
          <w:highlight w:val="none"/>
          <w:lang w:val="en-US" w:eastAsia="zh-CN"/>
        </w:rPr>
        <w:t>3人</w:t>
      </w:r>
      <w:r>
        <w:rPr>
          <w:rFonts w:hint="default" w:ascii="Times New Roman" w:hAnsi="Times New Roman" w:eastAsia="仿宋_GB2312" w:cs="Times New Roman"/>
          <w:color w:val="auto"/>
          <w:sz w:val="32"/>
          <w:szCs w:val="32"/>
          <w:highlight w:val="none"/>
        </w:rPr>
        <w:t>，指标完成率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eastAsia="zh-CN"/>
        </w:rPr>
        <w:t>。</w:t>
      </w:r>
    </w:p>
    <w:p w14:paraId="4DE1F80A">
      <w:pPr>
        <w:shd w:val="clear" w:color="auto" w:fill="auto"/>
        <w:spacing w:line="600" w:lineRule="exact"/>
        <w:ind w:firstLine="640" w:firstLineChars="200"/>
        <w:outlineLvl w:val="0"/>
        <w:rPr>
          <w:rFonts w:hint="eastAsia"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指标</w:t>
      </w:r>
      <w:r>
        <w:rPr>
          <w:rFonts w:hint="eastAsia" w:eastAsia="仿宋_GB2312" w:cs="Times New Roman"/>
          <w:color w:val="auto"/>
          <w:sz w:val="32"/>
          <w:szCs w:val="32"/>
          <w:highlight w:val="none"/>
          <w:lang w:val="en-US" w:eastAsia="zh-CN"/>
        </w:rPr>
        <w:t>4：高龄津贴发放次数，</w:t>
      </w:r>
      <w:r>
        <w:rPr>
          <w:rFonts w:hint="default" w:ascii="Times New Roman" w:hAnsi="Times New Roman" w:eastAsia="仿宋_GB2312" w:cs="Times New Roman"/>
          <w:color w:val="auto"/>
          <w:sz w:val="32"/>
          <w:szCs w:val="32"/>
          <w:highlight w:val="none"/>
        </w:rPr>
        <w:t>指标值：</w:t>
      </w:r>
      <w:r>
        <w:rPr>
          <w:rFonts w:hint="eastAsia" w:eastAsia="仿宋_GB2312" w:cs="Times New Roman"/>
          <w:color w:val="auto"/>
          <w:sz w:val="32"/>
          <w:szCs w:val="32"/>
          <w:highlight w:val="none"/>
          <w:lang w:val="en-US" w:eastAsia="zh-CN"/>
        </w:rPr>
        <w:t>=10次</w:t>
      </w:r>
      <w:r>
        <w:rPr>
          <w:rFonts w:hint="default" w:ascii="Times New Roman" w:hAnsi="Times New Roman" w:eastAsia="仿宋_GB2312" w:cs="Times New Roman"/>
          <w:color w:val="auto"/>
          <w:sz w:val="32"/>
          <w:szCs w:val="32"/>
          <w:highlight w:val="none"/>
        </w:rPr>
        <w:t>，实际完成值：</w:t>
      </w:r>
      <w:r>
        <w:rPr>
          <w:rFonts w:hint="eastAsia" w:eastAsia="仿宋_GB2312" w:cs="Times New Roman"/>
          <w:color w:val="auto"/>
          <w:sz w:val="32"/>
          <w:szCs w:val="32"/>
          <w:highlight w:val="none"/>
          <w:lang w:val="en-US" w:eastAsia="zh-CN"/>
        </w:rPr>
        <w:t>10次</w:t>
      </w:r>
      <w:r>
        <w:rPr>
          <w:rFonts w:hint="default" w:ascii="Times New Roman" w:hAnsi="Times New Roman" w:eastAsia="仿宋_GB2312" w:cs="Times New Roman"/>
          <w:color w:val="auto"/>
          <w:sz w:val="32"/>
          <w:szCs w:val="32"/>
          <w:highlight w:val="none"/>
        </w:rPr>
        <w:t>，指标完成率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eastAsia="zh-CN"/>
        </w:rPr>
        <w:t>。</w:t>
      </w:r>
    </w:p>
    <w:p w14:paraId="400B5BDE">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 2 \* GB3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rPr>
        <w:t>②</w:t>
      </w:r>
      <w:r>
        <w:rPr>
          <w:rFonts w:hint="default" w:ascii="Times New Roman" w:hAnsi="Times New Roman" w:eastAsia="仿宋_GB2312" w:cs="Times New Roman"/>
          <w:color w:val="auto"/>
          <w:sz w:val="32"/>
          <w:szCs w:val="32"/>
          <w:highlight w:val="none"/>
        </w:rPr>
        <w:fldChar w:fldCharType="end"/>
      </w:r>
      <w:r>
        <w:rPr>
          <w:rFonts w:hint="default" w:ascii="Times New Roman" w:hAnsi="Times New Roman" w:eastAsia="仿宋_GB2312" w:cs="Times New Roman"/>
          <w:color w:val="auto"/>
          <w:sz w:val="32"/>
          <w:szCs w:val="32"/>
          <w:highlight w:val="none"/>
        </w:rPr>
        <w:t>质量指标：</w:t>
      </w:r>
    </w:p>
    <w:p w14:paraId="2D3979AB">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津贴发放覆盖率</w:t>
      </w:r>
      <w:r>
        <w:rPr>
          <w:rFonts w:hint="eastAsia" w:eastAsia="仿宋_GB2312" w:cs="Times New Roman"/>
          <w:color w:val="auto"/>
          <w:sz w:val="32"/>
          <w:szCs w:val="32"/>
          <w:highlight w:val="none"/>
          <w:lang w:val="en-US" w:eastAsia="zh-CN"/>
        </w:rPr>
        <w:t>，指标值：＞=100%，实际完成值：100%，</w:t>
      </w:r>
      <w:r>
        <w:rPr>
          <w:rFonts w:hint="default" w:ascii="Times New Roman" w:hAnsi="Times New Roman" w:eastAsia="仿宋_GB2312" w:cs="Times New Roman"/>
          <w:color w:val="auto"/>
          <w:sz w:val="32"/>
          <w:szCs w:val="32"/>
          <w:highlight w:val="none"/>
        </w:rPr>
        <w:t>指标完成率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eastAsia="zh-CN"/>
        </w:rPr>
        <w:t>。</w:t>
      </w:r>
    </w:p>
    <w:p w14:paraId="4843217A">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 3 \* GB3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rPr>
        <w:t>③</w:t>
      </w:r>
      <w:r>
        <w:rPr>
          <w:rFonts w:hint="default" w:ascii="Times New Roman" w:hAnsi="Times New Roman" w:eastAsia="仿宋_GB2312" w:cs="Times New Roman"/>
          <w:color w:val="auto"/>
          <w:sz w:val="32"/>
          <w:szCs w:val="32"/>
          <w:highlight w:val="none"/>
        </w:rPr>
        <w:fldChar w:fldCharType="end"/>
      </w:r>
      <w:r>
        <w:rPr>
          <w:rFonts w:hint="default" w:ascii="Times New Roman" w:hAnsi="Times New Roman" w:eastAsia="仿宋_GB2312" w:cs="Times New Roman"/>
          <w:color w:val="auto"/>
          <w:sz w:val="32"/>
          <w:szCs w:val="32"/>
          <w:highlight w:val="none"/>
        </w:rPr>
        <w:t>时效指标：</w:t>
      </w:r>
    </w:p>
    <w:p w14:paraId="296FA641">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津贴</w:t>
      </w:r>
      <w:r>
        <w:rPr>
          <w:rFonts w:hint="default" w:ascii="Times New Roman" w:hAnsi="Times New Roman" w:eastAsia="仿宋_GB2312" w:cs="Times New Roman"/>
          <w:color w:val="auto"/>
          <w:sz w:val="32"/>
          <w:szCs w:val="32"/>
          <w:highlight w:val="none"/>
          <w:lang w:val="en-US" w:eastAsia="zh-CN"/>
        </w:rPr>
        <w:t>发放及时率</w:t>
      </w:r>
      <w:r>
        <w:rPr>
          <w:rFonts w:hint="eastAsia" w:eastAsia="仿宋_GB2312" w:cs="Times New Roman"/>
          <w:color w:val="auto"/>
          <w:sz w:val="32"/>
          <w:szCs w:val="32"/>
          <w:highlight w:val="none"/>
          <w:lang w:val="en-US" w:eastAsia="zh-CN"/>
        </w:rPr>
        <w:t>，指标值：=100%，实际完成值：100%，</w:t>
      </w:r>
      <w:r>
        <w:rPr>
          <w:rFonts w:hint="default" w:ascii="Times New Roman" w:hAnsi="Times New Roman" w:eastAsia="仿宋_GB2312" w:cs="Times New Roman"/>
          <w:color w:val="auto"/>
          <w:sz w:val="32"/>
          <w:szCs w:val="32"/>
          <w:highlight w:val="none"/>
        </w:rPr>
        <w:t>指标完成率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eastAsia="zh-CN"/>
        </w:rPr>
        <w:t>。</w:t>
      </w:r>
    </w:p>
    <w:p w14:paraId="266ABB36">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 4 \* GB3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rPr>
        <w:t>④</w:t>
      </w:r>
      <w:r>
        <w:rPr>
          <w:rFonts w:hint="default" w:ascii="Times New Roman" w:hAnsi="Times New Roman" w:eastAsia="仿宋_GB2312" w:cs="Times New Roman"/>
          <w:color w:val="auto"/>
          <w:sz w:val="32"/>
          <w:szCs w:val="32"/>
          <w:highlight w:val="none"/>
        </w:rPr>
        <w:fldChar w:fldCharType="end"/>
      </w:r>
      <w:r>
        <w:rPr>
          <w:rFonts w:hint="default" w:ascii="Times New Roman" w:hAnsi="Times New Roman" w:eastAsia="仿宋_GB2312" w:cs="Times New Roman"/>
          <w:color w:val="auto"/>
          <w:sz w:val="32"/>
          <w:szCs w:val="32"/>
          <w:highlight w:val="none"/>
        </w:rPr>
        <w:t>成本指标：</w:t>
      </w:r>
    </w:p>
    <w:p w14:paraId="5E542366">
      <w:pPr>
        <w:shd w:val="clear" w:color="auto" w:fill="auto"/>
        <w:spacing w:line="600" w:lineRule="exact"/>
        <w:ind w:firstLine="640" w:firstLineChars="200"/>
        <w:outlineLvl w:val="0"/>
        <w:rPr>
          <w:rFonts w:hint="eastAsia"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指标1</w:t>
      </w:r>
      <w:r>
        <w:rPr>
          <w:rFonts w:hint="eastAsia" w:eastAsia="仿宋_GB2312" w:cs="Times New Roman"/>
          <w:color w:val="auto"/>
          <w:sz w:val="32"/>
          <w:szCs w:val="32"/>
          <w:highlight w:val="none"/>
          <w:lang w:eastAsia="zh-CN"/>
        </w:rPr>
        <w:t>：</w:t>
      </w:r>
      <w:r>
        <w:rPr>
          <w:rFonts w:hint="eastAsia" w:eastAsia="仿宋_GB2312" w:cs="Times New Roman"/>
          <w:color w:val="auto"/>
          <w:sz w:val="32"/>
          <w:szCs w:val="32"/>
          <w:highlight w:val="none"/>
          <w:lang w:val="en-US" w:eastAsia="zh-CN"/>
        </w:rPr>
        <w:t>80-89岁的高龄津贴标准</w:t>
      </w:r>
      <w:r>
        <w:rPr>
          <w:rFonts w:hint="default" w:ascii="Times New Roman" w:hAnsi="Times New Roman" w:eastAsia="仿宋_GB2312" w:cs="Times New Roman"/>
          <w:color w:val="auto"/>
          <w:sz w:val="32"/>
          <w:szCs w:val="32"/>
          <w:highlight w:val="none"/>
        </w:rPr>
        <w:t>，指标值：</w:t>
      </w:r>
      <w:r>
        <w:rPr>
          <w:rFonts w:hint="eastAsia" w:eastAsia="仿宋_GB2312" w:cs="Times New Roman"/>
          <w:color w:val="auto"/>
          <w:sz w:val="32"/>
          <w:szCs w:val="32"/>
          <w:highlight w:val="none"/>
          <w:lang w:val="en-US" w:eastAsia="zh-CN"/>
        </w:rPr>
        <w:t>＝150元/月</w:t>
      </w:r>
      <w:r>
        <w:rPr>
          <w:rFonts w:hint="default" w:ascii="Times New Roman" w:hAnsi="Times New Roman" w:eastAsia="仿宋_GB2312" w:cs="Times New Roman"/>
          <w:color w:val="auto"/>
          <w:sz w:val="32"/>
          <w:szCs w:val="32"/>
          <w:highlight w:val="none"/>
        </w:rPr>
        <w:t>，实际完成值：</w:t>
      </w:r>
      <w:r>
        <w:rPr>
          <w:rFonts w:hint="eastAsia" w:eastAsia="仿宋_GB2312" w:cs="Times New Roman"/>
          <w:color w:val="auto"/>
          <w:sz w:val="32"/>
          <w:szCs w:val="32"/>
          <w:highlight w:val="none"/>
          <w:lang w:val="en-US" w:eastAsia="zh-CN"/>
        </w:rPr>
        <w:t>150元/月</w:t>
      </w:r>
      <w:r>
        <w:rPr>
          <w:rFonts w:hint="default" w:ascii="Times New Roman" w:hAnsi="Times New Roman" w:eastAsia="仿宋_GB2312" w:cs="Times New Roman"/>
          <w:color w:val="auto"/>
          <w:sz w:val="32"/>
          <w:szCs w:val="32"/>
          <w:highlight w:val="none"/>
        </w:rPr>
        <w:t>，指标完成率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eastAsia="zh-CN"/>
        </w:rPr>
        <w:t>。</w:t>
      </w:r>
    </w:p>
    <w:p w14:paraId="77881FA7">
      <w:pPr>
        <w:shd w:val="clear" w:color="auto" w:fill="auto"/>
        <w:spacing w:line="600" w:lineRule="exact"/>
        <w:ind w:firstLine="640" w:firstLineChars="200"/>
        <w:outlineLvl w:val="0"/>
        <w:rPr>
          <w:rFonts w:hint="eastAsia"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指标</w:t>
      </w:r>
      <w:r>
        <w:rPr>
          <w:rFonts w:hint="eastAsia" w:eastAsia="仿宋_GB2312" w:cs="Times New Roman"/>
          <w:color w:val="auto"/>
          <w:sz w:val="32"/>
          <w:szCs w:val="32"/>
          <w:highlight w:val="none"/>
          <w:lang w:val="en-US" w:eastAsia="zh-CN"/>
        </w:rPr>
        <w:t>2</w:t>
      </w:r>
      <w:r>
        <w:rPr>
          <w:rFonts w:hint="eastAsia" w:eastAsia="仿宋_GB2312" w:cs="Times New Roman"/>
          <w:color w:val="auto"/>
          <w:sz w:val="32"/>
          <w:szCs w:val="32"/>
          <w:highlight w:val="none"/>
          <w:lang w:eastAsia="zh-CN"/>
        </w:rPr>
        <w:t>：</w:t>
      </w:r>
      <w:r>
        <w:rPr>
          <w:rFonts w:hint="eastAsia" w:eastAsia="仿宋_GB2312" w:cs="Times New Roman"/>
          <w:color w:val="auto"/>
          <w:sz w:val="32"/>
          <w:szCs w:val="32"/>
          <w:highlight w:val="none"/>
          <w:lang w:val="en-US" w:eastAsia="zh-CN"/>
        </w:rPr>
        <w:t>90-99岁的高龄津贴标准</w:t>
      </w:r>
      <w:r>
        <w:rPr>
          <w:rFonts w:hint="default" w:ascii="Times New Roman" w:hAnsi="Times New Roman" w:eastAsia="仿宋_GB2312" w:cs="Times New Roman"/>
          <w:color w:val="auto"/>
          <w:sz w:val="32"/>
          <w:szCs w:val="32"/>
          <w:highlight w:val="none"/>
        </w:rPr>
        <w:t>，指标值：</w:t>
      </w:r>
      <w:r>
        <w:rPr>
          <w:rFonts w:hint="eastAsia" w:eastAsia="仿宋_GB2312" w:cs="Times New Roman"/>
          <w:color w:val="auto"/>
          <w:sz w:val="32"/>
          <w:szCs w:val="32"/>
          <w:highlight w:val="none"/>
          <w:lang w:val="en-US" w:eastAsia="zh-CN"/>
        </w:rPr>
        <w:t>＝360元/月</w:t>
      </w:r>
      <w:r>
        <w:rPr>
          <w:rFonts w:hint="default" w:ascii="Times New Roman" w:hAnsi="Times New Roman" w:eastAsia="仿宋_GB2312" w:cs="Times New Roman"/>
          <w:color w:val="auto"/>
          <w:sz w:val="32"/>
          <w:szCs w:val="32"/>
          <w:highlight w:val="none"/>
        </w:rPr>
        <w:t>，实际完成值：</w:t>
      </w:r>
      <w:r>
        <w:rPr>
          <w:rFonts w:hint="eastAsia" w:eastAsia="仿宋_GB2312" w:cs="Times New Roman"/>
          <w:color w:val="auto"/>
          <w:sz w:val="32"/>
          <w:szCs w:val="32"/>
          <w:highlight w:val="none"/>
          <w:lang w:val="en-US" w:eastAsia="zh-CN"/>
        </w:rPr>
        <w:t>360元/月</w:t>
      </w:r>
      <w:r>
        <w:rPr>
          <w:rFonts w:hint="default" w:ascii="Times New Roman" w:hAnsi="Times New Roman" w:eastAsia="仿宋_GB2312" w:cs="Times New Roman"/>
          <w:color w:val="auto"/>
          <w:sz w:val="32"/>
          <w:szCs w:val="32"/>
          <w:highlight w:val="none"/>
        </w:rPr>
        <w:t>，指标完成率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eastAsia="zh-CN"/>
        </w:rPr>
        <w:t>。</w:t>
      </w:r>
    </w:p>
    <w:p w14:paraId="5F7FB12E">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指标</w:t>
      </w:r>
      <w:r>
        <w:rPr>
          <w:rFonts w:hint="eastAsia" w:eastAsia="仿宋_GB2312" w:cs="Times New Roman"/>
          <w:color w:val="auto"/>
          <w:sz w:val="32"/>
          <w:szCs w:val="32"/>
          <w:highlight w:val="none"/>
          <w:lang w:val="en-US" w:eastAsia="zh-CN"/>
        </w:rPr>
        <w:t>3</w:t>
      </w:r>
      <w:r>
        <w:rPr>
          <w:rFonts w:hint="eastAsia" w:eastAsia="仿宋_GB2312" w:cs="Times New Roman"/>
          <w:color w:val="auto"/>
          <w:sz w:val="32"/>
          <w:szCs w:val="32"/>
          <w:highlight w:val="none"/>
          <w:lang w:eastAsia="zh-CN"/>
        </w:rPr>
        <w:t>：</w:t>
      </w:r>
      <w:r>
        <w:rPr>
          <w:rFonts w:hint="eastAsia" w:eastAsia="仿宋_GB2312" w:cs="Times New Roman"/>
          <w:color w:val="auto"/>
          <w:sz w:val="32"/>
          <w:szCs w:val="32"/>
          <w:highlight w:val="none"/>
          <w:lang w:val="en-US" w:eastAsia="zh-CN"/>
        </w:rPr>
        <w:t>100岁以上高龄津贴标准</w:t>
      </w:r>
      <w:r>
        <w:rPr>
          <w:rFonts w:hint="default" w:ascii="Times New Roman" w:hAnsi="Times New Roman" w:eastAsia="仿宋_GB2312" w:cs="Times New Roman"/>
          <w:color w:val="auto"/>
          <w:sz w:val="32"/>
          <w:szCs w:val="32"/>
          <w:highlight w:val="none"/>
        </w:rPr>
        <w:t>，指标值：</w:t>
      </w:r>
      <w:r>
        <w:rPr>
          <w:rFonts w:hint="eastAsia" w:eastAsia="仿宋_GB2312" w:cs="Times New Roman"/>
          <w:color w:val="auto"/>
          <w:sz w:val="32"/>
          <w:szCs w:val="32"/>
          <w:highlight w:val="none"/>
          <w:lang w:val="en-US" w:eastAsia="zh-CN"/>
        </w:rPr>
        <w:t>＝600元/月</w:t>
      </w:r>
      <w:r>
        <w:rPr>
          <w:rFonts w:hint="default" w:ascii="Times New Roman" w:hAnsi="Times New Roman" w:eastAsia="仿宋_GB2312" w:cs="Times New Roman"/>
          <w:color w:val="auto"/>
          <w:sz w:val="32"/>
          <w:szCs w:val="32"/>
          <w:highlight w:val="none"/>
        </w:rPr>
        <w:t>，实际完成值：</w:t>
      </w:r>
      <w:r>
        <w:rPr>
          <w:rFonts w:hint="eastAsia" w:eastAsia="仿宋_GB2312" w:cs="Times New Roman"/>
          <w:color w:val="auto"/>
          <w:sz w:val="32"/>
          <w:szCs w:val="32"/>
          <w:highlight w:val="none"/>
          <w:lang w:val="en-US" w:eastAsia="zh-CN"/>
        </w:rPr>
        <w:t>600元/月</w:t>
      </w:r>
      <w:r>
        <w:rPr>
          <w:rFonts w:hint="default" w:ascii="Times New Roman" w:hAnsi="Times New Roman" w:eastAsia="仿宋_GB2312" w:cs="Times New Roman"/>
          <w:color w:val="auto"/>
          <w:sz w:val="32"/>
          <w:szCs w:val="32"/>
          <w:highlight w:val="none"/>
        </w:rPr>
        <w:t>，指标完成率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eastAsia="zh-CN"/>
        </w:rPr>
        <w:t>。</w:t>
      </w:r>
    </w:p>
    <w:p w14:paraId="0CAFFBEE">
      <w:pPr>
        <w:pStyle w:val="10"/>
        <w:numPr>
          <w:ilvl w:val="0"/>
          <w:numId w:val="4"/>
        </w:numPr>
        <w:spacing w:line="560" w:lineRule="exact"/>
        <w:ind w:firstLine="643"/>
        <w:rPr>
          <w:rFonts w:hint="default" w:ascii="Times New Roman" w:hAnsi="Times New Roman" w:eastAsia="楷体_GB2312" w:cs="Times New Roman"/>
          <w:b/>
          <w:bCs/>
          <w:color w:val="auto"/>
          <w:sz w:val="32"/>
          <w:szCs w:val="32"/>
          <w:highlight w:val="none"/>
          <w:lang w:val="en-US" w:eastAsia="zh-CN"/>
        </w:rPr>
      </w:pPr>
      <w:r>
        <w:rPr>
          <w:rFonts w:hint="default" w:ascii="Times New Roman" w:hAnsi="Times New Roman" w:eastAsia="楷体_GB2312" w:cs="Times New Roman"/>
          <w:b/>
          <w:bCs/>
          <w:color w:val="auto"/>
          <w:sz w:val="32"/>
          <w:szCs w:val="32"/>
          <w:highlight w:val="none"/>
          <w:lang w:val="en-US" w:eastAsia="zh-CN"/>
        </w:rPr>
        <w:t>项目效益情况</w:t>
      </w:r>
    </w:p>
    <w:p w14:paraId="42203A67">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项目效益类指标包括项目实施效益和满意度两方面的内容，由</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val="en-US" w:eastAsia="zh-CN"/>
        </w:rPr>
        <w:t>个三级指标构成，权重分为20分，实际得分</w:t>
      </w:r>
      <w:r>
        <w:rPr>
          <w:rFonts w:hint="eastAsia" w:eastAsia="仿宋_GB2312" w:cs="Times New Roman"/>
          <w:color w:val="auto"/>
          <w:sz w:val="32"/>
          <w:szCs w:val="32"/>
          <w:highlight w:val="none"/>
          <w:lang w:val="en-US" w:eastAsia="zh-CN"/>
        </w:rPr>
        <w:t>20</w:t>
      </w:r>
      <w:r>
        <w:rPr>
          <w:rFonts w:hint="default" w:ascii="Times New Roman" w:hAnsi="Times New Roman" w:eastAsia="仿宋_GB2312" w:cs="Times New Roman"/>
          <w:color w:val="auto"/>
          <w:sz w:val="32"/>
          <w:szCs w:val="32"/>
          <w:highlight w:val="none"/>
          <w:lang w:val="en-US" w:eastAsia="zh-CN"/>
        </w:rPr>
        <w:t>分，得分率为</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%。具体效益指标及满意度指标完成情况如下：</w:t>
      </w:r>
    </w:p>
    <w:p w14:paraId="575ADFC6">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1.实施效益</w:t>
      </w:r>
    </w:p>
    <w:p w14:paraId="64A03E03">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①</w:t>
      </w:r>
      <w:r>
        <w:rPr>
          <w:rFonts w:hint="eastAsia" w:eastAsia="仿宋_GB2312" w:cs="Times New Roman"/>
          <w:color w:val="auto"/>
          <w:sz w:val="32"/>
          <w:szCs w:val="32"/>
          <w:highlight w:val="none"/>
          <w:lang w:val="en-US" w:eastAsia="zh-CN"/>
        </w:rPr>
        <w:t>社会</w:t>
      </w:r>
      <w:r>
        <w:rPr>
          <w:rFonts w:hint="default" w:ascii="Times New Roman" w:hAnsi="Times New Roman" w:eastAsia="仿宋_GB2312" w:cs="Times New Roman"/>
          <w:color w:val="auto"/>
          <w:sz w:val="32"/>
          <w:szCs w:val="32"/>
          <w:highlight w:val="none"/>
        </w:rPr>
        <w:t>效益指标：</w:t>
      </w:r>
    </w:p>
    <w:p w14:paraId="085C56B3">
      <w:pPr>
        <w:shd w:val="clear" w:color="auto" w:fill="auto"/>
        <w:spacing w:line="600" w:lineRule="exact"/>
        <w:ind w:firstLine="640" w:firstLineChars="200"/>
        <w:outlineLvl w:val="0"/>
        <w:rPr>
          <w:rFonts w:hint="eastAsia" w:eastAsia="仿宋_GB2312" w:cs="Times New Roman"/>
          <w:color w:val="auto"/>
          <w:sz w:val="32"/>
          <w:szCs w:val="32"/>
          <w:highlight w:val="none"/>
          <w:lang w:eastAsia="zh-CN"/>
        </w:rPr>
      </w:pPr>
      <w:r>
        <w:rPr>
          <w:rFonts w:hint="eastAsia" w:eastAsia="仿宋_GB2312" w:cs="Times New Roman"/>
          <w:color w:val="auto"/>
          <w:sz w:val="32"/>
          <w:szCs w:val="32"/>
          <w:highlight w:val="none"/>
          <w:lang w:val="en-US" w:eastAsia="zh-CN"/>
        </w:rPr>
        <w:t>提高高龄老人基本生活质量，</w:t>
      </w:r>
      <w:r>
        <w:rPr>
          <w:rFonts w:hint="default" w:ascii="Times New Roman" w:hAnsi="Times New Roman" w:eastAsia="仿宋_GB2312" w:cs="Times New Roman"/>
          <w:color w:val="auto"/>
          <w:sz w:val="32"/>
          <w:szCs w:val="32"/>
          <w:highlight w:val="none"/>
        </w:rPr>
        <w:t>指标值：有效提高</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实际完成值：有效提高</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指标完成率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eastAsia="zh-CN"/>
        </w:rPr>
        <w:t>。</w:t>
      </w:r>
    </w:p>
    <w:p w14:paraId="45D214A1">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2.满意度</w:t>
      </w:r>
    </w:p>
    <w:p w14:paraId="66503C28">
      <w:pPr>
        <w:spacing w:line="560" w:lineRule="exact"/>
        <w:ind w:firstLine="640" w:firstLineChars="200"/>
        <w:rPr>
          <w:rFonts w:hint="eastAsia"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高龄老人满意度</w:t>
      </w:r>
      <w:r>
        <w:rPr>
          <w:rFonts w:hint="eastAsia"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指标值：&gt;=95%</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实际完成值：95%</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指标完成率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eastAsia="zh-CN"/>
        </w:rPr>
        <w:t>。</w:t>
      </w:r>
    </w:p>
    <w:p w14:paraId="0E645356">
      <w:pPr>
        <w:spacing w:line="560" w:lineRule="exact"/>
        <w:ind w:firstLine="643" w:firstLineChars="200"/>
        <w:rPr>
          <w:rFonts w:hint="default" w:ascii="Times New Roman" w:hAnsi="Times New Roman" w:eastAsia="楷体_GB2312" w:cs="Times New Roman"/>
          <w:b/>
          <w:bCs/>
          <w:color w:val="auto"/>
          <w:sz w:val="32"/>
          <w:szCs w:val="32"/>
          <w:highlight w:val="none"/>
          <w:lang w:val="en-US"/>
        </w:rPr>
      </w:pPr>
      <w:r>
        <w:rPr>
          <w:rFonts w:hint="default" w:ascii="Times New Roman" w:hAnsi="Times New Roman" w:eastAsia="楷体_GB2312" w:cs="Times New Roman"/>
          <w:b/>
          <w:bCs/>
          <w:color w:val="auto"/>
          <w:sz w:val="32"/>
          <w:szCs w:val="32"/>
          <w:highlight w:val="none"/>
          <w:lang w:val="en-US" w:eastAsia="zh-CN"/>
        </w:rPr>
        <w:t>（五）</w:t>
      </w:r>
      <w:r>
        <w:rPr>
          <w:rFonts w:hint="default" w:ascii="Times New Roman" w:hAnsi="Times New Roman" w:eastAsia="楷体_GB2312" w:cs="Times New Roman"/>
          <w:b/>
          <w:bCs/>
          <w:color w:val="auto"/>
          <w:sz w:val="32"/>
          <w:szCs w:val="32"/>
          <w:highlight w:val="none"/>
          <w:lang w:val="en-US"/>
        </w:rPr>
        <w:t>预算执行进度与绩效指标总体完成率偏差</w:t>
      </w:r>
    </w:p>
    <w:p w14:paraId="08EFE375">
      <w:pPr>
        <w:pStyle w:val="20"/>
        <w:spacing w:line="560" w:lineRule="exact"/>
        <w:ind w:firstLine="640"/>
        <w:rPr>
          <w:rFonts w:hint="eastAsia" w:ascii="Times New Roman" w:hAnsi="Times New Roman" w:eastAsia="宋体" w:cs="Times New Roman"/>
          <w:color w:val="auto"/>
          <w:sz w:val="32"/>
          <w:szCs w:val="32"/>
          <w:highlight w:val="none"/>
          <w:lang w:eastAsia="zh-CN"/>
        </w:rPr>
      </w:pPr>
      <w:r>
        <w:rPr>
          <w:rFonts w:hint="default" w:ascii="Times New Roman" w:hAnsi="Times New Roman" w:eastAsia="方正仿宋_GBK" w:cs="Times New Roman"/>
          <w:color w:val="auto"/>
          <w:sz w:val="32"/>
          <w:szCs w:val="32"/>
          <w:highlight w:val="none"/>
          <w:lang w:val="en-US" w:eastAsia="zh-CN"/>
        </w:rPr>
        <w:t>老年人福利补贴</w:t>
      </w:r>
      <w:r>
        <w:rPr>
          <w:rFonts w:hint="default" w:ascii="Times New Roman" w:hAnsi="Times New Roman" w:eastAsia="方正仿宋_GBK" w:cs="Times New Roman"/>
          <w:color w:val="auto"/>
          <w:sz w:val="32"/>
          <w:szCs w:val="32"/>
          <w:highlight w:val="none"/>
        </w:rPr>
        <w:t>项目年初预算</w:t>
      </w:r>
      <w:r>
        <w:rPr>
          <w:rFonts w:hint="eastAsia" w:eastAsia="方正仿宋_GBK" w:cs="Times New Roman"/>
          <w:color w:val="auto"/>
          <w:sz w:val="32"/>
          <w:szCs w:val="32"/>
          <w:highlight w:val="none"/>
          <w:lang w:val="en-US" w:eastAsia="zh-CN"/>
        </w:rPr>
        <w:t>308.42</w:t>
      </w:r>
      <w:r>
        <w:rPr>
          <w:rFonts w:hint="default" w:ascii="Times New Roman" w:hAnsi="Times New Roman" w:eastAsia="方正仿宋_GBK" w:cs="Times New Roman"/>
          <w:color w:val="auto"/>
          <w:sz w:val="32"/>
          <w:szCs w:val="32"/>
          <w:highlight w:val="none"/>
        </w:rPr>
        <w:t>万元，全年预算</w:t>
      </w:r>
      <w:r>
        <w:rPr>
          <w:rFonts w:hint="eastAsia" w:eastAsia="方正仿宋_GBK" w:cs="Times New Roman"/>
          <w:color w:val="auto"/>
          <w:sz w:val="32"/>
          <w:szCs w:val="32"/>
          <w:highlight w:val="none"/>
          <w:lang w:val="en-US" w:eastAsia="zh-CN"/>
        </w:rPr>
        <w:t>308.42</w:t>
      </w:r>
      <w:r>
        <w:rPr>
          <w:rFonts w:hint="default" w:ascii="Times New Roman" w:hAnsi="Times New Roman" w:eastAsia="方正仿宋_GBK" w:cs="Times New Roman"/>
          <w:color w:val="auto"/>
          <w:sz w:val="32"/>
          <w:szCs w:val="32"/>
          <w:highlight w:val="none"/>
        </w:rPr>
        <w:t>万元，实际支出</w:t>
      </w:r>
      <w:r>
        <w:rPr>
          <w:rFonts w:hint="eastAsia" w:eastAsia="方正仿宋_GBK" w:cs="Times New Roman"/>
          <w:color w:val="auto"/>
          <w:sz w:val="32"/>
          <w:szCs w:val="32"/>
          <w:highlight w:val="none"/>
          <w:lang w:val="en-US" w:eastAsia="zh-CN"/>
        </w:rPr>
        <w:t>308.42</w:t>
      </w:r>
      <w:r>
        <w:rPr>
          <w:rFonts w:hint="default" w:ascii="Times New Roman" w:hAnsi="Times New Roman" w:eastAsia="方正仿宋_GBK" w:cs="Times New Roman"/>
          <w:color w:val="auto"/>
          <w:sz w:val="32"/>
          <w:szCs w:val="32"/>
          <w:highlight w:val="none"/>
        </w:rPr>
        <w:t>万元，预算执行率为</w:t>
      </w:r>
      <w:r>
        <w:rPr>
          <w:rFonts w:hint="eastAsia" w:eastAsia="方正仿宋_GBK" w:cs="Times New Roman"/>
          <w:color w:val="auto"/>
          <w:sz w:val="32"/>
          <w:szCs w:val="32"/>
          <w:highlight w:val="none"/>
          <w:lang w:val="en-US" w:eastAsia="zh-CN"/>
        </w:rPr>
        <w:t>100</w:t>
      </w:r>
      <w:r>
        <w:rPr>
          <w:rFonts w:hint="default" w:ascii="Times New Roman" w:hAnsi="Times New Roman" w:eastAsia="方正仿宋_GBK" w:cs="Times New Roman"/>
          <w:color w:val="auto"/>
          <w:sz w:val="32"/>
          <w:szCs w:val="32"/>
          <w:highlight w:val="none"/>
        </w:rPr>
        <w:t>%，项目绩效指标总体完成率为</w:t>
      </w:r>
      <w:r>
        <w:rPr>
          <w:rFonts w:hint="eastAsia" w:eastAsia="方正仿宋_GBK" w:cs="Times New Roman"/>
          <w:color w:val="auto"/>
          <w:sz w:val="32"/>
          <w:szCs w:val="32"/>
          <w:highlight w:val="none"/>
          <w:lang w:val="en-US" w:eastAsia="zh-CN"/>
        </w:rPr>
        <w:t>100</w:t>
      </w:r>
      <w:r>
        <w:rPr>
          <w:rFonts w:hint="default" w:ascii="Times New Roman" w:hAnsi="Times New Roman" w:eastAsia="方正仿宋_GBK" w:cs="Times New Roman"/>
          <w:color w:val="auto"/>
          <w:sz w:val="32"/>
          <w:szCs w:val="32"/>
          <w:highlight w:val="none"/>
        </w:rPr>
        <w:t>%</w:t>
      </w:r>
      <w:r>
        <w:rPr>
          <w:rFonts w:hint="eastAsia" w:cs="Times New Roman"/>
          <w:color w:val="auto"/>
          <w:highlight w:val="none"/>
          <w:lang w:eastAsia="zh-CN"/>
        </w:rPr>
        <w:t>。</w:t>
      </w:r>
    </w:p>
    <w:p w14:paraId="3FF12A13">
      <w:pPr>
        <w:spacing w:line="560" w:lineRule="exact"/>
        <w:ind w:firstLine="640" w:firstLineChars="200"/>
        <w:rPr>
          <w:rStyle w:val="19"/>
          <w:rFonts w:hint="default" w:ascii="Times New Roman" w:hAnsi="Times New Roman" w:cs="Times New Roman"/>
          <w:color w:val="auto"/>
          <w:highlight w:val="none"/>
        </w:rPr>
      </w:pPr>
      <w:r>
        <w:rPr>
          <w:rFonts w:hint="eastAsia" w:eastAsia="黑体" w:cs="Times New Roman"/>
          <w:color w:val="auto"/>
          <w:sz w:val="32"/>
          <w:szCs w:val="32"/>
          <w:highlight w:val="none"/>
          <w:lang w:val="en-US" w:eastAsia="zh-CN"/>
        </w:rPr>
        <w:t>五</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黑体" w:cs="Times New Roman"/>
          <w:color w:val="auto"/>
          <w:sz w:val="32"/>
          <w:szCs w:val="32"/>
          <w:highlight w:val="none"/>
        </w:rPr>
        <w:t>主要经验及做法、存在的问题及原因分析</w:t>
      </w:r>
    </w:p>
    <w:p w14:paraId="031C4A13">
      <w:pPr>
        <w:spacing w:line="560" w:lineRule="exact"/>
        <w:ind w:firstLine="627" w:firstLineChars="200"/>
        <w:rPr>
          <w:rFonts w:hint="default" w:ascii="Times New Roman" w:hAnsi="Times New Roman" w:eastAsia="楷体" w:cs="Times New Roman"/>
          <w:b/>
          <w:color w:val="auto"/>
          <w:spacing w:val="-4"/>
          <w:sz w:val="32"/>
          <w:szCs w:val="32"/>
          <w:highlight w:val="none"/>
        </w:rPr>
      </w:pPr>
      <w:r>
        <w:rPr>
          <w:rFonts w:hint="default" w:ascii="Times New Roman" w:hAnsi="Times New Roman" w:eastAsia="楷体" w:cs="Times New Roman"/>
          <w:b/>
          <w:color w:val="auto"/>
          <w:spacing w:val="-4"/>
          <w:sz w:val="32"/>
          <w:szCs w:val="32"/>
          <w:highlight w:val="none"/>
        </w:rPr>
        <w:t>（一）主要经验及做法</w:t>
      </w:r>
    </w:p>
    <w:p w14:paraId="4E4EBFA2">
      <w:pPr>
        <w:shd w:val="clear" w:color="auto" w:fill="auto"/>
        <w:spacing w:line="600" w:lineRule="exact"/>
        <w:ind w:firstLine="640" w:firstLineChars="200"/>
        <w:outlineLvl w:val="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1. 信息化助力流程优化：借助高龄津贴系统，实现信息收集、资格审核、认定审批、津贴发放、信息更新与跟踪一站式服务。每月实时更新80岁以上老年人信息，及时认领新增与注销数据，大大提高了工作效率与数据准确性。</w:t>
      </w:r>
    </w:p>
    <w:p w14:paraId="1198905C">
      <w:pPr>
        <w:shd w:val="clear" w:color="auto" w:fill="auto"/>
        <w:spacing w:line="600" w:lineRule="exact"/>
        <w:ind w:firstLine="640" w:firstLineChars="200"/>
        <w:outlineLvl w:val="0"/>
        <w:rPr>
          <w:rFonts w:hint="default" w:ascii="Times New Roman" w:hAnsi="Times New Roman" w:eastAsia="仿宋_GB2312" w:cs="Times New Roman"/>
          <w:b w:val="0"/>
          <w:bCs w:val="0"/>
          <w:color w:val="auto"/>
          <w:kern w:val="2"/>
          <w:highlight w:val="none"/>
        </w:rPr>
      </w:pPr>
      <w:r>
        <w:rPr>
          <w:rFonts w:hint="eastAsia" w:ascii="Times New Roman" w:hAnsi="Times New Roman" w:eastAsia="仿宋_GB2312" w:cs="Times New Roman"/>
          <w:color w:val="auto"/>
          <w:sz w:val="32"/>
          <w:szCs w:val="32"/>
          <w:highlight w:val="none"/>
          <w:lang w:val="en-US" w:eastAsia="zh-CN"/>
        </w:rPr>
        <w:t>2. 数据比对确保精准发放：与公安部门建立数据比对机制，定期核实老人户籍、生存及年龄信息，精准识别增龄、户籍变动等情况，避免错发、漏发。通过数据比对，及时发现并纠正错误信息，确保津贴发放的精准性。</w:t>
      </w:r>
    </w:p>
    <w:p w14:paraId="66519D26">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存在的问题及原因分析</w:t>
      </w:r>
    </w:p>
    <w:p w14:paraId="7BE7DAEE">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501F6A97">
      <w:pPr>
        <w:shd w:val="clear" w:color="auto" w:fill="auto"/>
        <w:spacing w:line="600" w:lineRule="exact"/>
        <w:ind w:firstLine="640" w:firstLineChars="200"/>
        <w:outlineLvl w:val="0"/>
        <w:rPr>
          <w:rFonts w:hint="eastAsia" w:ascii="Times New Roman" w:hAnsi="Times New Roman"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2</w:t>
      </w:r>
      <w:r>
        <w:rPr>
          <w:rFonts w:hint="eastAsia" w:ascii="Times New Roman" w:hAnsi="Times New Roman" w:eastAsia="仿宋_GB2312" w:cs="Times New Roman"/>
          <w:color w:val="auto"/>
          <w:sz w:val="32"/>
          <w:szCs w:val="32"/>
          <w:highlight w:val="none"/>
          <w:lang w:val="en-US" w:eastAsia="zh-CN"/>
        </w:rPr>
        <w:t>. 信息共享仍有壁垒：虽然与部分部门建立了数据共享机制，但在信息更新的及时性和完整性上仍存在不足，导致老人户籍迁移、死亡等信息未能及时共享，影响津贴发放的准确性与及时性。</w:t>
      </w:r>
    </w:p>
    <w:p w14:paraId="38796D36">
      <w:pPr>
        <w:spacing w:line="560" w:lineRule="exact"/>
        <w:ind w:firstLine="640" w:firstLineChars="200"/>
        <w:rPr>
          <w:rFonts w:hint="default" w:ascii="Times New Roman" w:hAnsi="Times New Roman" w:eastAsia="黑体" w:cs="Times New Roman"/>
          <w:color w:val="auto"/>
          <w:sz w:val="32"/>
          <w:szCs w:val="32"/>
          <w:highlight w:val="none"/>
        </w:rPr>
      </w:pPr>
      <w:r>
        <w:rPr>
          <w:rFonts w:hint="eastAsia" w:ascii="Times New Roman" w:hAnsi="Times New Roman" w:eastAsia="黑体" w:cs="Times New Roman"/>
          <w:color w:val="auto"/>
          <w:sz w:val="32"/>
          <w:szCs w:val="32"/>
          <w:highlight w:val="none"/>
          <w:lang w:val="en-US" w:eastAsia="zh-CN"/>
        </w:rPr>
        <w:t>六</w:t>
      </w:r>
      <w:r>
        <w:rPr>
          <w:rFonts w:hint="default" w:ascii="Times New Roman" w:hAnsi="Times New Roman" w:eastAsia="黑体" w:cs="Times New Roman"/>
          <w:color w:val="auto"/>
          <w:sz w:val="32"/>
          <w:szCs w:val="32"/>
          <w:highlight w:val="none"/>
          <w:lang w:val="en-US" w:eastAsia="zh-CN"/>
        </w:rPr>
        <w:t>.</w:t>
      </w:r>
      <w:r>
        <w:rPr>
          <w:rFonts w:hint="default" w:ascii="Times New Roman" w:hAnsi="Times New Roman" w:eastAsia="黑体" w:cs="Times New Roman"/>
          <w:color w:val="auto"/>
          <w:sz w:val="32"/>
          <w:szCs w:val="32"/>
          <w:highlight w:val="none"/>
        </w:rPr>
        <w:t>有关建议</w:t>
      </w:r>
    </w:p>
    <w:p w14:paraId="6A2E4CEA">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1.多进行有关绩效管理工作方面的培训。积极组织第三方开展绩效管理工作培训，进一步夯实业务基础，提高我单位绩效人员水平。</w:t>
      </w:r>
    </w:p>
    <w:p w14:paraId="4C55FD6D">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2.专门设定对绩效工作人员定职、定岗、定责等相关制度措施，进一步提升我单位绩效管理工作业务水平，扎实做好绩效管理工作。</w:t>
      </w:r>
    </w:p>
    <w:p w14:paraId="07E6F6F9">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4D543964">
      <w:pPr>
        <w:shd w:val="clear" w:color="auto" w:fill="auto"/>
        <w:spacing w:line="600" w:lineRule="exact"/>
        <w:ind w:firstLine="640" w:firstLineChars="200"/>
        <w:outlineLvl w:val="0"/>
        <w:rPr>
          <w:rFonts w:hint="default" w:ascii="Times New Roman" w:hAnsi="Times New Roman" w:cs="Times New Roman"/>
          <w:color w:val="auto"/>
          <w:sz w:val="22"/>
          <w:szCs w:val="28"/>
          <w:highlight w:val="none"/>
        </w:rPr>
      </w:pPr>
      <w:r>
        <w:rPr>
          <w:rFonts w:hint="default" w:ascii="Times New Roman" w:hAnsi="Times New Roman" w:eastAsia="仿宋_GB2312" w:cs="Times New Roman"/>
          <w:color w:val="auto"/>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color w:val="auto"/>
          <w:sz w:val="36"/>
          <w:szCs w:val="32"/>
          <w:highlight w:val="none"/>
        </w:rPr>
        <w:t>。</w:t>
      </w:r>
    </w:p>
    <w:p w14:paraId="47B34CD8">
      <w:pPr>
        <w:shd w:val="clear" w:color="auto" w:fill="auto"/>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5CD6DECF">
      <w:pPr>
        <w:spacing w:line="560" w:lineRule="exact"/>
        <w:ind w:firstLine="640" w:firstLineChars="20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七</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黑体" w:cs="Times New Roman"/>
          <w:color w:val="auto"/>
          <w:sz w:val="32"/>
          <w:szCs w:val="32"/>
          <w:highlight w:val="none"/>
        </w:rPr>
        <w:t>其他需要说</w:t>
      </w:r>
      <w:bookmarkStart w:id="0" w:name="page8"/>
      <w:bookmarkEnd w:id="0"/>
      <w:r>
        <w:rPr>
          <w:rFonts w:hint="default" w:ascii="Times New Roman" w:hAnsi="Times New Roman" w:eastAsia="黑体" w:cs="Times New Roman"/>
          <w:color w:val="auto"/>
          <w:sz w:val="32"/>
          <w:szCs w:val="32"/>
          <w:highlight w:val="none"/>
        </w:rPr>
        <w:t>明的问题</w:t>
      </w:r>
    </w:p>
    <w:p w14:paraId="283BF9C8">
      <w:pPr>
        <w:pStyle w:val="11"/>
        <w:spacing w:after="0" w:line="560" w:lineRule="exact"/>
        <w:ind w:left="0" w:leftChars="0" w:firstLine="64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本项目无其他需说明的问题。</w:t>
      </w:r>
      <w:bookmarkStart w:id="1" w:name="_GoBack"/>
      <w:bookmarkEnd w:id="1"/>
    </w:p>
    <w:p w14:paraId="306B6824">
      <w:pPr>
        <w:rPr>
          <w:rFonts w:hint="default" w:ascii="Times New Roman" w:hAnsi="Times New Roman" w:cs="Times New Roman"/>
        </w:rPr>
      </w:pPr>
    </w:p>
    <w:p w14:paraId="5D484B05">
      <w:pPr>
        <w:rPr>
          <w:rFonts w:hint="default" w:ascii="Times New Roman" w:hAnsi="Times New Roman" w:cs="Times New Roman"/>
        </w:rPr>
      </w:pPr>
    </w:p>
    <w:sectPr>
      <w:footerReference r:id="rId3" w:type="default"/>
      <w:pgSz w:w="11906" w:h="16838"/>
      <w:pgMar w:top="1417" w:right="2098" w:bottom="1417" w:left="209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AEC7123-BEF9-4C0F-ABE2-AF359D557E8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CEE3FFE2-980D-4ECC-A241-76B2AC2237B0}"/>
  </w:font>
  <w:font w:name="华文中宋">
    <w:panose1 w:val="02010600040101010101"/>
    <w:charset w:val="86"/>
    <w:family w:val="auto"/>
    <w:pitch w:val="default"/>
    <w:sig w:usb0="00000287" w:usb1="080F0000" w:usb2="00000000" w:usb3="00000000" w:csb0="0004009F" w:csb1="DFD70000"/>
    <w:embedRegular r:id="rId3" w:fontKey="{DAA5F5E7-0453-462D-A181-497EA71D6A38}"/>
  </w:font>
  <w:font w:name="方正小标宋_GBK">
    <w:panose1 w:val="02000000000000000000"/>
    <w:charset w:val="86"/>
    <w:family w:val="script"/>
    <w:pitch w:val="default"/>
    <w:sig w:usb0="A00002BF" w:usb1="38CF7CFA" w:usb2="00082016" w:usb3="00000000" w:csb0="00040001" w:csb1="00000000"/>
    <w:embedRegular r:id="rId4" w:fontKey="{6DF97F10-1B5A-4DB5-BC6B-BDAF68B403D4}"/>
  </w:font>
  <w:font w:name="方正小标宋简体">
    <w:panose1 w:val="03000509000000000000"/>
    <w:charset w:val="86"/>
    <w:family w:val="auto"/>
    <w:pitch w:val="default"/>
    <w:sig w:usb0="00000001" w:usb1="080E0000" w:usb2="00000000" w:usb3="00000000" w:csb0="00040000" w:csb1="00000000"/>
    <w:embedRegular r:id="rId5" w:fontKey="{B4142FC0-48E5-43C8-BB00-E8EBF26456CC}"/>
  </w:font>
  <w:font w:name="楷体_GB2312">
    <w:panose1 w:val="02010609030101010101"/>
    <w:charset w:val="86"/>
    <w:family w:val="auto"/>
    <w:pitch w:val="default"/>
    <w:sig w:usb0="00000001" w:usb1="080E0000" w:usb2="00000000" w:usb3="00000000" w:csb0="00040000" w:csb1="00000000"/>
    <w:embedRegular r:id="rId6" w:fontKey="{AF09EF5B-7A65-4D20-B632-97BC940E98EB}"/>
  </w:font>
  <w:font w:name="方正仿宋_GBK">
    <w:panose1 w:val="02000000000000000000"/>
    <w:charset w:val="86"/>
    <w:family w:val="auto"/>
    <w:pitch w:val="default"/>
    <w:sig w:usb0="A00002BF" w:usb1="38CF7CFA" w:usb2="00082016" w:usb3="00000000" w:csb0="00040001" w:csb1="00000000"/>
    <w:embedRegular r:id="rId7" w:fontKey="{5DDE2C7A-62EE-47E1-95B4-EF680A3B05B0}"/>
  </w:font>
  <w:font w:name="楷体">
    <w:panose1 w:val="02010609060101010101"/>
    <w:charset w:val="86"/>
    <w:family w:val="modern"/>
    <w:pitch w:val="default"/>
    <w:sig w:usb0="800002BF" w:usb1="38CF7CFA" w:usb2="00000016" w:usb3="00000000" w:csb0="00040001" w:csb1="00000000"/>
    <w:embedRegular r:id="rId8" w:fontKey="{805F6394-E262-43F8-B927-0D377DC9674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5E400F31">
        <w:pPr>
          <w:pStyle w:val="6"/>
          <w:jc w:val="center"/>
        </w:pPr>
        <w:r>
          <w:fldChar w:fldCharType="begin"/>
        </w:r>
        <w:r>
          <w:instrText xml:space="preserve">PAGE   \* MERGEFORMAT</w:instrText>
        </w:r>
        <w:r>
          <w:fldChar w:fldCharType="separate"/>
        </w:r>
        <w:r>
          <w:rPr>
            <w:lang w:val="zh-CN"/>
          </w:rPr>
          <w:t>13</w:t>
        </w:r>
        <w:r>
          <w:fldChar w:fldCharType="end"/>
        </w:r>
      </w:p>
    </w:sdtContent>
  </w:sdt>
  <w:p w14:paraId="69A30790">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F9D8E"/>
    <w:multiLevelType w:val="singleLevel"/>
    <w:tmpl w:val="826F9D8E"/>
    <w:lvl w:ilvl="0" w:tentative="0">
      <w:start w:val="1"/>
      <w:numFmt w:val="decimal"/>
      <w:suff w:val="nothing"/>
      <w:lvlText w:val="（%1）"/>
      <w:lvlJc w:val="left"/>
    </w:lvl>
  </w:abstractNum>
  <w:abstractNum w:abstractNumId="1">
    <w:nsid w:val="174173A3"/>
    <w:multiLevelType w:val="singleLevel"/>
    <w:tmpl w:val="174173A3"/>
    <w:lvl w:ilvl="0" w:tentative="0">
      <w:start w:val="2"/>
      <w:numFmt w:val="chineseCounting"/>
      <w:suff w:val="nothing"/>
      <w:lvlText w:val="（%1）"/>
      <w:lvlJc w:val="left"/>
      <w:rPr>
        <w:rFonts w:hint="eastAsia"/>
      </w:rPr>
    </w:lvl>
  </w:abstractNum>
  <w:abstractNum w:abstractNumId="2">
    <w:nsid w:val="1AF266D2"/>
    <w:multiLevelType w:val="singleLevel"/>
    <w:tmpl w:val="1AF266D2"/>
    <w:lvl w:ilvl="0" w:tentative="0">
      <w:start w:val="3"/>
      <w:numFmt w:val="chineseCounting"/>
      <w:suff w:val="nothing"/>
      <w:lvlText w:val="%1、"/>
      <w:lvlJc w:val="left"/>
      <w:rPr>
        <w:rFonts w:hint="eastAsia"/>
      </w:rPr>
    </w:lvl>
  </w:abstractNum>
  <w:abstractNum w:abstractNumId="3">
    <w:nsid w:val="42E26F96"/>
    <w:multiLevelType w:val="singleLevel"/>
    <w:tmpl w:val="42E26F96"/>
    <w:lvl w:ilvl="0" w:tentative="0">
      <w:start w:val="3"/>
      <w:numFmt w:val="chineseCounting"/>
      <w:suff w:val="nothing"/>
      <w:lvlText w:val="（%1）"/>
      <w:lvlJc w:val="left"/>
      <w:rPr>
        <w:rFonts w:hint="eastAsia"/>
      </w:rPr>
    </w:lvl>
  </w:abstractNum>
  <w:abstractNum w:abstractNumId="4">
    <w:nsid w:val="6D85C5B2"/>
    <w:multiLevelType w:val="singleLevel"/>
    <w:tmpl w:val="6D85C5B2"/>
    <w:lvl w:ilvl="0" w:tentative="0">
      <w:start w:val="2"/>
      <w:numFmt w:val="chineseCounting"/>
      <w:suff w:val="nothing"/>
      <w:lvlText w:val="（%1）"/>
      <w:lvlJc w:val="left"/>
      <w:rPr>
        <w:rFonts w:hint="eastAsia"/>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19620DA3"/>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after="120"/>
    </w:pPr>
  </w:style>
  <w:style w:type="paragraph" w:styleId="4">
    <w:name w:val="Body Text Indent"/>
    <w:basedOn w:val="1"/>
    <w:next w:val="1"/>
    <w:qFormat/>
    <w:uiPriority w:val="0"/>
    <w:pPr>
      <w:spacing w:after="120"/>
      <w:ind w:left="420" w:leftChars="200"/>
    </w:pPr>
    <w:rPr>
      <w:rFonts w:ascii="Calibri" w:hAnsi="Calibri"/>
    </w:rPr>
  </w:style>
  <w:style w:type="paragraph" w:styleId="5">
    <w:name w:val="Balloon Text"/>
    <w:basedOn w:val="1"/>
    <w:link w:val="21"/>
    <w:qFormat/>
    <w:uiPriority w:val="0"/>
    <w:rPr>
      <w:sz w:val="18"/>
      <w:szCs w:val="18"/>
    </w:rPr>
  </w:style>
  <w:style w:type="paragraph" w:styleId="6">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7">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rPr>
  </w:style>
  <w:style w:type="paragraph" w:styleId="9">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0">
    <w:name w:val="Body Text First Indent"/>
    <w:basedOn w:val="3"/>
    <w:qFormat/>
    <w:uiPriority w:val="0"/>
    <w:pPr>
      <w:spacing w:after="0"/>
      <w:ind w:firstLine="200" w:firstLineChars="200"/>
    </w:pPr>
  </w:style>
  <w:style w:type="paragraph" w:styleId="11">
    <w:name w:val="Body Text First Indent 2"/>
    <w:basedOn w:val="4"/>
    <w:qFormat/>
    <w:uiPriority w:val="0"/>
    <w:pPr>
      <w:ind w:firstLine="420" w:firstLineChars="200"/>
    </w:pPr>
  </w:style>
  <w:style w:type="table" w:styleId="13">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Strong"/>
    <w:basedOn w:val="14"/>
    <w:qFormat/>
    <w:uiPriority w:val="0"/>
    <w:rPr>
      <w:b/>
      <w:bCs/>
    </w:rPr>
  </w:style>
  <w:style w:type="paragraph" w:customStyle="1" w:styleId="16">
    <w:name w:val="Comment Text"/>
    <w:basedOn w:val="1"/>
    <w:link w:val="23"/>
    <w:qFormat/>
    <w:uiPriority w:val="0"/>
    <w:pPr>
      <w:jc w:val="left"/>
    </w:pPr>
  </w:style>
  <w:style w:type="paragraph" w:customStyle="1" w:styleId="17">
    <w:name w:val="Comment Subject"/>
    <w:basedOn w:val="16"/>
    <w:next w:val="16"/>
    <w:link w:val="24"/>
    <w:qFormat/>
    <w:uiPriority w:val="0"/>
    <w:rPr>
      <w:b/>
      <w:bCs/>
    </w:rPr>
  </w:style>
  <w:style w:type="character" w:customStyle="1" w:styleId="18">
    <w:name w:val="Comment Reference"/>
    <w:basedOn w:val="14"/>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4"/>
    <w:link w:val="5"/>
    <w:qFormat/>
    <w:uiPriority w:val="0"/>
    <w:rPr>
      <w:rFonts w:ascii="Times New Roman" w:hAnsi="Times New Roman" w:eastAsia="宋体" w:cs="Times New Roman"/>
      <w:kern w:val="2"/>
      <w:sz w:val="18"/>
      <w:szCs w:val="18"/>
    </w:rPr>
  </w:style>
  <w:style w:type="character" w:customStyle="1" w:styleId="22">
    <w:name w:val="页眉 字符"/>
    <w:basedOn w:val="14"/>
    <w:link w:val="7"/>
    <w:qFormat/>
    <w:uiPriority w:val="0"/>
    <w:rPr>
      <w:rFonts w:ascii="Times New Roman" w:hAnsi="Times New Roman" w:eastAsia="宋体" w:cs="Times New Roman"/>
      <w:kern w:val="2"/>
      <w:sz w:val="18"/>
      <w:szCs w:val="18"/>
    </w:rPr>
  </w:style>
  <w:style w:type="character" w:customStyle="1" w:styleId="23">
    <w:name w:val="批注文字 字符"/>
    <w:basedOn w:val="14"/>
    <w:link w:val="16"/>
    <w:qFormat/>
    <w:uiPriority w:val="0"/>
    <w:rPr>
      <w:rFonts w:ascii="Times New Roman" w:hAnsi="Times New Roman" w:eastAsia="宋体" w:cs="Times New Roman"/>
      <w:kern w:val="2"/>
      <w:sz w:val="21"/>
      <w:szCs w:val="24"/>
    </w:rPr>
  </w:style>
  <w:style w:type="character" w:customStyle="1" w:styleId="24">
    <w:name w:val="批注主题 字符"/>
    <w:basedOn w:val="23"/>
    <w:link w:val="17"/>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9CB5A03863224B1F8E4C488F7856E523_13</vt:lpwstr>
  </property>
  <property fmtid="{D5CDD505-2E9C-101B-9397-08002B2CF9AE}" pid="4" name="KSOTemplateDocerSaveRecord">
    <vt:lpwstr>eyJoZGlkIjoiZmVmMjMxN2NlN2Q3OTA2ZDY4ZWRiMmZiMTQ2ZWQzMDQiLCJ1c2VySWQiOiIzMTIzNzg2OTQifQ==</vt:lpwstr>
  </property>
</Properties>
</file>

<file path=customXml/itemProps1.xml><?xml version="1.0" encoding="utf-8"?>
<ds:datastoreItem xmlns:ds="http://schemas.openxmlformats.org/officeDocument/2006/customXml" ds:itemID="{f748883d-ef84-4875-b1a4-e770d90951cd}">
  <ds:schemaRefs/>
</ds:datastoreItem>
</file>

<file path=docProps/app.xml><?xml version="1.0" encoding="utf-8"?>
<Properties xmlns="http://schemas.openxmlformats.org/officeDocument/2006/extended-properties" xmlns:vt="http://schemas.openxmlformats.org/officeDocument/2006/docPropsVTypes">
  <Template>Normal</Template>
  <Pages>23</Pages>
  <Words>10175</Words>
  <Characters>10688</Characters>
  <Lines>58</Lines>
  <Paragraphs>16</Paragraphs>
  <TotalTime>22</TotalTime>
  <ScaleCrop>false</ScaleCrop>
  <LinksUpToDate>false</LinksUpToDate>
  <CharactersWithSpaces>10700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雨。</cp:lastModifiedBy>
  <dcterms:modified xsi:type="dcterms:W3CDTF">2025-11-13T05:37:08Z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9CB5A03863224B1F8E4C488F7856E523_13</vt:lpwstr>
  </property>
  <property fmtid="{D5CDD505-2E9C-101B-9397-08002B2CF9AE}" pid="4" name="KSOTemplateDocerSaveRecord">
    <vt:lpwstr>eyJoZGlkIjoiZmVmMjMxN2NlN2Q3OTA2ZDY4ZWRiMmZiMTQ2ZWQzMDQiLCJ1c2VySWQiOiIzMTIzNzg2OTQifQ_x003D__x003D_</vt:lpwstr>
  </property>
</Properties>
</file>