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特克斯县红十字会2024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E913ED1">
      <w:r>
        <w:br w:type="page"/>
      </w:r>
    </w:p>
    <w:p w14:paraId="0141F8F0">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1C4588AF">
      <w:pPr>
        <w:spacing w:line="640" w:lineRule="exact"/>
        <w:ind w:firstLine="640"/>
        <w:jc w:val="both"/>
        <w:outlineLvl w:val="2"/>
      </w:pPr>
      <w:r>
        <w:rPr>
          <w:rFonts w:ascii="黑体" w:hAnsi="黑体" w:eastAsia="黑体"/>
          <w:sz w:val="32"/>
        </w:rPr>
        <w:t>一、主要职能</w:t>
      </w:r>
    </w:p>
    <w:p w14:paraId="375E3DE4">
      <w:pPr>
        <w:spacing w:line="580" w:lineRule="exact"/>
        <w:ind w:firstLine="640"/>
        <w:jc w:val="both"/>
      </w:pPr>
      <w:r>
        <w:rPr>
          <w:rFonts w:ascii="仿宋_GB2312" w:hAnsi="仿宋_GB2312" w:eastAsia="仿宋_GB2312"/>
          <w:sz w:val="32"/>
        </w:rPr>
        <w:t>1.宣传、贯彻落实《中华人民共和国红十字会法</w:t>
      </w:r>
      <w:r>
        <w:rPr>
          <w:rFonts w:hint="eastAsia" w:ascii="仿宋_GB2312" w:hAnsi="仿宋_GB2312" w:eastAsia="仿宋_GB2312"/>
          <w:sz w:val="32"/>
          <w:lang w:eastAsia="zh-CN"/>
        </w:rPr>
        <w:t>》《</w:t>
      </w:r>
      <w:r>
        <w:rPr>
          <w:rFonts w:ascii="仿宋_GB2312" w:hAnsi="仿宋_GB2312" w:eastAsia="仿宋_GB2312"/>
          <w:sz w:val="32"/>
        </w:rPr>
        <w:t>中国红十字会章程</w:t>
      </w:r>
      <w:r>
        <w:rPr>
          <w:rFonts w:hint="eastAsia" w:ascii="仿宋_GB2312" w:hAnsi="仿宋_GB2312" w:eastAsia="仿宋_GB2312"/>
          <w:sz w:val="32"/>
          <w:lang w:eastAsia="zh-CN"/>
        </w:rPr>
        <w:t>》《</w:t>
      </w:r>
      <w:r>
        <w:rPr>
          <w:rFonts w:ascii="仿宋_GB2312" w:hAnsi="仿宋_GB2312" w:eastAsia="仿宋_GB2312"/>
          <w:sz w:val="32"/>
        </w:rPr>
        <w:t>中华人民共和国红十字标志使用办法》和《新疆维吾尔自治区实施&lt;中华人民共和国红十字会法&gt;办法》。</w:t>
      </w:r>
    </w:p>
    <w:p w14:paraId="079F5AC5">
      <w:pPr>
        <w:spacing w:line="580" w:lineRule="exact"/>
        <w:ind w:firstLine="640"/>
        <w:jc w:val="both"/>
      </w:pPr>
      <w:r>
        <w:rPr>
          <w:rFonts w:ascii="仿宋_GB2312" w:hAnsi="仿宋_GB2312" w:eastAsia="仿宋_GB2312"/>
          <w:sz w:val="32"/>
        </w:rPr>
        <w:t>2.开展救灾的准备工作，在自然灾害和突发事件中，对伤病人员和其他受害者进行救助，参加国内外的人道主义救助工作。</w:t>
      </w:r>
    </w:p>
    <w:p w14:paraId="325DC0D7">
      <w:pPr>
        <w:spacing w:line="580" w:lineRule="exact"/>
        <w:ind w:firstLine="640"/>
        <w:jc w:val="both"/>
      </w:pPr>
      <w:r>
        <w:rPr>
          <w:rFonts w:ascii="仿宋_GB2312" w:hAnsi="仿宋_GB2312" w:eastAsia="仿宋_GB2312"/>
          <w:sz w:val="32"/>
        </w:rPr>
        <w:t>3.开展人道领域内的社区服务和社会公益活动，组织开展群众性初级训练和现场急救工作。</w:t>
      </w:r>
    </w:p>
    <w:p w14:paraId="033C32A9">
      <w:pPr>
        <w:spacing w:line="580" w:lineRule="exact"/>
        <w:ind w:firstLine="640"/>
        <w:jc w:val="both"/>
      </w:pPr>
      <w:r>
        <w:rPr>
          <w:rFonts w:ascii="仿宋_GB2312" w:hAnsi="仿宋_GB2312" w:eastAsia="仿宋_GB2312"/>
          <w:sz w:val="32"/>
        </w:rPr>
        <w:t>4.在自治州红十字会的指导下，开展与国内外红十字会组织的友好合作与交流，宣传国际红十字会与红新月运动的基本原则和日内瓦公约及其附加议定书，并依照有关规定开展工作。</w:t>
      </w:r>
    </w:p>
    <w:p w14:paraId="3A6EA3C0">
      <w:pPr>
        <w:spacing w:line="580" w:lineRule="exact"/>
        <w:ind w:firstLine="640"/>
        <w:jc w:val="both"/>
      </w:pPr>
      <w:r>
        <w:rPr>
          <w:rFonts w:ascii="仿宋_GB2312" w:hAnsi="仿宋_GB2312" w:eastAsia="仿宋_GB2312"/>
          <w:sz w:val="32"/>
        </w:rPr>
        <w:t>5.开展有</w:t>
      </w:r>
      <w:r>
        <w:rPr>
          <w:rFonts w:hint="eastAsia" w:ascii="仿宋_GB2312" w:hAnsi="仿宋_GB2312" w:eastAsia="仿宋_GB2312"/>
          <w:sz w:val="32"/>
          <w:lang w:eastAsia="zh-CN"/>
        </w:rPr>
        <w:t>益于</w:t>
      </w:r>
      <w:r>
        <w:rPr>
          <w:rFonts w:ascii="仿宋_GB2312" w:hAnsi="仿宋_GB2312" w:eastAsia="仿宋_GB2312"/>
          <w:sz w:val="32"/>
        </w:rPr>
        <w:t>青少年身心健康的、弘扬人道主义精神的红十字会青少年活动。</w:t>
      </w:r>
    </w:p>
    <w:p w14:paraId="160AA767">
      <w:pPr>
        <w:spacing w:line="580" w:lineRule="exact"/>
        <w:ind w:firstLine="640"/>
        <w:jc w:val="both"/>
      </w:pPr>
      <w:r>
        <w:rPr>
          <w:rFonts w:ascii="仿宋_GB2312" w:hAnsi="仿宋_GB2312" w:eastAsia="仿宋_GB2312"/>
          <w:sz w:val="32"/>
        </w:rPr>
        <w:t>6.依据《中华人民共和国红十字会法》和《中华人民共和国献血法》的规定，推动无偿献血工作。</w:t>
      </w:r>
    </w:p>
    <w:p w14:paraId="6B94E7D8">
      <w:pPr>
        <w:spacing w:line="580" w:lineRule="exact"/>
        <w:ind w:firstLine="640"/>
        <w:jc w:val="both"/>
      </w:pPr>
      <w:r>
        <w:rPr>
          <w:rFonts w:ascii="仿宋_GB2312" w:hAnsi="仿宋_GB2312" w:eastAsia="仿宋_GB2312"/>
          <w:sz w:val="32"/>
        </w:rPr>
        <w:t>7.组织会员、志愿者开展预防</w:t>
      </w:r>
      <w:r>
        <w:rPr>
          <w:rFonts w:hint="eastAsia" w:ascii="仿宋_GB2312" w:hAnsi="仿宋_GB2312" w:eastAsia="仿宋_GB2312"/>
          <w:sz w:val="32"/>
          <w:lang w:val="en-US" w:eastAsia="zh-CN"/>
        </w:rPr>
        <w:t>传染病</w:t>
      </w:r>
      <w:r>
        <w:rPr>
          <w:rFonts w:ascii="仿宋_GB2312" w:hAnsi="仿宋_GB2312" w:eastAsia="仿宋_GB2312"/>
          <w:sz w:val="32"/>
        </w:rPr>
        <w:t>预防宣传活动。</w:t>
      </w:r>
    </w:p>
    <w:p w14:paraId="350A2338">
      <w:pPr>
        <w:spacing w:line="580" w:lineRule="exact"/>
        <w:ind w:firstLine="640"/>
        <w:jc w:val="both"/>
      </w:pPr>
      <w:r>
        <w:rPr>
          <w:rFonts w:ascii="仿宋_GB2312" w:hAnsi="仿宋_GB2312" w:eastAsia="仿宋_GB2312"/>
          <w:sz w:val="32"/>
        </w:rPr>
        <w:t>8.积极</w:t>
      </w:r>
      <w:r>
        <w:rPr>
          <w:rFonts w:hint="eastAsia" w:ascii="仿宋_GB2312" w:hAnsi="仿宋_GB2312" w:eastAsia="仿宋_GB2312"/>
          <w:sz w:val="32"/>
          <w:lang w:eastAsia="zh-CN"/>
        </w:rPr>
        <w:t>参加</w:t>
      </w:r>
      <w:r>
        <w:rPr>
          <w:rFonts w:ascii="仿宋_GB2312" w:hAnsi="仿宋_GB2312" w:eastAsia="仿宋_GB2312"/>
          <w:sz w:val="32"/>
        </w:rPr>
        <w:t>“中华造血干细胞捐献者资料分库”宣传、采集、登记工作。</w:t>
      </w:r>
    </w:p>
    <w:p w14:paraId="21625604">
      <w:pPr>
        <w:spacing w:line="640" w:lineRule="exact"/>
        <w:ind w:firstLine="640"/>
        <w:jc w:val="both"/>
        <w:outlineLvl w:val="2"/>
      </w:pPr>
      <w:r>
        <w:rPr>
          <w:rFonts w:ascii="黑体" w:hAnsi="黑体" w:eastAsia="黑体"/>
          <w:sz w:val="32"/>
        </w:rPr>
        <w:t>二、机构设置及人员情况</w:t>
      </w:r>
    </w:p>
    <w:p w14:paraId="3D931EB2">
      <w:pPr>
        <w:spacing w:line="580" w:lineRule="exact"/>
        <w:ind w:firstLine="640"/>
        <w:jc w:val="both"/>
      </w:pPr>
      <w:r>
        <w:rPr>
          <w:rFonts w:ascii="仿宋_GB2312" w:hAnsi="仿宋_GB2312" w:eastAsia="仿宋_GB2312"/>
          <w:sz w:val="32"/>
        </w:rPr>
        <w:t>特克斯县红十字会2024年度，实有人数5人，其中：在职人员3人，减少1人；离休人员0人，增加0人；退休人员2人,增加1人。</w:t>
      </w:r>
    </w:p>
    <w:p w14:paraId="647DEA44">
      <w:pPr>
        <w:spacing w:line="580" w:lineRule="exact"/>
        <w:ind w:firstLine="640"/>
        <w:jc w:val="both"/>
      </w:pPr>
      <w:r>
        <w:rPr>
          <w:rFonts w:ascii="仿宋_GB2312" w:hAnsi="仿宋_GB2312" w:eastAsia="仿宋_GB2312"/>
          <w:sz w:val="32"/>
        </w:rPr>
        <w:t>特克斯县红十字会无下属预算</w:t>
      </w:r>
      <w:r>
        <w:rPr>
          <w:rFonts w:hint="eastAsia" w:ascii="仿宋_GB2312" w:hAnsi="仿宋_GB2312" w:eastAsia="仿宋_GB2312"/>
          <w:sz w:val="32"/>
          <w:lang w:eastAsia="zh-CN"/>
        </w:rPr>
        <w:t>单位</w:t>
      </w:r>
      <w:r>
        <w:rPr>
          <w:rFonts w:ascii="仿宋_GB2312" w:hAnsi="仿宋_GB2312" w:eastAsia="仿宋_GB2312"/>
          <w:sz w:val="32"/>
        </w:rPr>
        <w:t>，下设1个科室，分别是：办公室。</w:t>
      </w:r>
    </w:p>
    <w:p w14:paraId="1DE71DDA">
      <w:r>
        <w:br w:type="page"/>
      </w:r>
    </w:p>
    <w:p w14:paraId="18849D67">
      <w:pPr>
        <w:spacing w:line="240" w:lineRule="auto"/>
        <w:jc w:val="center"/>
        <w:outlineLvl w:val="1"/>
      </w:pPr>
      <w:r>
        <w:rPr>
          <w:rFonts w:ascii="黑体" w:hAnsi="黑体" w:eastAsia="黑体"/>
          <w:sz w:val="32"/>
        </w:rPr>
        <w:t>第二部分 部门决算情况说明</w:t>
      </w:r>
    </w:p>
    <w:p w14:paraId="5D2A6DC1">
      <w:pPr>
        <w:spacing w:line="640" w:lineRule="exact"/>
        <w:ind w:firstLine="640"/>
        <w:jc w:val="both"/>
        <w:outlineLvl w:val="2"/>
      </w:pPr>
      <w:r>
        <w:rPr>
          <w:rFonts w:ascii="黑体" w:hAnsi="黑体" w:eastAsia="黑体"/>
          <w:sz w:val="32"/>
        </w:rPr>
        <w:t>一、收入支出决算总体情况说明</w:t>
      </w:r>
    </w:p>
    <w:p w14:paraId="5CF2919C">
      <w:pPr>
        <w:spacing w:line="580" w:lineRule="exact"/>
        <w:ind w:firstLine="640"/>
        <w:jc w:val="both"/>
      </w:pPr>
      <w:r>
        <w:rPr>
          <w:rFonts w:ascii="仿宋_GB2312" w:hAnsi="仿宋_GB2312" w:eastAsia="仿宋_GB2312"/>
          <w:b/>
          <w:sz w:val="32"/>
        </w:rPr>
        <w:t>2024年度收入总计81.67万元，</w:t>
      </w:r>
      <w:r>
        <w:rPr>
          <w:rFonts w:ascii="仿宋_GB2312" w:hAnsi="仿宋_GB2312" w:eastAsia="仿宋_GB2312"/>
          <w:b w:val="0"/>
          <w:sz w:val="32"/>
        </w:rPr>
        <w:t>其中：本年收入合计81.67万元，使用非财政拨款结余（含专用结余）0.00万元，年初结转和结余0.00万元。</w:t>
      </w:r>
    </w:p>
    <w:p w14:paraId="33FF20C5">
      <w:pPr>
        <w:spacing w:line="580" w:lineRule="exact"/>
        <w:ind w:firstLine="640"/>
        <w:jc w:val="both"/>
      </w:pPr>
      <w:r>
        <w:rPr>
          <w:rFonts w:ascii="仿宋_GB2312" w:hAnsi="仿宋_GB2312" w:eastAsia="仿宋_GB2312"/>
          <w:b/>
          <w:sz w:val="32"/>
        </w:rPr>
        <w:t>2024年度支出总计81.67万元，</w:t>
      </w:r>
      <w:r>
        <w:rPr>
          <w:rFonts w:ascii="仿宋_GB2312" w:hAnsi="仿宋_GB2312" w:eastAsia="仿宋_GB2312"/>
          <w:b w:val="0"/>
          <w:sz w:val="32"/>
        </w:rPr>
        <w:t>其中：本年支出合计81.67万元，结余分配0.00万元，年末结转和结余0.00万元。</w:t>
      </w:r>
    </w:p>
    <w:p w14:paraId="14324D09">
      <w:pPr>
        <w:spacing w:line="580" w:lineRule="exact"/>
        <w:ind w:firstLine="640"/>
        <w:jc w:val="both"/>
      </w:pPr>
      <w:r>
        <w:rPr>
          <w:rFonts w:ascii="仿宋_GB2312" w:hAnsi="仿宋_GB2312" w:eastAsia="仿宋_GB2312"/>
          <w:b w:val="0"/>
          <w:sz w:val="32"/>
        </w:rPr>
        <w:t>收入支出总体与上年相比，增加19.35万元，增长31.05%，主要原因是：本年新增退休人员，职业年金缴费增加；增加两所博爱卫生室办公费。</w:t>
      </w:r>
    </w:p>
    <w:p w14:paraId="51AEE3D3">
      <w:pPr>
        <w:spacing w:line="640" w:lineRule="exact"/>
        <w:ind w:firstLine="640"/>
        <w:jc w:val="both"/>
        <w:outlineLvl w:val="2"/>
      </w:pPr>
      <w:r>
        <w:rPr>
          <w:rFonts w:ascii="黑体" w:hAnsi="黑体" w:eastAsia="黑体"/>
          <w:sz w:val="32"/>
        </w:rPr>
        <w:t>二、收入决算情况说明</w:t>
      </w:r>
    </w:p>
    <w:p w14:paraId="0A795E85">
      <w:pPr>
        <w:spacing w:line="580" w:lineRule="exact"/>
        <w:ind w:firstLine="640"/>
        <w:jc w:val="both"/>
      </w:pPr>
      <w:r>
        <w:rPr>
          <w:rFonts w:ascii="仿宋_GB2312" w:hAnsi="仿宋_GB2312" w:eastAsia="仿宋_GB2312"/>
          <w:b/>
          <w:sz w:val="32"/>
        </w:rPr>
        <w:t>本年收入81.67万元，</w:t>
      </w:r>
      <w:r>
        <w:rPr>
          <w:rFonts w:ascii="仿宋_GB2312" w:hAnsi="仿宋_GB2312" w:eastAsia="仿宋_GB2312"/>
          <w:b w:val="0"/>
          <w:sz w:val="32"/>
        </w:rPr>
        <w:t>其中：财政拨款收入63.00万元，占77.14%；上级补助收入0.00万元，占0.00%；事业收入0.00万元，占0.00%；经营收入0.00万元，占0.00%；附属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上缴收入0.00万元，占0.00%；其他收入18.67万元，占22.86%。</w:t>
      </w:r>
    </w:p>
    <w:p w14:paraId="477210E6">
      <w:pPr>
        <w:spacing w:line="640" w:lineRule="exact"/>
        <w:ind w:firstLine="640"/>
        <w:jc w:val="both"/>
        <w:outlineLvl w:val="2"/>
      </w:pPr>
      <w:r>
        <w:rPr>
          <w:rFonts w:ascii="黑体" w:hAnsi="黑体" w:eastAsia="黑体"/>
          <w:sz w:val="32"/>
        </w:rPr>
        <w:t>三、支出决算情况说明</w:t>
      </w:r>
    </w:p>
    <w:p w14:paraId="2B0A30F6">
      <w:pPr>
        <w:spacing w:line="580" w:lineRule="exact"/>
        <w:ind w:firstLine="640"/>
        <w:jc w:val="both"/>
      </w:pPr>
      <w:r>
        <w:rPr>
          <w:rFonts w:ascii="仿宋_GB2312" w:hAnsi="仿宋_GB2312" w:eastAsia="仿宋_GB2312"/>
          <w:b/>
          <w:sz w:val="32"/>
        </w:rPr>
        <w:t>本年支出81.67万元，</w:t>
      </w:r>
      <w:r>
        <w:rPr>
          <w:rFonts w:ascii="仿宋_GB2312" w:hAnsi="仿宋_GB2312" w:eastAsia="仿宋_GB2312"/>
          <w:b w:val="0"/>
          <w:sz w:val="32"/>
        </w:rPr>
        <w:t>其中：基本支出81.67万元，占100.00%；项目支出0.00万元，占0.00%；上缴上级支出0.00万元，占0.00%；经营支出0.00万元，占0.00%；对附属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256A7045">
      <w:pPr>
        <w:spacing w:line="640" w:lineRule="exact"/>
        <w:ind w:firstLine="640"/>
        <w:jc w:val="both"/>
        <w:outlineLvl w:val="2"/>
      </w:pPr>
      <w:r>
        <w:rPr>
          <w:rFonts w:ascii="黑体" w:hAnsi="黑体" w:eastAsia="黑体"/>
          <w:sz w:val="32"/>
        </w:rPr>
        <w:t>四、财政拨款收入支出决算总体情况说明</w:t>
      </w:r>
    </w:p>
    <w:p w14:paraId="051B0481">
      <w:pPr>
        <w:spacing w:line="580" w:lineRule="exact"/>
        <w:ind w:firstLine="640"/>
        <w:jc w:val="both"/>
      </w:pPr>
      <w:r>
        <w:rPr>
          <w:rFonts w:ascii="仿宋_GB2312" w:hAnsi="仿宋_GB2312" w:eastAsia="仿宋_GB2312"/>
          <w:b/>
          <w:sz w:val="32"/>
        </w:rPr>
        <w:t>2024年度财政拨款收入总计63.00万元，</w:t>
      </w:r>
      <w:r>
        <w:rPr>
          <w:rFonts w:ascii="仿宋_GB2312" w:hAnsi="仿宋_GB2312" w:eastAsia="仿宋_GB2312"/>
          <w:b w:val="0"/>
          <w:sz w:val="32"/>
        </w:rPr>
        <w:t>其中：年初财政拨款结转和结余0.00万元，本年财政拨款收入63.00万元。</w:t>
      </w:r>
      <w:r>
        <w:rPr>
          <w:rFonts w:ascii="仿宋_GB2312" w:hAnsi="仿宋_GB2312" w:eastAsia="仿宋_GB2312"/>
          <w:b/>
          <w:sz w:val="32"/>
        </w:rPr>
        <w:t>财政拨款支出总计63.00万元，</w:t>
      </w:r>
      <w:r>
        <w:rPr>
          <w:rFonts w:ascii="仿宋_GB2312" w:hAnsi="仿宋_GB2312" w:eastAsia="仿宋_GB2312"/>
          <w:b w:val="0"/>
          <w:sz w:val="32"/>
        </w:rPr>
        <w:t>其中：年末财政拨款结转和结余0.00万元，本年财政拨款支出63.00万元。</w:t>
      </w:r>
    </w:p>
    <w:p w14:paraId="0222580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增加0.68万元，增长1.09%，主要原因是：本年新增退休人员，职业年金缴费增加。</w:t>
      </w:r>
      <w:r>
        <w:rPr>
          <w:rFonts w:ascii="仿宋_GB2312" w:hAnsi="仿宋_GB2312" w:eastAsia="仿宋_GB2312"/>
          <w:b/>
          <w:sz w:val="32"/>
        </w:rPr>
        <w:t>与年初预算相比，</w:t>
      </w:r>
      <w:r>
        <w:rPr>
          <w:rFonts w:ascii="仿宋_GB2312" w:hAnsi="仿宋_GB2312" w:eastAsia="仿宋_GB2312"/>
          <w:b w:val="0"/>
          <w:sz w:val="32"/>
        </w:rPr>
        <w:t>年初预算数69.50万元，决算数63.00万元，预决算差异率-9.35%，主要原因是：本年在职人员减少，年中调减人员经费，导致预决算存在差异。</w:t>
      </w:r>
    </w:p>
    <w:p w14:paraId="5683AABF">
      <w:pPr>
        <w:spacing w:line="640" w:lineRule="exact"/>
        <w:ind w:firstLine="640"/>
        <w:jc w:val="both"/>
        <w:outlineLvl w:val="2"/>
      </w:pPr>
      <w:r>
        <w:rPr>
          <w:rFonts w:ascii="黑体" w:hAnsi="黑体" w:eastAsia="黑体"/>
          <w:sz w:val="32"/>
        </w:rPr>
        <w:t>五、一般公共预算财政拨款支出决算情况说明</w:t>
      </w:r>
    </w:p>
    <w:p w14:paraId="24FB384D">
      <w:pPr>
        <w:spacing w:line="640" w:lineRule="exact"/>
        <w:ind w:firstLine="640"/>
        <w:jc w:val="both"/>
        <w:outlineLvl w:val="3"/>
      </w:pPr>
      <w:r>
        <w:rPr>
          <w:rFonts w:ascii="楷体_GB2312" w:hAnsi="楷体_GB2312" w:eastAsia="楷体_GB2312"/>
          <w:b/>
          <w:sz w:val="32"/>
        </w:rPr>
        <w:t>（一）一般公共预算财政拨款支出决算总体情况</w:t>
      </w:r>
    </w:p>
    <w:p w14:paraId="32D17904">
      <w:pPr>
        <w:spacing w:line="580" w:lineRule="exact"/>
        <w:ind w:firstLine="640"/>
        <w:jc w:val="both"/>
      </w:pPr>
      <w:r>
        <w:rPr>
          <w:rFonts w:ascii="仿宋_GB2312" w:hAnsi="仿宋_GB2312" w:eastAsia="仿宋_GB2312"/>
          <w:b/>
          <w:sz w:val="32"/>
        </w:rPr>
        <w:t>2024年度一般公共预算财政拨款支出63.00万元，</w:t>
      </w:r>
      <w:r>
        <w:rPr>
          <w:rFonts w:ascii="仿宋_GB2312" w:hAnsi="仿宋_GB2312" w:eastAsia="仿宋_GB2312"/>
          <w:b w:val="0"/>
          <w:sz w:val="32"/>
        </w:rPr>
        <w:t>占本年支出合计的77.14%。</w:t>
      </w:r>
      <w:r>
        <w:rPr>
          <w:rFonts w:ascii="仿宋_GB2312" w:hAnsi="仿宋_GB2312" w:eastAsia="仿宋_GB2312"/>
          <w:b/>
          <w:sz w:val="32"/>
        </w:rPr>
        <w:t>与上年相比，</w:t>
      </w:r>
      <w:r>
        <w:rPr>
          <w:rFonts w:ascii="仿宋_GB2312" w:hAnsi="仿宋_GB2312" w:eastAsia="仿宋_GB2312"/>
          <w:b w:val="0"/>
          <w:sz w:val="32"/>
        </w:rPr>
        <w:t>增加0.68万元，增长1.09%，主要原因是：本年新增退休人员，职业年金缴费增加。</w:t>
      </w:r>
      <w:r>
        <w:rPr>
          <w:rFonts w:ascii="仿宋_GB2312" w:hAnsi="仿宋_GB2312" w:eastAsia="仿宋_GB2312"/>
          <w:b/>
          <w:sz w:val="32"/>
        </w:rPr>
        <w:t>与年初预算相比,</w:t>
      </w:r>
      <w:r>
        <w:rPr>
          <w:rFonts w:ascii="仿宋_GB2312" w:hAnsi="仿宋_GB2312" w:eastAsia="仿宋_GB2312"/>
          <w:b w:val="0"/>
          <w:sz w:val="32"/>
        </w:rPr>
        <w:t>年初预算数69.50万元，决算数63.00万元，预决算差异率-9.35%，主要原因是：本年在职人员减少，年中调减人员经费，导致预决算存在差异。</w:t>
      </w:r>
    </w:p>
    <w:p w14:paraId="623364A7">
      <w:pPr>
        <w:spacing w:line="640" w:lineRule="exact"/>
        <w:ind w:firstLine="640"/>
        <w:jc w:val="both"/>
        <w:outlineLvl w:val="3"/>
      </w:pPr>
      <w:r>
        <w:rPr>
          <w:rFonts w:ascii="楷体_GB2312" w:hAnsi="楷体_GB2312" w:eastAsia="楷体_GB2312"/>
          <w:b/>
          <w:sz w:val="32"/>
        </w:rPr>
        <w:t>（二）一般公共预算财政拨款支出决算结构情况</w:t>
      </w:r>
    </w:p>
    <w:p w14:paraId="0929151E">
      <w:pPr>
        <w:spacing w:line="580" w:lineRule="exact"/>
        <w:ind w:firstLine="640"/>
        <w:jc w:val="both"/>
      </w:pPr>
      <w:r>
        <w:rPr>
          <w:rFonts w:ascii="仿宋_GB2312" w:hAnsi="仿宋_GB2312" w:eastAsia="仿宋_GB2312"/>
          <w:b w:val="0"/>
          <w:sz w:val="32"/>
        </w:rPr>
        <w:t>1.社会保障和就业支出(类)56.29万元,占89.35%。</w:t>
      </w:r>
    </w:p>
    <w:p w14:paraId="13F7382D">
      <w:pPr>
        <w:spacing w:line="580" w:lineRule="exact"/>
        <w:ind w:firstLine="640"/>
        <w:jc w:val="both"/>
      </w:pPr>
      <w:r>
        <w:rPr>
          <w:rFonts w:ascii="仿宋_GB2312" w:hAnsi="仿宋_GB2312" w:eastAsia="仿宋_GB2312"/>
          <w:b w:val="0"/>
          <w:sz w:val="32"/>
        </w:rPr>
        <w:t>2.卫生健康支出(类)2.35万元,占3.73%。</w:t>
      </w:r>
    </w:p>
    <w:p w14:paraId="36FA1633">
      <w:pPr>
        <w:spacing w:line="580" w:lineRule="exact"/>
        <w:ind w:firstLine="640"/>
        <w:jc w:val="both"/>
      </w:pPr>
      <w:r>
        <w:rPr>
          <w:rFonts w:ascii="仿宋_GB2312" w:hAnsi="仿宋_GB2312" w:eastAsia="仿宋_GB2312"/>
          <w:b w:val="0"/>
          <w:sz w:val="32"/>
        </w:rPr>
        <w:t>3.住房保障支出(类)4.36万元,占6.92%。</w:t>
      </w:r>
    </w:p>
    <w:p w14:paraId="71452A4E">
      <w:pPr>
        <w:spacing w:line="640" w:lineRule="exact"/>
        <w:ind w:firstLine="640"/>
        <w:jc w:val="both"/>
        <w:outlineLvl w:val="3"/>
      </w:pPr>
      <w:r>
        <w:rPr>
          <w:rFonts w:ascii="楷体_GB2312" w:hAnsi="楷体_GB2312" w:eastAsia="楷体_GB2312"/>
          <w:b/>
          <w:sz w:val="32"/>
        </w:rPr>
        <w:t>（三）一般公共预算财政拨款支出决算具体情况</w:t>
      </w:r>
    </w:p>
    <w:p w14:paraId="02765C42">
      <w:pPr>
        <w:spacing w:line="580" w:lineRule="exact"/>
        <w:ind w:firstLine="640"/>
        <w:jc w:val="both"/>
      </w:pPr>
      <w:r>
        <w:rPr>
          <w:rFonts w:ascii="仿宋_GB2312" w:hAnsi="仿宋_GB2312" w:eastAsia="仿宋_GB2312"/>
          <w:b w:val="0"/>
          <w:sz w:val="32"/>
        </w:rPr>
        <w:t>1.社会保障和就业支出(类)行政事业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基本养老保险缴费支出(项):支出决算数为5.49万元，比上年决算减少0.62万元，下降10.15%,主要原因是：本年在职人员减少，</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基本养老保险缴费较上年减少。</w:t>
      </w:r>
    </w:p>
    <w:p w14:paraId="39D5C706">
      <w:pPr>
        <w:spacing w:line="580" w:lineRule="exact"/>
        <w:ind w:firstLine="640"/>
        <w:jc w:val="both"/>
      </w:pPr>
      <w:r>
        <w:rPr>
          <w:rFonts w:ascii="仿宋_GB2312" w:hAnsi="仿宋_GB2312" w:eastAsia="仿宋_GB2312"/>
          <w:b w:val="0"/>
          <w:sz w:val="32"/>
        </w:rPr>
        <w:t>2.社会保障和就业支出(类)行政事业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职业年金缴费支出(项):支出决算数为7.48万元，比上年决算增加7.48万元，增长100.00%,主要原因是：本年新增退休人员，职业年金缴费支出增加。</w:t>
      </w:r>
    </w:p>
    <w:p w14:paraId="2D6782D8">
      <w:pPr>
        <w:spacing w:line="580" w:lineRule="exact"/>
        <w:ind w:firstLine="640"/>
        <w:jc w:val="both"/>
      </w:pPr>
      <w:r>
        <w:rPr>
          <w:rFonts w:ascii="仿宋_GB2312" w:hAnsi="仿宋_GB2312" w:eastAsia="仿宋_GB2312"/>
          <w:b w:val="0"/>
          <w:sz w:val="32"/>
        </w:rPr>
        <w:t>3.社会保障和就业支出(类)红十字事业(款)行政运行(项):支出决算数为43.32万元，比上年决算减少5.16万元，下降10.64%,主要原因是：本年在职人员减少，相应人员经费较上年减少。</w:t>
      </w:r>
    </w:p>
    <w:p w14:paraId="08787FA1">
      <w:pPr>
        <w:spacing w:line="580" w:lineRule="exact"/>
        <w:ind w:firstLine="640"/>
        <w:jc w:val="both"/>
      </w:pPr>
      <w:r>
        <w:rPr>
          <w:rFonts w:ascii="仿宋_GB2312" w:hAnsi="仿宋_GB2312" w:eastAsia="仿宋_GB2312"/>
          <w:b w:val="0"/>
          <w:sz w:val="32"/>
        </w:rPr>
        <w:t>4.卫生健康支出(类)行政事业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医疗(项):支出决算数为2.24万元，比上年决算减少0.52万元，下降18.84%,主要原因是：本年在职人员减少，行政</w:t>
      </w:r>
      <w:r>
        <w:rPr>
          <w:rFonts w:hint="eastAsia" w:ascii="仿宋_GB2312" w:hAnsi="仿宋_GB2312" w:eastAsia="仿宋_GB2312"/>
          <w:b w:val="0"/>
          <w:sz w:val="32"/>
          <w:lang w:eastAsia="zh-CN"/>
        </w:rPr>
        <w:t>单位</w:t>
      </w:r>
      <w:r>
        <w:rPr>
          <w:rFonts w:ascii="仿宋_GB2312" w:hAnsi="仿宋_GB2312" w:eastAsia="仿宋_GB2312"/>
          <w:b w:val="0"/>
          <w:sz w:val="32"/>
        </w:rPr>
        <w:t>医疗支出较上年减少。</w:t>
      </w:r>
    </w:p>
    <w:p w14:paraId="0B6C5374">
      <w:pPr>
        <w:spacing w:line="580" w:lineRule="exact"/>
        <w:ind w:firstLine="640"/>
        <w:jc w:val="both"/>
      </w:pPr>
      <w:r>
        <w:rPr>
          <w:rFonts w:ascii="仿宋_GB2312" w:hAnsi="仿宋_GB2312" w:eastAsia="仿宋_GB2312"/>
          <w:b w:val="0"/>
          <w:sz w:val="32"/>
        </w:rPr>
        <w:t>5.卫生健康支出(类)行政事业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医疗(款)公务员医疗补助(项):支出决算数为0.07万元，比上年决算减少0.02万元，下降22.22%,主要原因是：本年在职人员减少，公务员医疗补助较上年减少。</w:t>
      </w:r>
    </w:p>
    <w:p w14:paraId="5E45B461">
      <w:pPr>
        <w:spacing w:line="580" w:lineRule="exact"/>
        <w:ind w:firstLine="640"/>
        <w:jc w:val="both"/>
      </w:pPr>
      <w:r>
        <w:rPr>
          <w:rFonts w:ascii="仿宋_GB2312" w:hAnsi="仿宋_GB2312" w:eastAsia="仿宋_GB2312"/>
          <w:b w:val="0"/>
          <w:sz w:val="32"/>
        </w:rPr>
        <w:t>6.卫生健康支出(类)行政事业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医疗支出(项):支出决算数为0.04万元，比上年决算减少0.02万元，下降33.33%,主要原因是：本年在职人员减少，工伤、失业保险缴费较上年减少。</w:t>
      </w:r>
    </w:p>
    <w:p w14:paraId="596F263B">
      <w:pPr>
        <w:spacing w:line="580" w:lineRule="exact"/>
        <w:ind w:firstLine="640"/>
        <w:jc w:val="both"/>
      </w:pPr>
      <w:r>
        <w:rPr>
          <w:rFonts w:ascii="仿宋_GB2312" w:hAnsi="仿宋_GB2312" w:eastAsia="仿宋_GB2312"/>
          <w:b w:val="0"/>
          <w:sz w:val="32"/>
        </w:rPr>
        <w:t>7.住房保障支出(类)住房改革支出(款)住房公积金(项):支出决算数为4.36万元，比上年决算减少0.46万元，下降9.54%,主要原因是：本年在职人员减少，住房公积金缴费较上年减少。</w:t>
      </w:r>
    </w:p>
    <w:p w14:paraId="46416932">
      <w:pPr>
        <w:spacing w:line="640" w:lineRule="exact"/>
        <w:ind w:firstLine="640"/>
        <w:jc w:val="both"/>
        <w:outlineLvl w:val="2"/>
      </w:pPr>
      <w:r>
        <w:rPr>
          <w:rFonts w:ascii="黑体" w:hAnsi="黑体" w:eastAsia="黑体"/>
          <w:sz w:val="32"/>
        </w:rPr>
        <w:t>六、一般公共预算财政拨款基本支出决算情况说明</w:t>
      </w:r>
    </w:p>
    <w:p w14:paraId="494DD949">
      <w:pPr>
        <w:spacing w:line="580" w:lineRule="exact"/>
        <w:ind w:firstLine="640"/>
        <w:jc w:val="both"/>
      </w:pPr>
      <w:r>
        <w:rPr>
          <w:rFonts w:ascii="仿宋_GB2312" w:hAnsi="仿宋_GB2312" w:eastAsia="仿宋_GB2312"/>
          <w:b w:val="0"/>
          <w:sz w:val="32"/>
        </w:rPr>
        <w:t>2024年度一般公共预算财政拨款基本支出63.00万元，其中：</w:t>
      </w:r>
      <w:r>
        <w:rPr>
          <w:rFonts w:ascii="仿宋_GB2312" w:hAnsi="仿宋_GB2312" w:eastAsia="仿宋_GB2312"/>
          <w:b/>
          <w:sz w:val="32"/>
        </w:rPr>
        <w:t>人员经费60.53万元，</w:t>
      </w:r>
      <w:r>
        <w:rPr>
          <w:rFonts w:ascii="仿宋_GB2312" w:hAnsi="仿宋_GB2312" w:eastAsia="仿宋_GB2312"/>
          <w:b w:val="0"/>
          <w:sz w:val="32"/>
        </w:rPr>
        <w:t>包括：基本工资、津贴补贴、奖金、机关事业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基本养老保险缴费、职业年金缴费、职工基本医疗保险缴费、公务员医疗补助缴费、其他社会保障缴费、住房公积金、退休费。</w:t>
      </w:r>
    </w:p>
    <w:p w14:paraId="74BEEB90">
      <w:pPr>
        <w:spacing w:line="580" w:lineRule="exact"/>
        <w:ind w:firstLine="640"/>
        <w:jc w:val="both"/>
      </w:pPr>
      <w:r>
        <w:rPr>
          <w:rFonts w:ascii="仿宋_GB2312" w:hAnsi="仿宋_GB2312" w:eastAsia="仿宋_GB2312"/>
          <w:b/>
          <w:sz w:val="32"/>
        </w:rPr>
        <w:t>公用经费2.47万元，</w:t>
      </w:r>
      <w:r>
        <w:rPr>
          <w:rFonts w:ascii="仿宋_GB2312" w:hAnsi="仿宋_GB2312" w:eastAsia="仿宋_GB2312"/>
          <w:b w:val="0"/>
          <w:sz w:val="32"/>
        </w:rPr>
        <w:t>包括：办公费、邮电费、差旅费、工会经费。</w:t>
      </w:r>
    </w:p>
    <w:p w14:paraId="7AE78422">
      <w:pPr>
        <w:spacing w:line="640" w:lineRule="exact"/>
        <w:ind w:firstLine="640"/>
        <w:jc w:val="both"/>
        <w:outlineLvl w:val="2"/>
      </w:pPr>
      <w:r>
        <w:rPr>
          <w:rFonts w:ascii="黑体" w:hAnsi="黑体" w:eastAsia="黑体"/>
          <w:sz w:val="32"/>
        </w:rPr>
        <w:t>七、政府性基金预算财政拨款收入支出决算情况说明</w:t>
      </w:r>
    </w:p>
    <w:p w14:paraId="1EC05E86">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39F29E85">
      <w:pPr>
        <w:spacing w:line="640" w:lineRule="exact"/>
        <w:ind w:firstLine="640"/>
        <w:jc w:val="both"/>
        <w:outlineLvl w:val="2"/>
      </w:pPr>
      <w:r>
        <w:rPr>
          <w:rFonts w:ascii="黑体" w:hAnsi="黑体" w:eastAsia="黑体"/>
          <w:sz w:val="32"/>
        </w:rPr>
        <w:t>八、国有资本经营预算财政拨款收入支出决算情况说明</w:t>
      </w:r>
    </w:p>
    <w:p w14:paraId="07225B5B">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27E1C841">
      <w:pPr>
        <w:spacing w:line="640" w:lineRule="exact"/>
        <w:ind w:firstLine="640"/>
        <w:jc w:val="both"/>
        <w:outlineLvl w:val="2"/>
      </w:pPr>
      <w:r>
        <w:rPr>
          <w:rFonts w:ascii="黑体" w:hAnsi="黑体" w:eastAsia="黑体"/>
          <w:sz w:val="32"/>
        </w:rPr>
        <w:t>九、财政拨款“三公”经费支出决算情况说明</w:t>
      </w:r>
    </w:p>
    <w:p w14:paraId="0DC8E4BA">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21875A2C">
      <w:pPr>
        <w:spacing w:line="580" w:lineRule="exact"/>
        <w:ind w:firstLine="640"/>
        <w:jc w:val="both"/>
      </w:pPr>
      <w:r>
        <w:rPr>
          <w:rFonts w:ascii="仿宋_GB2312" w:hAnsi="仿宋_GB2312" w:eastAsia="仿宋_GB2312"/>
          <w:b/>
          <w:sz w:val="32"/>
        </w:rPr>
        <w:t>具体情况如下：</w:t>
      </w:r>
    </w:p>
    <w:p w14:paraId="61B0D87E">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45D69691">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无公务用车运行维护费。公务用车购置数0辆，公务用车保有量0辆。国有资产占用情况中固定资产</w:t>
      </w:r>
      <w:r>
        <w:rPr>
          <w:rFonts w:ascii="仿宋_GB2312" w:hAnsi="仿宋_GB2312" w:eastAsia="仿宋_GB2312"/>
          <w:b w:val="0"/>
          <w:w w:val="97"/>
          <w:sz w:val="32"/>
        </w:rPr>
        <w:t>车辆0辆，与公务用车保有量差异原因是：本</w:t>
      </w:r>
      <w:r>
        <w:rPr>
          <w:rFonts w:hint="eastAsia" w:ascii="仿宋_GB2312" w:hAnsi="仿宋_GB2312" w:eastAsia="仿宋_GB2312"/>
          <w:b w:val="0"/>
          <w:w w:val="97"/>
          <w:sz w:val="32"/>
          <w:lang w:eastAsia="zh-CN"/>
        </w:rPr>
        <w:t>单位</w:t>
      </w:r>
      <w:r>
        <w:rPr>
          <w:rFonts w:ascii="仿宋_GB2312" w:hAnsi="仿宋_GB2312" w:eastAsia="仿宋_GB2312"/>
          <w:b w:val="0"/>
          <w:w w:val="97"/>
          <w:sz w:val="32"/>
        </w:rPr>
        <w:t>无固定资产车辆。</w:t>
      </w:r>
    </w:p>
    <w:p w14:paraId="5DD01F6A">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386E9E0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无财政拨款“三公”经费支出。其中：因公出国（境）费全年预算数0.00万元，决算数0.00万元，预决算差异率0.00%，主要原因是：本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4C714A31">
      <w:pPr>
        <w:spacing w:line="640" w:lineRule="exact"/>
        <w:ind w:firstLine="640"/>
        <w:jc w:val="both"/>
        <w:outlineLvl w:val="2"/>
      </w:pPr>
      <w:r>
        <w:rPr>
          <w:rFonts w:ascii="黑体" w:hAnsi="黑体" w:eastAsia="黑体"/>
          <w:sz w:val="32"/>
        </w:rPr>
        <w:t>十、其他重要事项的情况说明</w:t>
      </w:r>
    </w:p>
    <w:p w14:paraId="55935A00">
      <w:pPr>
        <w:spacing w:line="640" w:lineRule="exact"/>
        <w:ind w:firstLine="640"/>
        <w:jc w:val="both"/>
        <w:outlineLvl w:val="3"/>
      </w:pPr>
      <w:r>
        <w:rPr>
          <w:rFonts w:ascii="楷体_GB2312" w:hAnsi="楷体_GB2312" w:eastAsia="楷体_GB2312"/>
          <w:b/>
          <w:sz w:val="32"/>
        </w:rPr>
        <w:t>（一）机关运行经费及公用经费支出情况</w:t>
      </w:r>
    </w:p>
    <w:p w14:paraId="721FDE7C">
      <w:pPr>
        <w:spacing w:line="580" w:lineRule="exact"/>
        <w:ind w:firstLine="640"/>
        <w:jc w:val="both"/>
      </w:pPr>
      <w:r>
        <w:rPr>
          <w:rFonts w:ascii="仿宋_GB2312" w:hAnsi="仿宋_GB2312" w:eastAsia="仿宋_GB2312"/>
          <w:b w:val="0"/>
          <w:sz w:val="32"/>
        </w:rPr>
        <w:t>2024年度特克斯县红十字会（行政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和参照公务员法管理事业</w:t>
      </w:r>
      <w:r>
        <w:rPr>
          <w:rFonts w:hint="eastAsia" w:ascii="仿宋_GB2312" w:hAnsi="仿宋_GB2312" w:eastAsia="仿宋_GB2312"/>
          <w:b w:val="0"/>
          <w:sz w:val="32"/>
          <w:lang w:eastAsia="zh-CN"/>
        </w:rPr>
        <w:t>单位</w:t>
      </w:r>
      <w:r>
        <w:rPr>
          <w:rFonts w:ascii="仿宋_GB2312" w:hAnsi="仿宋_GB2312" w:eastAsia="仿宋_GB2312"/>
          <w:b w:val="0"/>
          <w:sz w:val="32"/>
        </w:rPr>
        <w:t>）机关运行经费支出2.47万元，比上年增加1.21万元，增长96.03%，主要原因是：本年更新、维护补充办公用品，导致机关运行经费较上年增加。</w:t>
      </w:r>
    </w:p>
    <w:p w14:paraId="2554656A">
      <w:pPr>
        <w:spacing w:line="640" w:lineRule="exact"/>
        <w:ind w:firstLine="640"/>
        <w:jc w:val="both"/>
        <w:outlineLvl w:val="3"/>
      </w:pPr>
      <w:r>
        <w:rPr>
          <w:rFonts w:ascii="楷体_GB2312" w:hAnsi="楷体_GB2312" w:eastAsia="楷体_GB2312"/>
          <w:b/>
          <w:sz w:val="32"/>
        </w:rPr>
        <w:t>（二）政府采购情况</w:t>
      </w:r>
    </w:p>
    <w:p w14:paraId="28933508">
      <w:pPr>
        <w:spacing w:line="580" w:lineRule="exact"/>
        <w:ind w:firstLine="640"/>
        <w:jc w:val="both"/>
      </w:pPr>
      <w:r>
        <w:rPr>
          <w:rFonts w:ascii="仿宋_GB2312" w:hAnsi="仿宋_GB2312" w:eastAsia="仿宋_GB2312"/>
          <w:b w:val="0"/>
          <w:sz w:val="32"/>
        </w:rPr>
        <w:t>2024年度政府采购支出总额2.58万元，其中：政府采购货物支出1.37万元、政府采购工程支出0.00万元、政府采购服务支出1.21万元。</w:t>
      </w:r>
    </w:p>
    <w:p w14:paraId="699321D9">
      <w:pPr>
        <w:spacing w:line="580" w:lineRule="exact"/>
        <w:ind w:firstLine="640"/>
        <w:jc w:val="both"/>
      </w:pPr>
      <w:r>
        <w:rPr>
          <w:rFonts w:ascii="仿宋_GB2312" w:hAnsi="仿宋_GB2312" w:eastAsia="仿宋_GB2312"/>
          <w:b w:val="0"/>
          <w:sz w:val="32"/>
        </w:rPr>
        <w:t>授予中小企业合同金额2.58万元，占政府采购支出总额的100.00%，其中：授予小微企业合同金额2.58万元，占政府采购支出总额的100.00%。</w:t>
      </w:r>
    </w:p>
    <w:p w14:paraId="33B742C1">
      <w:pPr>
        <w:spacing w:line="640" w:lineRule="exact"/>
        <w:ind w:firstLine="640"/>
        <w:jc w:val="both"/>
        <w:outlineLvl w:val="3"/>
      </w:pPr>
      <w:r>
        <w:rPr>
          <w:rFonts w:ascii="楷体_GB2312" w:hAnsi="楷体_GB2312" w:eastAsia="楷体_GB2312"/>
          <w:b/>
          <w:sz w:val="32"/>
        </w:rPr>
        <w:t>（三）国有资产占用情况说明</w:t>
      </w:r>
    </w:p>
    <w:p w14:paraId="7A436C18">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w:t>
      </w:r>
      <w:r>
        <w:rPr>
          <w:rFonts w:hint="eastAsia" w:ascii="仿宋_GB2312" w:hAnsi="仿宋_GB2312" w:eastAsia="仿宋_GB2312"/>
          <w:b w:val="0"/>
          <w:sz w:val="32"/>
          <w:lang w:eastAsia="zh-CN"/>
        </w:rPr>
        <w:t>单位</w:t>
      </w:r>
      <w:r>
        <w:rPr>
          <w:rFonts w:ascii="仿宋_GB2312" w:hAnsi="仿宋_GB2312" w:eastAsia="仿宋_GB2312"/>
          <w:b w:val="0"/>
          <w:sz w:val="32"/>
        </w:rPr>
        <w:t>无其他用车。单价100万元（含）以上设备（不含车辆）0台（套）。</w:t>
      </w:r>
    </w:p>
    <w:p w14:paraId="5C0D7A68">
      <w:pPr>
        <w:spacing w:line="640" w:lineRule="exact"/>
        <w:ind w:firstLine="640"/>
        <w:jc w:val="both"/>
        <w:outlineLvl w:val="2"/>
      </w:pPr>
      <w:r>
        <w:rPr>
          <w:rFonts w:ascii="黑体" w:hAnsi="黑体" w:eastAsia="黑体"/>
          <w:sz w:val="32"/>
        </w:rPr>
        <w:t>十一、预算绩效的情况说明</w:t>
      </w:r>
    </w:p>
    <w:p w14:paraId="0D8E5D42">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81.67万元，实际执行总额81.67万元；预算绩效评价项目1个，全年预算数0.67万元，全年执行数0.67万元。预算绩效管理取得的成效：一是预算绩效管理基本制度框架不断完善；二是全方位预算绩效管理加快推动；三是预算和绩效管理一体化不断推进。发现的问题及原因：一是绩效管理和预算管理工作没有结合起来，预算管理年初预算数与全年执行数有差距，预算调整较多，对绩效管理认识不足；二是绩效管理不够细化明确，对绩效监控组织、管理、实施方式等思路了解不够深入，不透彻。下一步改进措施：加强新行政</w:t>
      </w:r>
      <w:r>
        <w:rPr>
          <w:rFonts w:hint="eastAsia" w:ascii="仿宋_GB2312" w:hAnsi="仿宋_GB2312" w:eastAsia="仿宋_GB2312"/>
          <w:b w:val="0"/>
          <w:sz w:val="32"/>
          <w:lang w:eastAsia="zh-CN"/>
        </w:rPr>
        <w:t>单位</w:t>
      </w:r>
      <w:r>
        <w:rPr>
          <w:rFonts w:ascii="仿宋_GB2312" w:hAnsi="仿宋_GB2312" w:eastAsia="仿宋_GB2312"/>
          <w:b w:val="0"/>
          <w:sz w:val="32"/>
        </w:rPr>
        <w:t>会计制度和新预算法学习培训、规范账务处理，加强新《中华人民共和国预算法》《行政</w:t>
      </w:r>
      <w:r>
        <w:rPr>
          <w:rFonts w:hint="eastAsia" w:ascii="仿宋_GB2312" w:hAnsi="仿宋_GB2312" w:eastAsia="仿宋_GB2312"/>
          <w:b w:val="0"/>
          <w:sz w:val="32"/>
          <w:lang w:eastAsia="zh-CN"/>
        </w:rPr>
        <w:t>单位</w:t>
      </w:r>
      <w:r>
        <w:rPr>
          <w:rFonts w:ascii="仿宋_GB2312" w:hAnsi="仿宋_GB2312" w:eastAsia="仿宋_GB2312"/>
          <w:b w:val="0"/>
          <w:sz w:val="32"/>
        </w:rPr>
        <w:t>会计制度》《</w:t>
      </w:r>
      <w:r>
        <w:rPr>
          <w:rFonts w:hint="eastAsia" w:ascii="仿宋_GB2312" w:hAnsi="仿宋_GB2312" w:eastAsia="仿宋_GB2312"/>
          <w:b w:val="0"/>
          <w:sz w:val="32"/>
          <w:lang w:eastAsia="zh-CN"/>
        </w:rPr>
        <w:t>中华人民共和国会计法</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财务规则》等学习培训，规范部门预算收支核算。制定和完善基本支出、项目支出等各项支出标准，严格按项目进度执行预算，增强预算的约束力和严肃性。落实预算执行分析，及时了解预算执行差异，合理调整、纠正预算执行偏差，切实提高部门预算收支管理水平，尽可能地做到决算与预算相衔接。加强学习，进一步明确如何参照考核体系，科学合理设定绩效目标，充分发挥预算绩效管理工作效用。具体附整体支出绩效自评表，项目支出绩效自评表和评价报告。</w:t>
      </w:r>
    </w:p>
    <w:p w14:paraId="2929D7AB">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53383DB6">
        <w:tblPrEx>
          <w:tblCellMar>
            <w:top w:w="0" w:type="dxa"/>
            <w:left w:w="108" w:type="dxa"/>
            <w:bottom w:w="0" w:type="dxa"/>
            <w:right w:w="108" w:type="dxa"/>
          </w:tblCellMar>
        </w:tblPrEx>
        <w:tc>
          <w:tcPr>
            <w:tcW w:w="8840" w:type="dxa"/>
            <w:gridSpan w:val="8"/>
            <w:vAlign w:val="center"/>
          </w:tcPr>
          <w:p w14:paraId="249EC0C0">
            <w:pPr>
              <w:jc w:val="center"/>
            </w:pPr>
            <w:r>
              <w:rPr>
                <w:rFonts w:hint="eastAsia" w:ascii="宋体" w:hAnsi="宋体"/>
                <w:sz w:val="24"/>
                <w:lang w:eastAsia="zh-CN"/>
              </w:rPr>
              <w:t>单位</w:t>
            </w:r>
            <w:r>
              <w:rPr>
                <w:rFonts w:ascii="宋体" w:hAnsi="宋体" w:eastAsia="宋体"/>
                <w:sz w:val="24"/>
              </w:rPr>
              <w:t>整体支出绩效自评表</w:t>
            </w:r>
          </w:p>
        </w:tc>
      </w:tr>
      <w:tr w14:paraId="6675B4E5">
        <w:tblPrEx>
          <w:tblCellMar>
            <w:top w:w="0" w:type="dxa"/>
            <w:left w:w="108" w:type="dxa"/>
            <w:bottom w:w="0" w:type="dxa"/>
            <w:right w:w="108" w:type="dxa"/>
          </w:tblCellMar>
        </w:tblPrEx>
        <w:tc>
          <w:tcPr>
            <w:tcW w:w="8840" w:type="dxa"/>
            <w:gridSpan w:val="8"/>
            <w:vAlign w:val="center"/>
          </w:tcPr>
          <w:p w14:paraId="600E3683">
            <w:pPr>
              <w:jc w:val="center"/>
            </w:pPr>
            <w:r>
              <w:rPr>
                <w:rFonts w:ascii="宋体" w:hAnsi="宋体" w:eastAsia="宋体"/>
                <w:sz w:val="24"/>
              </w:rPr>
              <w:t>（2024年度）</w:t>
            </w:r>
          </w:p>
        </w:tc>
      </w:tr>
      <w:tr w14:paraId="010BD1B9">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E2312A">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CE4AC3">
            <w:pPr>
              <w:jc w:val="center"/>
            </w:pPr>
            <w:r>
              <w:rPr>
                <w:rFonts w:ascii="宋体" w:hAnsi="宋体" w:eastAsia="宋体"/>
                <w:sz w:val="16"/>
              </w:rPr>
              <w:t>特克斯县红十字会</w:t>
            </w:r>
          </w:p>
        </w:tc>
      </w:tr>
      <w:tr w14:paraId="61EBA20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4CF175">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997270">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71E797">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D36863">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47EBE0">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CD0C2F">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C3FA12">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90C430">
            <w:pPr>
              <w:jc w:val="center"/>
            </w:pPr>
            <w:r>
              <w:rPr>
                <w:rFonts w:ascii="宋体" w:hAnsi="宋体" w:eastAsia="宋体"/>
                <w:sz w:val="16"/>
              </w:rPr>
              <w:t>得分</w:t>
            </w:r>
          </w:p>
        </w:tc>
      </w:tr>
      <w:tr w14:paraId="7A04AFA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6E90D1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441714">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8F9EFE">
            <w:pPr>
              <w:jc w:val="center"/>
            </w:pPr>
            <w:r>
              <w:rPr>
                <w:rFonts w:ascii="宋体" w:hAnsi="宋体" w:eastAsia="宋体"/>
                <w:sz w:val="16"/>
              </w:rPr>
              <w:t>69.49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0F8EA1">
            <w:pPr>
              <w:jc w:val="center"/>
            </w:pPr>
            <w:r>
              <w:rPr>
                <w:rFonts w:ascii="宋体" w:hAnsi="宋体" w:eastAsia="宋体"/>
                <w:sz w:val="16"/>
              </w:rPr>
              <w:t>81.67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C62EA5">
            <w:pPr>
              <w:jc w:val="center"/>
            </w:pPr>
            <w:r>
              <w:rPr>
                <w:rFonts w:ascii="宋体" w:hAnsi="宋体" w:eastAsia="宋体"/>
                <w:sz w:val="16"/>
              </w:rPr>
              <w:t>81.67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B94758">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A6DFA3">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090B27">
            <w:pPr>
              <w:jc w:val="center"/>
            </w:pPr>
            <w:r>
              <w:rPr>
                <w:rFonts w:ascii="宋体" w:hAnsi="宋体" w:eastAsia="宋体"/>
                <w:sz w:val="16"/>
              </w:rPr>
              <w:t>10</w:t>
            </w:r>
          </w:p>
        </w:tc>
      </w:tr>
      <w:tr w14:paraId="45A9423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5EAD41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95470F">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587A51">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6506D3">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2637A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A8786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90791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E5560E">
            <w:pPr>
              <w:jc w:val="center"/>
            </w:pPr>
            <w:r>
              <w:rPr>
                <w:rFonts w:ascii="宋体" w:hAnsi="宋体" w:eastAsia="宋体"/>
                <w:sz w:val="16"/>
              </w:rPr>
              <w:t>-</w:t>
            </w:r>
          </w:p>
        </w:tc>
      </w:tr>
      <w:tr w14:paraId="1206B3B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BAD05E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5568AE">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FA0BA9">
            <w:pPr>
              <w:jc w:val="center"/>
            </w:pPr>
            <w:r>
              <w:rPr>
                <w:rFonts w:ascii="宋体" w:hAnsi="宋体" w:eastAsia="宋体"/>
                <w:sz w:val="16"/>
              </w:rPr>
              <w:t>66.49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2DC11E">
            <w:pPr>
              <w:jc w:val="center"/>
            </w:pPr>
            <w:r>
              <w:rPr>
                <w:rFonts w:ascii="宋体" w:hAnsi="宋体" w:eastAsia="宋体"/>
                <w:sz w:val="16"/>
              </w:rPr>
              <w:t>63.00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4D945C">
            <w:pPr>
              <w:jc w:val="center"/>
            </w:pPr>
            <w:r>
              <w:rPr>
                <w:rFonts w:ascii="宋体" w:hAnsi="宋体" w:eastAsia="宋体"/>
                <w:sz w:val="16"/>
              </w:rPr>
              <w:t>63.00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388EE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256CB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BBDDCF">
            <w:pPr>
              <w:jc w:val="center"/>
            </w:pPr>
            <w:r>
              <w:rPr>
                <w:rFonts w:ascii="宋体" w:hAnsi="宋体" w:eastAsia="宋体"/>
                <w:sz w:val="16"/>
              </w:rPr>
              <w:t>-</w:t>
            </w:r>
          </w:p>
        </w:tc>
      </w:tr>
      <w:tr w14:paraId="4F0B340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7262EC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4B85D7">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F79CD0">
            <w:pPr>
              <w:jc w:val="center"/>
            </w:pPr>
            <w:r>
              <w:rPr>
                <w:rFonts w:ascii="宋体" w:hAnsi="宋体" w:eastAsia="宋体"/>
                <w:sz w:val="16"/>
              </w:rPr>
              <w:t>3.00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1595B4">
            <w:pPr>
              <w:jc w:val="center"/>
            </w:pPr>
            <w:r>
              <w:rPr>
                <w:rFonts w:ascii="宋体" w:hAnsi="宋体" w:eastAsia="宋体"/>
                <w:sz w:val="16"/>
              </w:rPr>
              <w:t>18.67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BC37D1">
            <w:pPr>
              <w:jc w:val="center"/>
            </w:pPr>
            <w:r>
              <w:rPr>
                <w:rFonts w:ascii="宋体" w:hAnsi="宋体" w:eastAsia="宋体"/>
                <w:sz w:val="16"/>
              </w:rPr>
              <w:t>18.67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36CB9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3DB4E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0DDE1B">
            <w:pPr>
              <w:jc w:val="center"/>
            </w:pPr>
            <w:r>
              <w:rPr>
                <w:rFonts w:ascii="宋体" w:hAnsi="宋体" w:eastAsia="宋体"/>
                <w:sz w:val="16"/>
              </w:rPr>
              <w:t>-</w:t>
            </w:r>
          </w:p>
        </w:tc>
      </w:tr>
      <w:tr w14:paraId="6756E35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154726">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68CE017">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8A12325">
            <w:pPr>
              <w:jc w:val="center"/>
            </w:pPr>
            <w:r>
              <w:rPr>
                <w:rFonts w:ascii="宋体" w:hAnsi="宋体" w:eastAsia="宋体"/>
                <w:sz w:val="16"/>
              </w:rPr>
              <w:t>实际完成情况</w:t>
            </w:r>
          </w:p>
        </w:tc>
      </w:tr>
      <w:tr w14:paraId="25C4C05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D2E7D40"/>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9087AE9">
            <w:pPr>
              <w:jc w:val="both"/>
            </w:pPr>
            <w:r>
              <w:rPr>
                <w:rFonts w:ascii="宋体" w:hAnsi="宋体" w:eastAsia="宋体"/>
                <w:sz w:val="16"/>
              </w:rPr>
              <w:t>贯彻落实红十字会法及章程1.开展应急救护培训，普及应急救护、防灾避险和卫生健康知识，组织志愿者参与现场救护；2.参与、推动无偿献血、遗体和人体器官捐献工作；3.积极</w:t>
            </w:r>
            <w:r>
              <w:rPr>
                <w:rFonts w:hint="eastAsia" w:ascii="宋体" w:hAnsi="宋体"/>
                <w:sz w:val="16"/>
                <w:lang w:eastAsia="zh-CN"/>
              </w:rPr>
              <w:t>参</w:t>
            </w:r>
            <w:r>
              <w:rPr>
                <w:rFonts w:ascii="宋体" w:hAnsi="宋体" w:eastAsia="宋体"/>
                <w:sz w:val="16"/>
              </w:rPr>
              <w:t>与“中华造血干细胞捐献者资料分库”宣传、采集、登记工作。</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D799C4B">
            <w:pPr>
              <w:jc w:val="both"/>
            </w:pPr>
            <w:r>
              <w:rPr>
                <w:rFonts w:ascii="宋体" w:hAnsi="宋体" w:eastAsia="宋体"/>
                <w:sz w:val="16"/>
              </w:rPr>
              <w:t>2024年普及应急救护知识2000人次</w:t>
            </w:r>
            <w:r>
              <w:rPr>
                <w:rFonts w:hint="eastAsia" w:ascii="宋体" w:hAnsi="宋体"/>
                <w:sz w:val="16"/>
                <w:lang w:eastAsia="zh-CN"/>
              </w:rPr>
              <w:t>，</w:t>
            </w:r>
            <w:r>
              <w:rPr>
                <w:rFonts w:ascii="宋体" w:hAnsi="宋体" w:eastAsia="宋体"/>
                <w:sz w:val="16"/>
              </w:rPr>
              <w:t>完成应急救护员培训200人，通过完成应急救护知识的普及以及救护员的培训，让更多的群众掌握自救的知识积极开展造血干细胞宣传动员活动2次共计采集人数20人，通过造血干细胞采集入库，加大中华骨髓库的容量，提高患有白血病病人的匹配率，遗体和人体器官捐献宣传活动不少于3次，通过遗体和人体器官捐献宣传，让更多的人去了解红十字</w:t>
            </w:r>
            <w:r>
              <w:rPr>
                <w:rFonts w:hint="eastAsia" w:ascii="宋体" w:hAnsi="宋体"/>
                <w:sz w:val="16"/>
                <w:lang w:eastAsia="zh-CN"/>
              </w:rPr>
              <w:t>这份</w:t>
            </w:r>
            <w:r>
              <w:rPr>
                <w:rFonts w:ascii="宋体" w:hAnsi="宋体" w:eastAsia="宋体"/>
                <w:sz w:val="16"/>
              </w:rPr>
              <w:t>事业，并可以自愿</w:t>
            </w:r>
            <w:r>
              <w:rPr>
                <w:rFonts w:hint="eastAsia" w:ascii="宋体" w:hAnsi="宋体"/>
                <w:sz w:val="16"/>
                <w:lang w:eastAsia="zh-CN"/>
              </w:rPr>
              <w:t>地</w:t>
            </w:r>
            <w:r>
              <w:rPr>
                <w:rFonts w:ascii="宋体" w:hAnsi="宋体" w:eastAsia="宋体"/>
                <w:sz w:val="16"/>
              </w:rPr>
              <w:t>捐献遗体及器官。</w:t>
            </w:r>
          </w:p>
        </w:tc>
      </w:tr>
      <w:tr w14:paraId="1C687E8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716975">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1832F1">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913809">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5668CA">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7C7336">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745244">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A58FCC">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72E136">
            <w:pPr>
              <w:jc w:val="center"/>
            </w:pPr>
            <w:r>
              <w:rPr>
                <w:rFonts w:ascii="宋体" w:hAnsi="宋体" w:eastAsia="宋体"/>
                <w:sz w:val="16"/>
              </w:rPr>
              <w:t>得分</w:t>
            </w:r>
          </w:p>
        </w:tc>
      </w:tr>
      <w:tr w14:paraId="358CD5B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7E277D">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A9C851">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BE5BCC">
            <w:pPr>
              <w:jc w:val="center"/>
            </w:pPr>
            <w:r>
              <w:rPr>
                <w:rFonts w:ascii="宋体" w:hAnsi="宋体" w:eastAsia="宋体"/>
                <w:sz w:val="16"/>
              </w:rPr>
              <w:t>开展应急救护知识普及培训人数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642B4C">
            <w:pPr>
              <w:jc w:val="center"/>
            </w:pPr>
            <w:r>
              <w:rPr>
                <w:rFonts w:ascii="宋体" w:hAnsi="宋体" w:eastAsia="宋体"/>
                <w:sz w:val="16"/>
              </w:rPr>
              <w:t>&gt;=2000人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0A1FCB">
            <w:pPr>
              <w:jc w:val="center"/>
            </w:pPr>
            <w:r>
              <w:rPr>
                <w:rFonts w:ascii="宋体" w:hAnsi="宋体" w:eastAsia="宋体"/>
                <w:sz w:val="16"/>
              </w:rPr>
              <w:t>特克斯县红十字会2024年工作计划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116398">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5F39AB">
            <w:pPr>
              <w:jc w:val="center"/>
            </w:pPr>
            <w:r>
              <w:rPr>
                <w:rFonts w:ascii="宋体" w:hAnsi="宋体" w:eastAsia="宋体"/>
                <w:sz w:val="16"/>
              </w:rPr>
              <w:t>2000人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4427C8">
            <w:pPr>
              <w:jc w:val="center"/>
            </w:pPr>
            <w:r>
              <w:rPr>
                <w:rFonts w:ascii="宋体" w:hAnsi="宋体" w:eastAsia="宋体"/>
                <w:sz w:val="16"/>
              </w:rPr>
              <w:t>18</w:t>
            </w:r>
          </w:p>
        </w:tc>
      </w:tr>
      <w:tr w14:paraId="0B9433C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F17227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82A3A4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4A3BD1">
            <w:pPr>
              <w:jc w:val="center"/>
            </w:pPr>
            <w:r>
              <w:rPr>
                <w:rFonts w:ascii="宋体" w:hAnsi="宋体" w:eastAsia="宋体"/>
                <w:sz w:val="16"/>
              </w:rPr>
              <w:t>造血干细胞血样采集入库</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DEAA05">
            <w:pPr>
              <w:jc w:val="center"/>
            </w:pPr>
            <w:r>
              <w:rPr>
                <w:rFonts w:ascii="宋体" w:hAnsi="宋体" w:eastAsia="宋体"/>
                <w:sz w:val="16"/>
              </w:rPr>
              <w:t>&gt;=20人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C15364">
            <w:pPr>
              <w:jc w:val="center"/>
            </w:pPr>
            <w:r>
              <w:rPr>
                <w:rFonts w:ascii="宋体" w:hAnsi="宋体" w:eastAsia="宋体"/>
                <w:sz w:val="16"/>
              </w:rPr>
              <w:t>特克斯县红十字会2024年工作计划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49949D">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BD9B19">
            <w:pPr>
              <w:jc w:val="center"/>
            </w:pPr>
            <w:r>
              <w:rPr>
                <w:rFonts w:ascii="宋体" w:hAnsi="宋体" w:eastAsia="宋体"/>
                <w:sz w:val="16"/>
              </w:rPr>
              <w:t>20人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E5F924">
            <w:pPr>
              <w:jc w:val="center"/>
            </w:pPr>
            <w:r>
              <w:rPr>
                <w:rFonts w:ascii="宋体" w:hAnsi="宋体" w:eastAsia="宋体"/>
                <w:sz w:val="16"/>
              </w:rPr>
              <w:t>18</w:t>
            </w:r>
          </w:p>
        </w:tc>
      </w:tr>
      <w:tr w14:paraId="4DDEA5A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D366CA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F4897D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847434">
            <w:pPr>
              <w:jc w:val="center"/>
            </w:pPr>
            <w:r>
              <w:rPr>
                <w:rFonts w:ascii="宋体" w:hAnsi="宋体" w:eastAsia="宋体"/>
                <w:sz w:val="16"/>
              </w:rPr>
              <w:t>造血干细胞捐献宣传活动次数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EC0163">
            <w:pPr>
              <w:jc w:val="center"/>
            </w:pPr>
            <w:r>
              <w:rPr>
                <w:rFonts w:ascii="宋体" w:hAnsi="宋体" w:eastAsia="宋体"/>
                <w:sz w:val="16"/>
              </w:rPr>
              <w:t>&gt;=2次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34B6CA">
            <w:pPr>
              <w:jc w:val="center"/>
            </w:pPr>
            <w:r>
              <w:rPr>
                <w:rFonts w:ascii="宋体" w:hAnsi="宋体" w:eastAsia="宋体"/>
                <w:sz w:val="16"/>
              </w:rPr>
              <w:t>特克斯县红十字会2024年工作计划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B8CFAB">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0B3004">
            <w:pPr>
              <w:jc w:val="center"/>
            </w:pPr>
            <w:r>
              <w:rPr>
                <w:rFonts w:ascii="宋体" w:hAnsi="宋体" w:eastAsia="宋体"/>
                <w:sz w:val="16"/>
              </w:rPr>
              <w: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508A90">
            <w:pPr>
              <w:jc w:val="center"/>
            </w:pPr>
            <w:r>
              <w:rPr>
                <w:rFonts w:ascii="宋体" w:hAnsi="宋体" w:eastAsia="宋体"/>
                <w:sz w:val="16"/>
              </w:rPr>
              <w:t>18</w:t>
            </w:r>
          </w:p>
        </w:tc>
      </w:tr>
      <w:tr w14:paraId="2CDA8BF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C46281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68C01E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C61991">
            <w:pPr>
              <w:jc w:val="center"/>
            </w:pPr>
            <w:r>
              <w:rPr>
                <w:rFonts w:ascii="宋体" w:hAnsi="宋体" w:eastAsia="宋体"/>
                <w:sz w:val="16"/>
              </w:rPr>
              <w:t>开展应急救护员培训人数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924F43">
            <w:pPr>
              <w:jc w:val="center"/>
            </w:pPr>
            <w:r>
              <w:rPr>
                <w:rFonts w:ascii="宋体" w:hAnsi="宋体" w:eastAsia="宋体"/>
                <w:sz w:val="16"/>
              </w:rPr>
              <w:t>&gt;=200人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02B9EE">
            <w:pPr>
              <w:jc w:val="center"/>
            </w:pPr>
            <w:r>
              <w:rPr>
                <w:rFonts w:ascii="宋体" w:hAnsi="宋体" w:eastAsia="宋体"/>
                <w:sz w:val="16"/>
              </w:rPr>
              <w:t>特克斯县红十字会2024年工作计划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917375">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03E747">
            <w:pPr>
              <w:jc w:val="center"/>
            </w:pPr>
            <w:r>
              <w:rPr>
                <w:rFonts w:ascii="宋体" w:hAnsi="宋体" w:eastAsia="宋体"/>
                <w:sz w:val="16"/>
              </w:rPr>
              <w:t>200人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F80248">
            <w:pPr>
              <w:jc w:val="center"/>
            </w:pPr>
            <w:r>
              <w:rPr>
                <w:rFonts w:ascii="宋体" w:hAnsi="宋体" w:eastAsia="宋体"/>
                <w:sz w:val="16"/>
              </w:rPr>
              <w:t>18</w:t>
            </w:r>
          </w:p>
        </w:tc>
      </w:tr>
      <w:tr w14:paraId="04D6D40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FCAF6C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FD317A">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768328">
            <w:pPr>
              <w:jc w:val="center"/>
            </w:pPr>
            <w:r>
              <w:rPr>
                <w:rFonts w:ascii="宋体" w:hAnsi="宋体" w:eastAsia="宋体"/>
                <w:sz w:val="16"/>
              </w:rPr>
              <w:t>无偿献血、遗体和人体器官捐献宣传活动次数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163A68">
            <w:pPr>
              <w:jc w:val="center"/>
            </w:pPr>
            <w:r>
              <w:rPr>
                <w:rFonts w:ascii="宋体" w:hAnsi="宋体" w:eastAsia="宋体"/>
                <w:sz w:val="16"/>
              </w:rPr>
              <w:t>&gt;=3次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D436B9">
            <w:pPr>
              <w:jc w:val="center"/>
            </w:pPr>
            <w:r>
              <w:rPr>
                <w:rFonts w:ascii="宋体" w:hAnsi="宋体" w:eastAsia="宋体"/>
                <w:sz w:val="16"/>
              </w:rPr>
              <w:t>特克斯县红十字会2024年工作计划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2DF4CD">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D036CF">
            <w:pPr>
              <w:jc w:val="center"/>
            </w:pPr>
            <w:r>
              <w:rPr>
                <w:rFonts w:ascii="宋体" w:hAnsi="宋体" w:eastAsia="宋体"/>
                <w:sz w:val="16"/>
              </w:rPr>
              <w:t>3次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779AF1">
            <w:pPr>
              <w:jc w:val="center"/>
            </w:pPr>
            <w:r>
              <w:rPr>
                <w:rFonts w:ascii="宋体" w:hAnsi="宋体" w:eastAsia="宋体"/>
                <w:sz w:val="16"/>
              </w:rPr>
              <w:t>18</w:t>
            </w:r>
          </w:p>
        </w:tc>
      </w:tr>
    </w:tbl>
    <w:p w14:paraId="32F3017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33AEA443">
        <w:tblPrEx>
          <w:tblCellMar>
            <w:top w:w="0" w:type="dxa"/>
            <w:left w:w="108" w:type="dxa"/>
            <w:bottom w:w="0" w:type="dxa"/>
            <w:right w:w="108" w:type="dxa"/>
          </w:tblCellMar>
        </w:tblPrEx>
        <w:tc>
          <w:tcPr>
            <w:tcW w:w="8848" w:type="dxa"/>
            <w:gridSpan w:val="14"/>
            <w:vAlign w:val="center"/>
          </w:tcPr>
          <w:p w14:paraId="78C66038">
            <w:pPr>
              <w:jc w:val="center"/>
            </w:pPr>
            <w:r>
              <w:rPr>
                <w:rFonts w:ascii="宋体" w:hAnsi="宋体" w:eastAsia="宋体"/>
                <w:sz w:val="24"/>
              </w:rPr>
              <w:t>项目支出绩效自评表</w:t>
            </w:r>
          </w:p>
        </w:tc>
      </w:tr>
      <w:tr w14:paraId="4E5560D3">
        <w:tblPrEx>
          <w:tblCellMar>
            <w:top w:w="0" w:type="dxa"/>
            <w:left w:w="108" w:type="dxa"/>
            <w:bottom w:w="0" w:type="dxa"/>
            <w:right w:w="108" w:type="dxa"/>
          </w:tblCellMar>
        </w:tblPrEx>
        <w:tc>
          <w:tcPr>
            <w:tcW w:w="8848" w:type="dxa"/>
            <w:gridSpan w:val="14"/>
            <w:vAlign w:val="center"/>
          </w:tcPr>
          <w:p w14:paraId="4AB3FE93">
            <w:pPr>
              <w:jc w:val="center"/>
            </w:pPr>
            <w:r>
              <w:rPr>
                <w:rFonts w:ascii="宋体" w:hAnsi="宋体" w:eastAsia="宋体"/>
                <w:sz w:val="24"/>
              </w:rPr>
              <w:t>(2024年度)</w:t>
            </w:r>
          </w:p>
        </w:tc>
      </w:tr>
      <w:tr w14:paraId="333ACC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7C3B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5AB2530">
            <w:pPr>
              <w:jc w:val="center"/>
            </w:pPr>
            <w:r>
              <w:rPr>
                <w:rFonts w:ascii="宋体" w:hAnsi="宋体" w:eastAsia="宋体"/>
                <w:sz w:val="16"/>
              </w:rPr>
              <w:t>2023年特克斯县红十字会第一次会员代表大会会议项目</w:t>
            </w:r>
          </w:p>
        </w:tc>
      </w:tr>
      <w:tr w14:paraId="56C880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A6EC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B51DB6">
            <w:pPr>
              <w:jc w:val="center"/>
            </w:pPr>
            <w:r>
              <w:rPr>
                <w:rFonts w:ascii="宋体" w:hAnsi="宋体" w:eastAsia="宋体"/>
                <w:sz w:val="16"/>
              </w:rPr>
              <w:t>特克斯县红十字会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6676E">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884031">
            <w:pPr>
              <w:jc w:val="center"/>
            </w:pPr>
            <w:r>
              <w:rPr>
                <w:rFonts w:ascii="宋体" w:hAnsi="宋体" w:eastAsia="宋体"/>
                <w:sz w:val="16"/>
              </w:rPr>
              <w:t>特克斯县红十字会</w:t>
            </w:r>
          </w:p>
        </w:tc>
      </w:tr>
      <w:tr w14:paraId="2971B4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6F4A6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89F2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7BCF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BA75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9748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DA07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0D32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B6D5A">
            <w:pPr>
              <w:jc w:val="center"/>
            </w:pPr>
            <w:r>
              <w:rPr>
                <w:rFonts w:ascii="宋体" w:hAnsi="宋体" w:eastAsia="宋体"/>
                <w:sz w:val="16"/>
              </w:rPr>
              <w:t>得分</w:t>
            </w:r>
          </w:p>
        </w:tc>
      </w:tr>
      <w:tr w14:paraId="7A80C6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64B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1B0F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87CF4">
            <w:pPr>
              <w:jc w:val="center"/>
            </w:pPr>
            <w:r>
              <w:rPr>
                <w:rFonts w:ascii="宋体" w:hAnsi="宋体" w:eastAsia="宋体"/>
                <w:sz w:val="16"/>
              </w:rPr>
              <w:t>0.67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292C9">
            <w:pPr>
              <w:jc w:val="center"/>
            </w:pPr>
            <w:r>
              <w:rPr>
                <w:rFonts w:ascii="宋体" w:hAnsi="宋体" w:eastAsia="宋体"/>
                <w:sz w:val="16"/>
              </w:rPr>
              <w:t>0.67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7D080">
            <w:pPr>
              <w:jc w:val="center"/>
            </w:pPr>
            <w:r>
              <w:rPr>
                <w:rFonts w:ascii="宋体" w:hAnsi="宋体" w:eastAsia="宋体"/>
                <w:sz w:val="16"/>
              </w:rPr>
              <w:t>0.67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614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7104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188F7">
            <w:pPr>
              <w:jc w:val="center"/>
            </w:pPr>
            <w:r>
              <w:rPr>
                <w:rFonts w:ascii="宋体" w:hAnsi="宋体" w:eastAsia="宋体"/>
                <w:sz w:val="16"/>
              </w:rPr>
              <w:t>10.00</w:t>
            </w:r>
          </w:p>
        </w:tc>
      </w:tr>
      <w:tr w14:paraId="446C7C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E10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A2CD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736CC">
            <w:pPr>
              <w:jc w:val="center"/>
            </w:pPr>
            <w:r>
              <w:rPr>
                <w:rFonts w:ascii="宋体" w:hAnsi="宋体" w:eastAsia="宋体"/>
                <w:sz w:val="16"/>
              </w:rPr>
              <w:t>0.67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26F92">
            <w:pPr>
              <w:jc w:val="center"/>
            </w:pPr>
            <w:r>
              <w:rPr>
                <w:rFonts w:ascii="宋体" w:hAnsi="宋体" w:eastAsia="宋体"/>
                <w:sz w:val="16"/>
              </w:rPr>
              <w:t>0.67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865DC">
            <w:pPr>
              <w:jc w:val="center"/>
            </w:pPr>
            <w:r>
              <w:rPr>
                <w:rFonts w:ascii="宋体" w:hAnsi="宋体" w:eastAsia="宋体"/>
                <w:sz w:val="16"/>
              </w:rPr>
              <w:t>0.67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078F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177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CCF4F">
            <w:pPr>
              <w:jc w:val="center"/>
            </w:pPr>
            <w:r>
              <w:rPr>
                <w:rFonts w:ascii="宋体" w:hAnsi="宋体" w:eastAsia="宋体"/>
                <w:sz w:val="16"/>
              </w:rPr>
              <w:t>—</w:t>
            </w:r>
          </w:p>
        </w:tc>
      </w:tr>
      <w:tr w14:paraId="05BE57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AA5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3D55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70C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4B8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9E5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AEF7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F3B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CF090">
            <w:pPr>
              <w:jc w:val="center"/>
            </w:pPr>
            <w:r>
              <w:rPr>
                <w:rFonts w:ascii="宋体" w:hAnsi="宋体" w:eastAsia="宋体"/>
                <w:sz w:val="16"/>
              </w:rPr>
              <w:t>—</w:t>
            </w:r>
          </w:p>
        </w:tc>
      </w:tr>
      <w:tr w14:paraId="784C55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98BCC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552C0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05ACE2">
            <w:pPr>
              <w:jc w:val="center"/>
            </w:pPr>
            <w:r>
              <w:rPr>
                <w:rFonts w:ascii="宋体" w:hAnsi="宋体" w:eastAsia="宋体"/>
                <w:sz w:val="16"/>
              </w:rPr>
              <w:t>实际完成情况</w:t>
            </w:r>
          </w:p>
        </w:tc>
      </w:tr>
      <w:tr w14:paraId="6A4C3E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2BBD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8C5476">
            <w:pPr>
              <w:jc w:val="both"/>
            </w:pPr>
            <w:r>
              <w:rPr>
                <w:rFonts w:ascii="宋体" w:hAnsi="宋体" w:eastAsia="宋体"/>
                <w:sz w:val="16"/>
              </w:rPr>
              <w:t>根据《关于要求下拨特克斯县红十字会第一次会员代表大会会议经费的请示》特红字</w:t>
            </w:r>
            <w:r>
              <w:rPr>
                <w:rFonts w:hint="eastAsia" w:ascii="宋体" w:hAnsi="宋体"/>
                <w:sz w:val="16"/>
                <w:lang w:eastAsia="zh-CN"/>
              </w:rPr>
              <w:t>〔2024〕6号</w:t>
            </w:r>
            <w:r>
              <w:rPr>
                <w:rFonts w:ascii="宋体" w:hAnsi="宋体" w:eastAsia="宋体"/>
                <w:sz w:val="16"/>
              </w:rPr>
              <w:t>文。制作工作证、代表证100个，制作代表手册90份，制作横幅1条，购买软皮本90个，制作会徽1个，打印会议材料90份。通过召开会员代表大会能够凝聚社会各界的力量，推动红十字事业的发展，通过大会可以动员更多的社会资源，增强红十字会在人道领域的公信力和影响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A3EE2F">
            <w:pPr>
              <w:jc w:val="both"/>
            </w:pPr>
            <w:r>
              <w:rPr>
                <w:rFonts w:ascii="宋体" w:hAnsi="宋体" w:eastAsia="宋体"/>
                <w:sz w:val="16"/>
              </w:rPr>
              <w:t>召开特克斯县红十字会第一次会员代表大会，制作横幅10个，购买文件包100个，制作展板10个，</w:t>
            </w:r>
          </w:p>
        </w:tc>
      </w:tr>
      <w:tr w14:paraId="4722DF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7F50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7F51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52C5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D6EA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3DB0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2D69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B68C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651D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AADC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1783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C639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9579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9FC0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A6BC4">
            <w:pPr>
              <w:jc w:val="center"/>
            </w:pPr>
            <w:r>
              <w:rPr>
                <w:rFonts w:ascii="宋体" w:hAnsi="宋体" w:eastAsia="宋体"/>
                <w:sz w:val="16"/>
              </w:rPr>
              <w:t>偏差原因分析及改进措施</w:t>
            </w:r>
          </w:p>
        </w:tc>
      </w:tr>
      <w:tr w14:paraId="11133E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2961E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3846F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BEDA8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7971B">
            <w:pPr>
              <w:jc w:val="center"/>
            </w:pPr>
            <w:r>
              <w:rPr>
                <w:rFonts w:ascii="宋体" w:hAnsi="宋体" w:eastAsia="宋体"/>
                <w:sz w:val="16"/>
              </w:rPr>
              <w:t>制作代表证、工作证数量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6AE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6D263">
            <w:pPr>
              <w:jc w:val="center"/>
            </w:pPr>
            <w:r>
              <w:rPr>
                <w:rFonts w:ascii="宋体" w:hAnsi="宋体" w:eastAsia="宋体"/>
                <w:sz w:val="16"/>
              </w:rPr>
              <w:t>&gt;=100个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8B9C0">
            <w:pPr>
              <w:jc w:val="center"/>
            </w:pPr>
            <w:r>
              <w:rPr>
                <w:rFonts w:ascii="宋体" w:hAnsi="宋体" w:eastAsia="宋体"/>
                <w:sz w:val="16"/>
              </w:rPr>
              <w:t>100个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F0B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C9F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FC2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11A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948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087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28560">
            <w:pPr>
              <w:jc w:val="center"/>
            </w:pPr>
          </w:p>
        </w:tc>
      </w:tr>
      <w:tr w14:paraId="7FEE25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292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406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566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D3B4A">
            <w:pPr>
              <w:jc w:val="center"/>
            </w:pPr>
            <w:r>
              <w:rPr>
                <w:rFonts w:ascii="宋体" w:hAnsi="宋体" w:eastAsia="宋体"/>
                <w:sz w:val="16"/>
              </w:rPr>
              <w:t>制作代表手册数量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06E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66739">
            <w:pPr>
              <w:jc w:val="center"/>
            </w:pPr>
            <w:r>
              <w:rPr>
                <w:rFonts w:ascii="宋体" w:hAnsi="宋体" w:eastAsia="宋体"/>
                <w:sz w:val="16"/>
              </w:rPr>
              <w:t>&gt;=90个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8A4E0">
            <w:pPr>
              <w:jc w:val="center"/>
            </w:pPr>
            <w:r>
              <w:rPr>
                <w:rFonts w:ascii="宋体" w:hAnsi="宋体" w:eastAsia="宋体"/>
                <w:sz w:val="16"/>
              </w:rPr>
              <w:t>90个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C98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D12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3FE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0FE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4CC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AAA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48B86">
            <w:pPr>
              <w:jc w:val="center"/>
            </w:pPr>
          </w:p>
        </w:tc>
      </w:tr>
      <w:tr w14:paraId="5D069E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09E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E6E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9AD9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93B76">
            <w:pPr>
              <w:jc w:val="center"/>
            </w:pPr>
            <w:r>
              <w:rPr>
                <w:rFonts w:ascii="宋体" w:hAnsi="宋体" w:eastAsia="宋体"/>
                <w:sz w:val="16"/>
              </w:rPr>
              <w:t>资金支付准确率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BD4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972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F4C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589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731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A55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56D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C06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C407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151CD">
            <w:pPr>
              <w:jc w:val="center"/>
            </w:pPr>
          </w:p>
        </w:tc>
      </w:tr>
      <w:tr w14:paraId="237498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005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06F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0364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92ACE">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872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D4E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E7D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CBB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BA9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03A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0E4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887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069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33206">
            <w:pPr>
              <w:jc w:val="center"/>
            </w:pPr>
          </w:p>
        </w:tc>
      </w:tr>
      <w:tr w14:paraId="1618F5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4EDE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A69B3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D361F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AD908">
            <w:pPr>
              <w:jc w:val="center"/>
            </w:pPr>
            <w:r>
              <w:rPr>
                <w:rFonts w:ascii="宋体" w:hAnsi="宋体" w:eastAsia="宋体"/>
                <w:sz w:val="16"/>
              </w:rPr>
              <w:t>代表证、工作证制作经费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379B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9805A">
            <w:pPr>
              <w:jc w:val="center"/>
            </w:pPr>
            <w:r>
              <w:rPr>
                <w:rFonts w:ascii="宋体" w:hAnsi="宋体" w:eastAsia="宋体"/>
                <w:sz w:val="16"/>
              </w:rPr>
              <w:t>&lt;=1000元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5AE57">
            <w:pPr>
              <w:jc w:val="center"/>
            </w:pPr>
            <w:r>
              <w:rPr>
                <w:rFonts w:ascii="宋体" w:hAnsi="宋体" w:eastAsia="宋体"/>
                <w:sz w:val="16"/>
              </w:rPr>
              <w:t>1000元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8AA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D96A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B17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1B5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B73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493F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41F00">
            <w:pPr>
              <w:jc w:val="center"/>
            </w:pPr>
          </w:p>
        </w:tc>
      </w:tr>
      <w:tr w14:paraId="1B1723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C72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8CF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DC8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30118">
            <w:pPr>
              <w:jc w:val="center"/>
            </w:pPr>
            <w:r>
              <w:rPr>
                <w:rFonts w:ascii="宋体" w:hAnsi="宋体" w:eastAsia="宋体"/>
                <w:sz w:val="16"/>
              </w:rPr>
              <w:t>代表手册、代表文件袋费用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3923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F5A21">
            <w:pPr>
              <w:jc w:val="center"/>
            </w:pPr>
            <w:r>
              <w:rPr>
                <w:rFonts w:ascii="宋体" w:hAnsi="宋体" w:eastAsia="宋体"/>
                <w:sz w:val="16"/>
              </w:rPr>
              <w:t>&lt;=1800元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C8280">
            <w:pPr>
              <w:jc w:val="center"/>
            </w:pPr>
            <w:r>
              <w:rPr>
                <w:rFonts w:ascii="宋体" w:hAnsi="宋体" w:eastAsia="宋体"/>
                <w:sz w:val="16"/>
              </w:rPr>
              <w:t>1800元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856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6412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559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424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ECB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4BD6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04B05">
            <w:pPr>
              <w:jc w:val="center"/>
            </w:pPr>
          </w:p>
        </w:tc>
      </w:tr>
      <w:tr w14:paraId="287CA0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10D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66F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32C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CACD5">
            <w:pPr>
              <w:jc w:val="center"/>
            </w:pPr>
            <w:r>
              <w:rPr>
                <w:rFonts w:ascii="宋体" w:hAnsi="宋体" w:eastAsia="宋体"/>
                <w:sz w:val="16"/>
              </w:rPr>
              <w:t>会议材料经费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C51B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46129">
            <w:pPr>
              <w:jc w:val="center"/>
            </w:pPr>
            <w:r>
              <w:rPr>
                <w:rFonts w:ascii="宋体" w:hAnsi="宋体" w:eastAsia="宋体"/>
                <w:sz w:val="16"/>
              </w:rPr>
              <w:t>&lt;=3900元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967AF">
            <w:pPr>
              <w:jc w:val="center"/>
            </w:pPr>
            <w:r>
              <w:rPr>
                <w:rFonts w:ascii="宋体" w:hAnsi="宋体" w:eastAsia="宋体"/>
                <w:sz w:val="16"/>
              </w:rPr>
              <w:t>3900元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E89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A6E0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DF3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7B4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65F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BC8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AE54F">
            <w:pPr>
              <w:jc w:val="center"/>
            </w:pPr>
          </w:p>
        </w:tc>
      </w:tr>
      <w:tr w14:paraId="4E48E7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540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7647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C552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0D8D1">
            <w:pPr>
              <w:jc w:val="center"/>
            </w:pPr>
            <w:r>
              <w:rPr>
                <w:rFonts w:ascii="宋体" w:hAnsi="宋体" w:eastAsia="宋体"/>
                <w:sz w:val="16"/>
              </w:rPr>
              <w:t>推动代表大会顺利进行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60E7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E9B47">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8F41C">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04F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CD87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0D9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6B9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BDFF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A8F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58B00">
            <w:pPr>
              <w:jc w:val="center"/>
            </w:pPr>
          </w:p>
        </w:tc>
      </w:tr>
      <w:tr w14:paraId="752A96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167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E751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18B4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5E8E4">
            <w:pPr>
              <w:jc w:val="center"/>
            </w:pPr>
            <w:r>
              <w:rPr>
                <w:rFonts w:ascii="宋体" w:hAnsi="宋体" w:eastAsia="宋体"/>
                <w:sz w:val="16"/>
              </w:rPr>
              <w:t>代表人员满意度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C9E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C383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DC0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FE30C">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846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2D0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831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0DD5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F29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7F195">
            <w:pPr>
              <w:jc w:val="center"/>
            </w:pPr>
            <w:r>
              <w:rPr>
                <w:rFonts w:ascii="宋体" w:hAnsi="宋体" w:eastAsia="宋体"/>
                <w:sz w:val="16"/>
              </w:rPr>
              <w:t>此次会议顺利召开，设定不精准，下一步将精准严格设定目标值</w:t>
            </w:r>
          </w:p>
        </w:tc>
      </w:tr>
      <w:tr w14:paraId="0CF4657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4D34C0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A98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2EDB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8A6C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BF60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EB13A">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E340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58A46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AE45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1931E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7F672E"/>
        </w:tc>
      </w:tr>
    </w:tbl>
    <w:p w14:paraId="253B8A5D">
      <w:r>
        <w:br w:type="page"/>
      </w:r>
    </w:p>
    <w:p w14:paraId="5CF68D50">
      <w:pPr>
        <w:spacing w:line="640" w:lineRule="exact"/>
        <w:ind w:firstLine="640"/>
        <w:jc w:val="both"/>
        <w:outlineLvl w:val="2"/>
      </w:pPr>
      <w:r>
        <w:rPr>
          <w:rFonts w:ascii="黑体" w:hAnsi="黑体" w:eastAsia="黑体"/>
          <w:sz w:val="32"/>
        </w:rPr>
        <w:t>十二、其他需说明的事项</w:t>
      </w:r>
    </w:p>
    <w:p w14:paraId="18CBE482">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57A09FFE">
      <w:r>
        <w:br w:type="page"/>
      </w:r>
    </w:p>
    <w:p w14:paraId="18497B2F">
      <w:pPr>
        <w:spacing w:line="240" w:lineRule="auto"/>
        <w:jc w:val="center"/>
        <w:outlineLvl w:val="1"/>
      </w:pPr>
      <w:r>
        <w:rPr>
          <w:rFonts w:ascii="黑体" w:hAnsi="黑体" w:eastAsia="黑体"/>
          <w:sz w:val="32"/>
        </w:rPr>
        <w:t>第三部分 专业名词解释</w:t>
      </w:r>
    </w:p>
    <w:p w14:paraId="7646E9C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5FBFAC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061DE8F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71A9429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42E4D07E">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17FCFE0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4B5022F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AE8725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BA5FFA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F39276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F8A888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68CF0DC6">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40896DB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2982D4C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3E3AE21C">
      <w:r>
        <w:br w:type="page"/>
      </w:r>
    </w:p>
    <w:p w14:paraId="452719E6">
      <w:pPr>
        <w:spacing w:line="240" w:lineRule="auto"/>
        <w:jc w:val="center"/>
        <w:outlineLvl w:val="1"/>
      </w:pPr>
      <w:r>
        <w:rPr>
          <w:rFonts w:ascii="黑体" w:hAnsi="黑体" w:eastAsia="黑体"/>
          <w:sz w:val="32"/>
        </w:rPr>
        <w:t>第四部分 部门决算报表（见附表）</w:t>
      </w:r>
    </w:p>
    <w:p w14:paraId="10A18B6E">
      <w:pPr>
        <w:spacing w:line="240" w:lineRule="auto"/>
        <w:ind w:firstLine="640"/>
        <w:jc w:val="both"/>
      </w:pPr>
      <w:r>
        <w:rPr>
          <w:rFonts w:ascii="仿宋_GB2312" w:hAnsi="仿宋_GB2312" w:eastAsia="仿宋_GB2312"/>
          <w:b w:val="0"/>
          <w:sz w:val="32"/>
        </w:rPr>
        <w:t>一、《收入支出决算总表》</w:t>
      </w:r>
    </w:p>
    <w:p w14:paraId="2577CBE0">
      <w:pPr>
        <w:spacing w:line="240" w:lineRule="auto"/>
        <w:ind w:firstLine="640"/>
        <w:jc w:val="both"/>
      </w:pPr>
      <w:r>
        <w:rPr>
          <w:rFonts w:ascii="仿宋_GB2312" w:hAnsi="仿宋_GB2312" w:eastAsia="仿宋_GB2312"/>
          <w:b w:val="0"/>
          <w:sz w:val="32"/>
        </w:rPr>
        <w:t>二、《收入决算表》</w:t>
      </w:r>
    </w:p>
    <w:p w14:paraId="025036D6">
      <w:pPr>
        <w:spacing w:line="240" w:lineRule="auto"/>
        <w:ind w:firstLine="640"/>
        <w:jc w:val="both"/>
      </w:pPr>
      <w:r>
        <w:rPr>
          <w:rFonts w:ascii="仿宋_GB2312" w:hAnsi="仿宋_GB2312" w:eastAsia="仿宋_GB2312"/>
          <w:b w:val="0"/>
          <w:sz w:val="32"/>
        </w:rPr>
        <w:t>三、《支出决算表》</w:t>
      </w:r>
    </w:p>
    <w:p w14:paraId="6B5482DB">
      <w:pPr>
        <w:spacing w:line="240" w:lineRule="auto"/>
        <w:ind w:firstLine="640"/>
        <w:jc w:val="both"/>
      </w:pPr>
      <w:r>
        <w:rPr>
          <w:rFonts w:ascii="仿宋_GB2312" w:hAnsi="仿宋_GB2312" w:eastAsia="仿宋_GB2312"/>
          <w:b w:val="0"/>
          <w:sz w:val="32"/>
        </w:rPr>
        <w:t>四、《财政拨款收入支出决算总表》</w:t>
      </w:r>
    </w:p>
    <w:p w14:paraId="55BD1235">
      <w:pPr>
        <w:spacing w:line="240" w:lineRule="auto"/>
        <w:ind w:firstLine="640"/>
        <w:jc w:val="both"/>
      </w:pPr>
      <w:r>
        <w:rPr>
          <w:rFonts w:ascii="仿宋_GB2312" w:hAnsi="仿宋_GB2312" w:eastAsia="仿宋_GB2312"/>
          <w:b w:val="0"/>
          <w:sz w:val="32"/>
        </w:rPr>
        <w:t>五、《一般公共预算财政拨款支出决算表》</w:t>
      </w:r>
    </w:p>
    <w:p w14:paraId="44B3C537">
      <w:pPr>
        <w:spacing w:line="240" w:lineRule="auto"/>
        <w:ind w:firstLine="640"/>
        <w:jc w:val="both"/>
      </w:pPr>
      <w:r>
        <w:rPr>
          <w:rFonts w:ascii="仿宋_GB2312" w:hAnsi="仿宋_GB2312" w:eastAsia="仿宋_GB2312"/>
          <w:b w:val="0"/>
          <w:sz w:val="32"/>
        </w:rPr>
        <w:t>六、《一般公共预算财政拨款基本支出决算表》</w:t>
      </w:r>
    </w:p>
    <w:p w14:paraId="64BF4F86">
      <w:pPr>
        <w:spacing w:line="240" w:lineRule="auto"/>
        <w:ind w:firstLine="640"/>
        <w:jc w:val="both"/>
      </w:pPr>
      <w:r>
        <w:rPr>
          <w:rFonts w:ascii="仿宋_GB2312" w:hAnsi="仿宋_GB2312" w:eastAsia="仿宋_GB2312"/>
          <w:b w:val="0"/>
          <w:sz w:val="32"/>
        </w:rPr>
        <w:t>七、《政府性基金预算财政拨款收入支出决算表》</w:t>
      </w:r>
    </w:p>
    <w:p w14:paraId="27CD54B2">
      <w:pPr>
        <w:spacing w:line="240" w:lineRule="auto"/>
        <w:ind w:firstLine="640"/>
        <w:jc w:val="both"/>
      </w:pPr>
      <w:r>
        <w:rPr>
          <w:rFonts w:ascii="仿宋_GB2312" w:hAnsi="仿宋_GB2312" w:eastAsia="仿宋_GB2312"/>
          <w:b w:val="0"/>
          <w:sz w:val="32"/>
        </w:rPr>
        <w:t>八、《国有资本经营预算财政拨款收入支出决算表》</w:t>
      </w:r>
    </w:p>
    <w:p w14:paraId="3240D1F4">
      <w:pPr>
        <w:spacing w:line="240" w:lineRule="auto"/>
        <w:ind w:firstLine="640"/>
        <w:jc w:val="both"/>
      </w:pPr>
      <w:r>
        <w:rPr>
          <w:rFonts w:ascii="仿宋_GB2312" w:hAnsi="仿宋_GB2312" w:eastAsia="仿宋_GB2312"/>
          <w:b w:val="0"/>
          <w:sz w:val="32"/>
        </w:rPr>
        <w:t>九、《财政拨款“三公”经费支出决算表》</w:t>
      </w:r>
    </w:p>
    <w:p w14:paraId="2B134A70">
      <w:pPr>
        <w:spacing w:line="240" w:lineRule="auto"/>
        <w:ind w:firstLine="640"/>
        <w:jc w:val="both"/>
      </w:pPr>
    </w:p>
    <w:p w14:paraId="054085BD">
      <w:pPr>
        <w:spacing w:line="240" w:lineRule="auto"/>
        <w:ind w:firstLine="640"/>
        <w:jc w:val="both"/>
      </w:pPr>
    </w:p>
    <w:p w14:paraId="1048A2AD">
      <w:pPr>
        <w:spacing w:line="240" w:lineRule="auto"/>
        <w:ind w:firstLine="640"/>
        <w:jc w:val="both"/>
      </w:pPr>
    </w:p>
    <w:p w14:paraId="20BFBC46">
      <w:pPr>
        <w:spacing w:line="240" w:lineRule="auto"/>
        <w:ind w:firstLine="640"/>
        <w:jc w:val="both"/>
      </w:pPr>
    </w:p>
    <w:p w14:paraId="7F35238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1E5490A"/>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4252FEA"/>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4551</Words>
  <Characters>5146</Characters>
  <Lines>0</Lines>
  <Paragraphs>0</Paragraphs>
  <TotalTime>1</TotalTime>
  <ScaleCrop>false</ScaleCrop>
  <LinksUpToDate>false</LinksUpToDate>
  <CharactersWithSpaces>5154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2025-08-28T09:43:23Z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