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中共特克斯县委老干部局2024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B7EE369">
      <w:r>
        <w:br w:type="page"/>
      </w:r>
    </w:p>
    <w:p w14:paraId="51C070F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2204168">
      <w:pPr>
        <w:spacing w:line="640" w:lineRule="exact"/>
        <w:ind w:firstLine="640"/>
        <w:jc w:val="both"/>
        <w:outlineLvl w:val="2"/>
      </w:pPr>
      <w:r>
        <w:rPr>
          <w:rFonts w:ascii="黑体" w:hAnsi="黑体" w:eastAsia="黑体"/>
          <w:sz w:val="32"/>
        </w:rPr>
        <w:t>一、主要职能</w:t>
      </w:r>
    </w:p>
    <w:p w14:paraId="5A4760F5">
      <w:pPr>
        <w:spacing w:line="580" w:lineRule="exact"/>
        <w:ind w:firstLine="640"/>
        <w:jc w:val="both"/>
      </w:pPr>
      <w:r>
        <w:rPr>
          <w:rFonts w:ascii="仿宋_GB2312" w:hAnsi="仿宋_GB2312" w:eastAsia="仿宋_GB2312"/>
          <w:sz w:val="32"/>
        </w:rPr>
        <w:t>在县委精心指导下，特克斯县委老干部局全面贯彻党的二十大精神，坚持以习近平新时代中国特色社会主义思想为指引，认真贯彻落实自治区、州党委工作会议精神，坚持稳中求进工作总基调，坚持新发展理念，贯彻高质量发展要求，指导全县各</w:t>
      </w:r>
      <w:r>
        <w:rPr>
          <w:rFonts w:hint="eastAsia" w:ascii="仿宋_GB2312" w:hAnsi="仿宋_GB2312" w:eastAsia="仿宋_GB2312"/>
          <w:sz w:val="32"/>
          <w:lang w:eastAsia="zh-CN"/>
        </w:rPr>
        <w:t>单位</w:t>
      </w:r>
      <w:r>
        <w:rPr>
          <w:rFonts w:ascii="仿宋_GB2312" w:hAnsi="仿宋_GB2312" w:eastAsia="仿宋_GB2312"/>
          <w:sz w:val="32"/>
        </w:rPr>
        <w:t>落实老干部工作的方针、政策、规定，并对具体执行情况进行督促、检查；调查研究落实老干部政治待遇和生活待遇工作中存在的问题，并协调有关部门提出解决办法；指导老干部党支部建设和老干部思想政治工作、负责宣传老干部的历史功绩、现实作用和先进事迹，以及老干部工作的重要意义；引导老干部在新形势下发挥作用；总结老干部工作经验，表彰优秀老干部和老干部先进机构及个人；组织、指导老干部开展健康科学的文化健身、健康休养、参观宣州建设成就等活动；处理老干部来信来访；报告老干部工作信息；负责易地安置的老干部的服务和管理工作。较好地完成了全年各项目标任务。</w:t>
      </w:r>
    </w:p>
    <w:p w14:paraId="308252C9">
      <w:pPr>
        <w:spacing w:line="640" w:lineRule="exact"/>
        <w:ind w:firstLine="640"/>
        <w:jc w:val="both"/>
        <w:outlineLvl w:val="2"/>
      </w:pPr>
      <w:r>
        <w:rPr>
          <w:rFonts w:ascii="黑体" w:hAnsi="黑体" w:eastAsia="黑体"/>
          <w:sz w:val="32"/>
        </w:rPr>
        <w:t>二、机构设置及人员情况</w:t>
      </w:r>
    </w:p>
    <w:p w14:paraId="3EBE1154">
      <w:pPr>
        <w:spacing w:line="580" w:lineRule="exact"/>
        <w:ind w:firstLine="640"/>
        <w:jc w:val="both"/>
      </w:pPr>
      <w:r>
        <w:rPr>
          <w:rFonts w:ascii="仿宋_GB2312" w:hAnsi="仿宋_GB2312" w:eastAsia="仿宋_GB2312"/>
          <w:sz w:val="32"/>
        </w:rPr>
        <w:t>中共特克斯县委老干部局2024年度，实有人数16人，其中：在职人员8人，减少2人；离休人员2人，减少6人；退休人员6人,增加0人。</w:t>
      </w:r>
    </w:p>
    <w:p w14:paraId="50BB28EA">
      <w:pPr>
        <w:spacing w:line="580" w:lineRule="exact"/>
        <w:ind w:firstLine="640"/>
        <w:jc w:val="both"/>
      </w:pPr>
      <w:r>
        <w:rPr>
          <w:rFonts w:ascii="仿宋_GB2312" w:hAnsi="仿宋_GB2312" w:eastAsia="仿宋_GB2312"/>
          <w:sz w:val="32"/>
        </w:rPr>
        <w:t>中共特克斯县委老干部局无下属预算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，下设2个科室，分别是：办公室、财务室。</w:t>
      </w:r>
    </w:p>
    <w:p w14:paraId="5739B996">
      <w:r>
        <w:br w:type="page"/>
      </w:r>
    </w:p>
    <w:p w14:paraId="7C8297F0">
      <w:pPr>
        <w:spacing w:line="240" w:lineRule="auto"/>
        <w:jc w:val="center"/>
        <w:outlineLvl w:val="1"/>
      </w:pPr>
      <w:r>
        <w:rPr>
          <w:rFonts w:ascii="黑体" w:hAnsi="黑体" w:eastAsia="黑体"/>
          <w:sz w:val="32"/>
        </w:rPr>
        <w:t>第二部分 部门决算情况说明</w:t>
      </w:r>
    </w:p>
    <w:p w14:paraId="59DE4E2F">
      <w:pPr>
        <w:spacing w:line="640" w:lineRule="exact"/>
        <w:ind w:firstLine="640"/>
        <w:jc w:val="both"/>
        <w:outlineLvl w:val="2"/>
      </w:pPr>
      <w:r>
        <w:rPr>
          <w:rFonts w:ascii="黑体" w:hAnsi="黑体" w:eastAsia="黑体"/>
          <w:sz w:val="32"/>
        </w:rPr>
        <w:t>一、收入支出决算总体情况说明</w:t>
      </w:r>
    </w:p>
    <w:p w14:paraId="472E09AA">
      <w:pPr>
        <w:spacing w:line="580" w:lineRule="exact"/>
        <w:ind w:firstLine="640"/>
        <w:jc w:val="both"/>
      </w:pPr>
      <w:r>
        <w:rPr>
          <w:rFonts w:ascii="仿宋_GB2312" w:hAnsi="仿宋_GB2312" w:eastAsia="仿宋_GB2312"/>
          <w:b/>
          <w:sz w:val="32"/>
        </w:rPr>
        <w:t>2024年度收入总计349.54万元，</w:t>
      </w:r>
      <w:r>
        <w:rPr>
          <w:rFonts w:ascii="仿宋_GB2312" w:hAnsi="仿宋_GB2312" w:eastAsia="仿宋_GB2312"/>
          <w:b w:val="0"/>
          <w:sz w:val="32"/>
        </w:rPr>
        <w:t>其中：本年收入合计349.54万元，使用非财政拨款结余（含专用结余）0.00万元，年初结转和结余0.00万元。</w:t>
      </w:r>
    </w:p>
    <w:p w14:paraId="3BAD1E50">
      <w:pPr>
        <w:spacing w:line="580" w:lineRule="exact"/>
        <w:ind w:firstLine="640"/>
        <w:jc w:val="both"/>
      </w:pPr>
      <w:r>
        <w:rPr>
          <w:rFonts w:ascii="仿宋_GB2312" w:hAnsi="仿宋_GB2312" w:eastAsia="仿宋_GB2312"/>
          <w:b/>
          <w:sz w:val="32"/>
        </w:rPr>
        <w:t>2024年度支出总计349.54万元，</w:t>
      </w:r>
      <w:r>
        <w:rPr>
          <w:rFonts w:ascii="仿宋_GB2312" w:hAnsi="仿宋_GB2312" w:eastAsia="仿宋_GB2312"/>
          <w:b w:val="0"/>
          <w:sz w:val="32"/>
        </w:rPr>
        <w:t>其中：本年支出合计349.54万元，结余分配0.00万元，年末结转和结余0.00万元。</w:t>
      </w:r>
    </w:p>
    <w:p w14:paraId="4BBD55BC">
      <w:pPr>
        <w:spacing w:line="580" w:lineRule="exact"/>
        <w:ind w:firstLine="640"/>
        <w:jc w:val="both"/>
      </w:pPr>
      <w:r>
        <w:rPr>
          <w:rFonts w:ascii="仿宋_GB2312" w:hAnsi="仿宋_GB2312" w:eastAsia="仿宋_GB2312"/>
          <w:b w:val="0"/>
          <w:sz w:val="32"/>
        </w:rPr>
        <w:t>收入支出总体与上年相比，增加71.32万元，增长25.63%，主要原因是：本年新增退休、离休死亡人员，死亡抚恤金增加；增加特克斯县委组织部下拨基层党建补助经费等。</w:t>
      </w:r>
    </w:p>
    <w:p w14:paraId="48D4DDEF">
      <w:pPr>
        <w:spacing w:line="640" w:lineRule="exact"/>
        <w:ind w:firstLine="640"/>
        <w:jc w:val="both"/>
        <w:outlineLvl w:val="2"/>
      </w:pPr>
      <w:r>
        <w:rPr>
          <w:rFonts w:ascii="黑体" w:hAnsi="黑体" w:eastAsia="黑体"/>
          <w:sz w:val="32"/>
        </w:rPr>
        <w:t>二、收入决算情况说明</w:t>
      </w:r>
    </w:p>
    <w:p w14:paraId="04350B25">
      <w:pPr>
        <w:spacing w:line="580" w:lineRule="exact"/>
        <w:ind w:firstLine="640"/>
        <w:jc w:val="both"/>
      </w:pPr>
      <w:r>
        <w:rPr>
          <w:rFonts w:ascii="仿宋_GB2312" w:hAnsi="仿宋_GB2312" w:eastAsia="仿宋_GB2312"/>
          <w:b/>
          <w:sz w:val="32"/>
        </w:rPr>
        <w:t>本年收入349.54万元，</w:t>
      </w:r>
      <w:r>
        <w:rPr>
          <w:rFonts w:ascii="仿宋_GB2312" w:hAnsi="仿宋_GB2312" w:eastAsia="仿宋_GB2312"/>
          <w:b w:val="0"/>
          <w:sz w:val="32"/>
        </w:rPr>
        <w:t>其中：财政拨款收入339.77万元，占97.20%；上级补助收入0.00万元，占0.00%；事业收入0.00万元，占0.00%；经营收入0.00万元，占0.00%；附属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上缴收入0.00万元，占0.00%；其他收入9.77万元，占2.80%。</w:t>
      </w:r>
    </w:p>
    <w:p w14:paraId="73F35525">
      <w:pPr>
        <w:spacing w:line="640" w:lineRule="exact"/>
        <w:ind w:firstLine="640"/>
        <w:jc w:val="both"/>
        <w:outlineLvl w:val="2"/>
      </w:pPr>
      <w:r>
        <w:rPr>
          <w:rFonts w:ascii="黑体" w:hAnsi="黑体" w:eastAsia="黑体"/>
          <w:sz w:val="32"/>
        </w:rPr>
        <w:t>三、支出决算情况说明</w:t>
      </w:r>
    </w:p>
    <w:p w14:paraId="544B8740">
      <w:pPr>
        <w:spacing w:line="580" w:lineRule="exact"/>
        <w:ind w:firstLine="640"/>
        <w:jc w:val="both"/>
      </w:pPr>
      <w:r>
        <w:rPr>
          <w:rFonts w:ascii="仿宋_GB2312" w:hAnsi="仿宋_GB2312" w:eastAsia="仿宋_GB2312"/>
          <w:b/>
          <w:sz w:val="32"/>
        </w:rPr>
        <w:t>本年支出349.54万元，</w:t>
      </w:r>
      <w:r>
        <w:rPr>
          <w:rFonts w:ascii="仿宋_GB2312" w:hAnsi="仿宋_GB2312" w:eastAsia="仿宋_GB2312"/>
          <w:b w:val="0"/>
          <w:sz w:val="32"/>
        </w:rPr>
        <w:t>其中：基本支出349.54万元，占100.00%；项目支出0.00万元，占0.00%；上缴上级支出0.00万元，占0.00%；经营支出0.00万元，占0.00%；对附属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F490CB7">
      <w:pPr>
        <w:spacing w:line="640" w:lineRule="exact"/>
        <w:ind w:firstLine="640"/>
        <w:jc w:val="both"/>
        <w:outlineLvl w:val="2"/>
      </w:pPr>
      <w:r>
        <w:rPr>
          <w:rFonts w:ascii="黑体" w:hAnsi="黑体" w:eastAsia="黑体"/>
          <w:sz w:val="32"/>
        </w:rPr>
        <w:t>四、财政拨款收入支出决算总体情况说明</w:t>
      </w:r>
    </w:p>
    <w:p w14:paraId="58D6329D">
      <w:pPr>
        <w:spacing w:line="580" w:lineRule="exact"/>
        <w:ind w:firstLine="640"/>
        <w:jc w:val="both"/>
      </w:pPr>
      <w:r>
        <w:rPr>
          <w:rFonts w:ascii="仿宋_GB2312" w:hAnsi="仿宋_GB2312" w:eastAsia="仿宋_GB2312"/>
          <w:b/>
          <w:sz w:val="32"/>
        </w:rPr>
        <w:t>2024年度财政拨款收入总计339.77万元，</w:t>
      </w:r>
      <w:r>
        <w:rPr>
          <w:rFonts w:ascii="仿宋_GB2312" w:hAnsi="仿宋_GB2312" w:eastAsia="仿宋_GB2312"/>
          <w:b w:val="0"/>
          <w:sz w:val="32"/>
        </w:rPr>
        <w:t>其中：年初财政拨款结转和结余0.00万元，本年财政拨款收入339.77万元。</w:t>
      </w:r>
      <w:r>
        <w:rPr>
          <w:rFonts w:ascii="仿宋_GB2312" w:hAnsi="仿宋_GB2312" w:eastAsia="仿宋_GB2312"/>
          <w:b/>
          <w:sz w:val="32"/>
        </w:rPr>
        <w:t>财政拨款支出总计339.77万元，</w:t>
      </w:r>
      <w:r>
        <w:rPr>
          <w:rFonts w:ascii="仿宋_GB2312" w:hAnsi="仿宋_GB2312" w:eastAsia="仿宋_GB2312"/>
          <w:b w:val="0"/>
          <w:sz w:val="32"/>
        </w:rPr>
        <w:t>其中：年末财政拨款结转和结余0.00万元，本年财政拨款支出339.77万元。</w:t>
      </w:r>
    </w:p>
    <w:p w14:paraId="4F6A9D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增加61.55万元，增长22.12%，主要原因是：本年新增退休、离休死亡人员，死亡抚恤金增加。</w:t>
      </w:r>
      <w:r>
        <w:rPr>
          <w:rFonts w:ascii="仿宋_GB2312" w:hAnsi="仿宋_GB2312" w:eastAsia="仿宋_GB2312"/>
          <w:b/>
          <w:sz w:val="32"/>
        </w:rPr>
        <w:t>与年初预算相比，</w:t>
      </w:r>
      <w:r>
        <w:rPr>
          <w:rFonts w:ascii="仿宋_GB2312" w:hAnsi="仿宋_GB2312" w:eastAsia="仿宋_GB2312"/>
          <w:b w:val="0"/>
          <w:sz w:val="32"/>
        </w:rPr>
        <w:t>年初预算数259.23万元，决算数339.77万元，预决算差异率31.07%，主要原因是：年中追加人员工资、社保、公积金基数调增部分资金及死亡抚恤金，导致预决算存在差异。</w:t>
      </w:r>
    </w:p>
    <w:p w14:paraId="7B25BA5F">
      <w:pPr>
        <w:spacing w:line="640" w:lineRule="exact"/>
        <w:ind w:firstLine="640"/>
        <w:jc w:val="both"/>
        <w:outlineLvl w:val="2"/>
      </w:pPr>
      <w:r>
        <w:rPr>
          <w:rFonts w:ascii="黑体" w:hAnsi="黑体" w:eastAsia="黑体"/>
          <w:sz w:val="32"/>
        </w:rPr>
        <w:t>五、一般公共预算财政拨款支出决算情况说明</w:t>
      </w:r>
    </w:p>
    <w:p w14:paraId="52F393F9">
      <w:pPr>
        <w:spacing w:line="640" w:lineRule="exact"/>
        <w:ind w:firstLine="640"/>
        <w:jc w:val="both"/>
        <w:outlineLvl w:val="3"/>
      </w:pPr>
      <w:r>
        <w:rPr>
          <w:rFonts w:ascii="楷体_GB2312" w:hAnsi="楷体_GB2312" w:eastAsia="楷体_GB2312"/>
          <w:b/>
          <w:sz w:val="32"/>
        </w:rPr>
        <w:t>（一）一般公共预算财政拨款支出决算总体情况</w:t>
      </w:r>
    </w:p>
    <w:p w14:paraId="1D6DF869">
      <w:pPr>
        <w:spacing w:line="580" w:lineRule="exact"/>
        <w:ind w:firstLine="640"/>
        <w:jc w:val="both"/>
      </w:pPr>
      <w:r>
        <w:rPr>
          <w:rFonts w:ascii="仿宋_GB2312" w:hAnsi="仿宋_GB2312" w:eastAsia="仿宋_GB2312"/>
          <w:b/>
          <w:sz w:val="32"/>
        </w:rPr>
        <w:t>2024年度一般公共预算财政拨款支出339.77万元，</w:t>
      </w:r>
      <w:r>
        <w:rPr>
          <w:rFonts w:ascii="仿宋_GB2312" w:hAnsi="仿宋_GB2312" w:eastAsia="仿宋_GB2312"/>
          <w:b w:val="0"/>
          <w:sz w:val="32"/>
        </w:rPr>
        <w:t>占本年支出合计的97.20%。</w:t>
      </w:r>
      <w:r>
        <w:rPr>
          <w:rFonts w:ascii="仿宋_GB2312" w:hAnsi="仿宋_GB2312" w:eastAsia="仿宋_GB2312"/>
          <w:b/>
          <w:sz w:val="32"/>
        </w:rPr>
        <w:t>与上年相比，</w:t>
      </w:r>
      <w:r>
        <w:rPr>
          <w:rFonts w:ascii="仿宋_GB2312" w:hAnsi="仿宋_GB2312" w:eastAsia="仿宋_GB2312"/>
          <w:b w:val="0"/>
          <w:sz w:val="32"/>
        </w:rPr>
        <w:t>增加61.55万元，增长22.12%，主要原因是：本年新增退休、离休死亡人员，死亡抚恤金增加。</w:t>
      </w:r>
      <w:r>
        <w:rPr>
          <w:rFonts w:ascii="仿宋_GB2312" w:hAnsi="仿宋_GB2312" w:eastAsia="仿宋_GB2312"/>
          <w:b/>
          <w:sz w:val="32"/>
        </w:rPr>
        <w:t>与年初预算相比,</w:t>
      </w:r>
      <w:r>
        <w:rPr>
          <w:rFonts w:ascii="仿宋_GB2312" w:hAnsi="仿宋_GB2312" w:eastAsia="仿宋_GB2312"/>
          <w:b w:val="0"/>
          <w:sz w:val="32"/>
        </w:rPr>
        <w:t>年初预算数259.23万元，决算数339.77万元，预决算差异率31.07%，主要原因是：年中追加人员工资、社保、公积金基数调增部分资金及死亡抚恤金，导致预决算存在差异。</w:t>
      </w:r>
    </w:p>
    <w:p w14:paraId="06B02698">
      <w:pPr>
        <w:spacing w:line="640" w:lineRule="exact"/>
        <w:ind w:firstLine="640"/>
        <w:jc w:val="both"/>
        <w:outlineLvl w:val="3"/>
      </w:pPr>
      <w:r>
        <w:rPr>
          <w:rFonts w:ascii="楷体_GB2312" w:hAnsi="楷体_GB2312" w:eastAsia="楷体_GB2312"/>
          <w:b/>
          <w:sz w:val="32"/>
        </w:rPr>
        <w:t>（二）一般公共预算财政拨款支出决算结构情况</w:t>
      </w:r>
    </w:p>
    <w:p w14:paraId="170F3165">
      <w:pPr>
        <w:spacing w:line="580" w:lineRule="exact"/>
        <w:ind w:firstLine="640"/>
        <w:jc w:val="both"/>
      </w:pPr>
      <w:r>
        <w:rPr>
          <w:rFonts w:ascii="仿宋_GB2312" w:hAnsi="仿宋_GB2312" w:eastAsia="仿宋_GB2312"/>
          <w:b w:val="0"/>
          <w:sz w:val="32"/>
        </w:rPr>
        <w:t>1.社会保障和就业支出(类)319.67万元,占94.08%。</w:t>
      </w:r>
    </w:p>
    <w:p w14:paraId="79D25F93">
      <w:pPr>
        <w:spacing w:line="580" w:lineRule="exact"/>
        <w:ind w:firstLine="640"/>
        <w:jc w:val="both"/>
      </w:pPr>
      <w:r>
        <w:rPr>
          <w:rFonts w:ascii="仿宋_GB2312" w:hAnsi="仿宋_GB2312" w:eastAsia="仿宋_GB2312"/>
          <w:b w:val="0"/>
          <w:sz w:val="32"/>
        </w:rPr>
        <w:t>2.卫生健康支出(类)8.39万元,占2.47%。</w:t>
      </w:r>
    </w:p>
    <w:p w14:paraId="5A23821B">
      <w:pPr>
        <w:spacing w:line="580" w:lineRule="exact"/>
        <w:ind w:firstLine="640"/>
        <w:jc w:val="both"/>
      </w:pPr>
      <w:r>
        <w:rPr>
          <w:rFonts w:ascii="仿宋_GB2312" w:hAnsi="仿宋_GB2312" w:eastAsia="仿宋_GB2312"/>
          <w:b w:val="0"/>
          <w:sz w:val="32"/>
        </w:rPr>
        <w:t>3.住房保障支出(类)11.71万元,占3.45%。</w:t>
      </w:r>
    </w:p>
    <w:p w14:paraId="6C23D226">
      <w:pPr>
        <w:spacing w:line="640" w:lineRule="exact"/>
        <w:ind w:firstLine="640"/>
        <w:jc w:val="both"/>
        <w:outlineLvl w:val="3"/>
      </w:pPr>
      <w:r>
        <w:rPr>
          <w:rFonts w:ascii="楷体_GB2312" w:hAnsi="楷体_GB2312" w:eastAsia="楷体_GB2312"/>
          <w:b/>
          <w:sz w:val="32"/>
        </w:rPr>
        <w:t>（三）一般公共预算财政拨款支出决算具体情况</w:t>
      </w:r>
    </w:p>
    <w:p w14:paraId="4DDD2B48">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养老支出(款)行政</w:t>
      </w:r>
      <w:r>
        <w:rPr>
          <w:rFonts w:hint="eastAsia" w:ascii="仿宋_GB2312" w:hAnsi="仿宋_GB2312" w:eastAsia="仿宋_GB2312"/>
          <w:b w:val="0"/>
          <w:sz w:val="32"/>
          <w:lang w:eastAsia="zh-CN"/>
        </w:rPr>
        <w:t>单位</w:t>
      </w:r>
      <w:r>
        <w:rPr>
          <w:rFonts w:ascii="仿宋_GB2312" w:hAnsi="仿宋_GB2312" w:eastAsia="仿宋_GB2312"/>
          <w:b w:val="0"/>
          <w:sz w:val="32"/>
        </w:rPr>
        <w:t>离退休(项):支出决算数为67.98万元，比上年决算减少14.64万元，下降17.72%,主要原因是：本年离休人员自然减员，行政</w:t>
      </w:r>
      <w:r>
        <w:rPr>
          <w:rFonts w:hint="eastAsia" w:ascii="仿宋_GB2312" w:hAnsi="仿宋_GB2312" w:eastAsia="仿宋_GB2312"/>
          <w:b w:val="0"/>
          <w:sz w:val="32"/>
          <w:lang w:eastAsia="zh-CN"/>
        </w:rPr>
        <w:t>单位</w:t>
      </w:r>
      <w:r>
        <w:rPr>
          <w:rFonts w:ascii="仿宋_GB2312" w:hAnsi="仿宋_GB2312" w:eastAsia="仿宋_GB2312"/>
          <w:b w:val="0"/>
          <w:sz w:val="32"/>
        </w:rPr>
        <w:t>离退休经费较上年减少。</w:t>
      </w:r>
    </w:p>
    <w:p w14:paraId="795F6847">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养老支出(款)离退休人员管理机构(项):支出决算数为142.61万元，比上年决算减少3.56万元，下降2.44%,主要原因是：本年在职人员减少，相关人员经费减少。</w:t>
      </w:r>
    </w:p>
    <w:p w14:paraId="039A86C8">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基本养老保险缴费支出(项):支出决算数为16.31万元，比上年决算增加1.93万元，增长13.42%,主要原因是：本年在职人员工资基数调增，养老缴费基数上涨，相应支出增加。</w:t>
      </w:r>
    </w:p>
    <w:p w14:paraId="52CB87E5">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职业年金缴费支出(项):支出决算数为6.70万元，比上年决算增加0.42万元，增长6.69%,主要原因是：本年新增退休人员基数较上年退休人员基数高，职业年金缴费支出增加。</w:t>
      </w:r>
    </w:p>
    <w:p w14:paraId="4A6526E9">
      <w:pPr>
        <w:spacing w:line="580" w:lineRule="exact"/>
        <w:ind w:firstLine="640"/>
        <w:jc w:val="both"/>
      </w:pPr>
      <w:r>
        <w:rPr>
          <w:rFonts w:ascii="仿宋_GB2312" w:hAnsi="仿宋_GB2312" w:eastAsia="仿宋_GB2312"/>
          <w:b w:val="0"/>
          <w:sz w:val="32"/>
        </w:rPr>
        <w:t>5.社会保障和就业支出(类)抚恤(款)死亡抚恤(项):支出决算数为86.07万元，比上年决算增加76.11万元，增长764.16%,主要原因是：本年新增退休、离休死亡人员，死亡抚恤支出增加。</w:t>
      </w:r>
    </w:p>
    <w:p w14:paraId="7B7A84D5">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医疗(项):支出决算数为5.41万元，比上年决算增加0.75万元，增长16.09%,主要原因是：本年在职人员工资基数调增，医疗缴费基数上涨，相应支出增加。</w:t>
      </w:r>
    </w:p>
    <w:p w14:paraId="39608F1F">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医疗(项):支出决算数为2.74万元，比上年决算增加0.44万元，增长19.13%,主要原因是：本年在职人员工资基数调增，医疗缴费基数上涨，相应支出增加。</w:t>
      </w:r>
    </w:p>
    <w:p w14:paraId="1270D314">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医疗(款)公务员医疗补助(项):支出决算数为0.13万元，比上年决算减少0.04万元，下降23.53%,主要原因是：本年在职人员减少，公务员医疗补助较上年减少。</w:t>
      </w:r>
    </w:p>
    <w:p w14:paraId="1CB13736">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医疗支出(项):支出决算数为0.11万元，比上年决算减少0.07万元，下降38.89%,主要原因是：本年在职人员减少，大病医疗缴费较上年减少。</w:t>
      </w:r>
    </w:p>
    <w:p w14:paraId="616521BF">
      <w:pPr>
        <w:spacing w:line="580" w:lineRule="exact"/>
        <w:ind w:firstLine="640"/>
        <w:jc w:val="both"/>
      </w:pPr>
      <w:r>
        <w:rPr>
          <w:rFonts w:ascii="仿宋_GB2312" w:hAnsi="仿宋_GB2312" w:eastAsia="仿宋_GB2312"/>
          <w:b w:val="0"/>
          <w:sz w:val="32"/>
        </w:rPr>
        <w:t>10.住房保障支出(类)住房改革支出(款)住房公积金(项):支出决算数为11.71万元，比上年决算增加0.21万元，增长1.83%,主要原因是：本年在职人员工资基数调增，公积金缴费基数上涨，相应支出增加。</w:t>
      </w:r>
    </w:p>
    <w:p w14:paraId="422E022C">
      <w:pPr>
        <w:spacing w:line="640" w:lineRule="exact"/>
        <w:ind w:firstLine="640"/>
        <w:jc w:val="both"/>
        <w:outlineLvl w:val="2"/>
      </w:pPr>
      <w:r>
        <w:rPr>
          <w:rFonts w:ascii="黑体" w:hAnsi="黑体" w:eastAsia="黑体"/>
          <w:sz w:val="32"/>
        </w:rPr>
        <w:t>六、一般公共预算财政拨款基本支出决算情况说明</w:t>
      </w:r>
    </w:p>
    <w:p w14:paraId="368B513C">
      <w:pPr>
        <w:spacing w:line="580" w:lineRule="exact"/>
        <w:ind w:firstLine="640"/>
        <w:jc w:val="both"/>
      </w:pPr>
      <w:r>
        <w:rPr>
          <w:rFonts w:ascii="仿宋_GB2312" w:hAnsi="仿宋_GB2312" w:eastAsia="仿宋_GB2312"/>
          <w:b w:val="0"/>
          <w:sz w:val="32"/>
        </w:rPr>
        <w:t>2024年度一般公共预算财政拨款基本支出339.77万元，其中：</w:t>
      </w:r>
      <w:r>
        <w:rPr>
          <w:rFonts w:ascii="仿宋_GB2312" w:hAnsi="仿宋_GB2312" w:eastAsia="仿宋_GB2312"/>
          <w:b/>
          <w:sz w:val="32"/>
        </w:rPr>
        <w:t>人员经费324.73万元，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基本养老保险缴费、职业年金缴费、职工基本医疗保险缴费、公务员医疗补助缴费、其他社会保障缴费、住房公积金、离休费、退休费、抚恤金、生活补助。</w:t>
      </w:r>
    </w:p>
    <w:p w14:paraId="66D711F9">
      <w:pPr>
        <w:spacing w:line="580" w:lineRule="exact"/>
        <w:ind w:firstLine="640"/>
        <w:jc w:val="both"/>
      </w:pPr>
      <w:r>
        <w:rPr>
          <w:rFonts w:ascii="仿宋_GB2312" w:hAnsi="仿宋_GB2312" w:eastAsia="仿宋_GB2312"/>
          <w:b/>
          <w:sz w:val="32"/>
        </w:rPr>
        <w:t>公用经费15.04万元，</w:t>
      </w:r>
      <w:r>
        <w:rPr>
          <w:rFonts w:ascii="仿宋_GB2312" w:hAnsi="仿宋_GB2312" w:eastAsia="仿宋_GB2312"/>
          <w:b w:val="0"/>
          <w:sz w:val="32"/>
        </w:rPr>
        <w:t>包括：办公费、邮电费、取暖费、差旅费、工会经费、福利费、公务用车运行维护费。</w:t>
      </w:r>
    </w:p>
    <w:p w14:paraId="4B8B2C1B">
      <w:pPr>
        <w:spacing w:line="640" w:lineRule="exact"/>
        <w:ind w:firstLine="640"/>
        <w:jc w:val="both"/>
        <w:outlineLvl w:val="2"/>
      </w:pPr>
      <w:r>
        <w:rPr>
          <w:rFonts w:ascii="黑体" w:hAnsi="黑体" w:eastAsia="黑体"/>
          <w:sz w:val="32"/>
        </w:rPr>
        <w:t>七、政府性基金预算财政拨款收入支出决算情况说明</w:t>
      </w:r>
    </w:p>
    <w:p w14:paraId="0285FF6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3D0920A8">
      <w:pPr>
        <w:spacing w:line="640" w:lineRule="exact"/>
        <w:ind w:firstLine="640"/>
        <w:jc w:val="both"/>
        <w:outlineLvl w:val="2"/>
      </w:pPr>
      <w:r>
        <w:rPr>
          <w:rFonts w:ascii="黑体" w:hAnsi="黑体" w:eastAsia="黑体"/>
          <w:sz w:val="32"/>
        </w:rPr>
        <w:t>八、国有资本经营预算财政拨款收入支出决算情况说明</w:t>
      </w:r>
    </w:p>
    <w:p w14:paraId="4B942E4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D5EB5B7">
      <w:pPr>
        <w:spacing w:line="640" w:lineRule="exact"/>
        <w:ind w:firstLine="640"/>
        <w:jc w:val="both"/>
        <w:outlineLvl w:val="2"/>
      </w:pPr>
      <w:r>
        <w:rPr>
          <w:rFonts w:ascii="黑体" w:hAnsi="黑体" w:eastAsia="黑体"/>
          <w:sz w:val="32"/>
        </w:rPr>
        <w:t>九、财政拨款“三公”经费支出决算情况说明</w:t>
      </w:r>
    </w:p>
    <w:p w14:paraId="50B7060B">
      <w:pPr>
        <w:spacing w:line="580" w:lineRule="exact"/>
        <w:ind w:firstLine="640"/>
        <w:jc w:val="both"/>
      </w:pPr>
      <w:r>
        <w:rPr>
          <w:rFonts w:ascii="仿宋_GB2312" w:hAnsi="仿宋_GB2312" w:eastAsia="仿宋_GB2312"/>
          <w:b/>
          <w:sz w:val="32"/>
        </w:rPr>
        <w:t>2024年度财政拨款“三公”经费支出0.33万元，</w:t>
      </w:r>
      <w:r>
        <w:rPr>
          <w:rFonts w:ascii="仿宋_GB2312" w:hAnsi="仿宋_GB2312" w:eastAsia="仿宋_GB2312"/>
          <w:b w:val="0"/>
          <w:sz w:val="32"/>
        </w:rPr>
        <w:t>比上年减少0.07万元，下降17.50%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0.33万元，占100.00%，比上年减少0.07万元，下降17.50%，主要原因是：严格落实中央八项规定精神，厉行节约，减少公务用车运行维护费。公务接待费支出0.00万元，占0.00%，比上年增加0.00万元，增长0.00%，主要原因是：2023年与2024年均未安排公务接待费支出。</w:t>
      </w:r>
    </w:p>
    <w:p w14:paraId="78930F56">
      <w:pPr>
        <w:spacing w:line="580" w:lineRule="exact"/>
        <w:ind w:firstLine="640"/>
        <w:jc w:val="both"/>
      </w:pPr>
      <w:r>
        <w:rPr>
          <w:rFonts w:ascii="仿宋_GB2312" w:hAnsi="仿宋_GB2312" w:eastAsia="仿宋_GB2312"/>
          <w:b/>
          <w:sz w:val="32"/>
        </w:rPr>
        <w:t>具体情况如下：</w:t>
      </w:r>
    </w:p>
    <w:p w14:paraId="290965A8">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B543578">
      <w:pPr>
        <w:spacing w:line="580" w:lineRule="exact"/>
        <w:ind w:firstLine="640"/>
        <w:jc w:val="both"/>
      </w:pPr>
      <w:r>
        <w:rPr>
          <w:rFonts w:ascii="仿宋_GB2312" w:hAnsi="仿宋_GB2312" w:eastAsia="仿宋_GB2312"/>
          <w:b w:val="0"/>
          <w:sz w:val="32"/>
        </w:rPr>
        <w:t>公务用车购置及运行维护费0.33万元，其中：公务用车购置费0.00万元，公务用车运行维护费0.33万元。公务用车运行维护费开支内容包括车辆加油费、维修费、保险费、审车费。公务用车购置数0辆，公务用车保有量2辆。国有资产占用情况中固定资产车辆2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953236E">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4FD0DB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0.33万元，决算数0.33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0.33万元，决算数0.33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BE32789">
      <w:pPr>
        <w:spacing w:line="640" w:lineRule="exact"/>
        <w:ind w:firstLine="640"/>
        <w:jc w:val="both"/>
        <w:outlineLvl w:val="2"/>
      </w:pPr>
      <w:r>
        <w:rPr>
          <w:rFonts w:ascii="黑体" w:hAnsi="黑体" w:eastAsia="黑体"/>
          <w:sz w:val="32"/>
        </w:rPr>
        <w:t>十、其他重要事项的情况说明</w:t>
      </w:r>
    </w:p>
    <w:p w14:paraId="6C1BA021">
      <w:pPr>
        <w:spacing w:line="640" w:lineRule="exact"/>
        <w:ind w:firstLine="640"/>
        <w:jc w:val="both"/>
        <w:outlineLvl w:val="3"/>
      </w:pPr>
      <w:r>
        <w:rPr>
          <w:rFonts w:ascii="楷体_GB2312" w:hAnsi="楷体_GB2312" w:eastAsia="楷体_GB2312"/>
          <w:b/>
          <w:sz w:val="32"/>
        </w:rPr>
        <w:t>（一）机关运行经费及公用经费支出情况</w:t>
      </w:r>
    </w:p>
    <w:p w14:paraId="22809BB1">
      <w:pPr>
        <w:spacing w:line="580" w:lineRule="exact"/>
        <w:ind w:firstLine="640"/>
        <w:jc w:val="both"/>
      </w:pPr>
      <w:r>
        <w:rPr>
          <w:rFonts w:ascii="仿宋_GB2312" w:hAnsi="仿宋_GB2312" w:eastAsia="仿宋_GB2312"/>
          <w:b w:val="0"/>
          <w:sz w:val="32"/>
        </w:rPr>
        <w:t>2024年度中共特克斯县委老干部局（行政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）机关运行经费支出15.04万元，比上年增加13.03万元，增长648.26%，主要原因是：本年增加取暖费、工会经费、福利费等，相应机关运行经费增加。</w:t>
      </w:r>
    </w:p>
    <w:p w14:paraId="43A09C6F">
      <w:pPr>
        <w:spacing w:line="640" w:lineRule="exact"/>
        <w:ind w:firstLine="640"/>
        <w:jc w:val="both"/>
        <w:outlineLvl w:val="3"/>
      </w:pPr>
      <w:r>
        <w:rPr>
          <w:rFonts w:ascii="楷体_GB2312" w:hAnsi="楷体_GB2312" w:eastAsia="楷体_GB2312"/>
          <w:b/>
          <w:sz w:val="32"/>
        </w:rPr>
        <w:t>（二）政府采购情况</w:t>
      </w:r>
    </w:p>
    <w:p w14:paraId="2309A0BC">
      <w:pPr>
        <w:spacing w:line="580" w:lineRule="exact"/>
        <w:ind w:firstLine="640"/>
        <w:jc w:val="both"/>
      </w:pPr>
      <w:r>
        <w:rPr>
          <w:rFonts w:ascii="仿宋_GB2312" w:hAnsi="仿宋_GB2312" w:eastAsia="仿宋_GB2312"/>
          <w:b w:val="0"/>
          <w:sz w:val="32"/>
        </w:rPr>
        <w:t>2024年度政府采购支出总额0.54万元，其中：政府采购货物支出0.44万元、政府采购工程支出0.00万元、政府采购服务支出0.10万元。</w:t>
      </w:r>
    </w:p>
    <w:p w14:paraId="51F6ABDE">
      <w:pPr>
        <w:spacing w:line="580" w:lineRule="exact"/>
        <w:ind w:firstLine="640"/>
        <w:jc w:val="both"/>
      </w:pPr>
      <w:r>
        <w:rPr>
          <w:rFonts w:ascii="仿宋_GB2312" w:hAnsi="仿宋_GB2312" w:eastAsia="仿宋_GB2312"/>
          <w:b w:val="0"/>
          <w:sz w:val="32"/>
        </w:rPr>
        <w:t>授予中小企业合同金额0.10万元，占政府采购支出总额的18.52%，其中：授予小微企业合同金额0.10万元，占政府采购支出总额的18.52%。</w:t>
      </w:r>
    </w:p>
    <w:p w14:paraId="262D274C">
      <w:pPr>
        <w:spacing w:line="640" w:lineRule="exact"/>
        <w:ind w:firstLine="640"/>
        <w:jc w:val="both"/>
        <w:outlineLvl w:val="3"/>
      </w:pPr>
      <w:r>
        <w:rPr>
          <w:rFonts w:ascii="楷体_GB2312" w:hAnsi="楷体_GB2312" w:eastAsia="楷体_GB2312"/>
          <w:b/>
          <w:sz w:val="32"/>
        </w:rPr>
        <w:t>（三）国有资产占用情况说明</w:t>
      </w:r>
    </w:p>
    <w:p w14:paraId="2FAC523D">
      <w:pPr>
        <w:spacing w:line="580" w:lineRule="exact"/>
        <w:ind w:firstLine="640"/>
        <w:jc w:val="both"/>
      </w:pPr>
      <w:r>
        <w:rPr>
          <w:rFonts w:ascii="仿宋_GB2312" w:hAnsi="仿宋_GB2312" w:eastAsia="仿宋_GB2312"/>
          <w:b w:val="0"/>
          <w:sz w:val="32"/>
        </w:rPr>
        <w:t>截至2024年12月31日，房屋0.00平方米，价值0.00万元。车辆2辆，价值24.13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A95457C">
      <w:pPr>
        <w:spacing w:line="640" w:lineRule="exact"/>
        <w:ind w:firstLine="640"/>
        <w:jc w:val="both"/>
        <w:outlineLvl w:val="2"/>
      </w:pPr>
      <w:r>
        <w:rPr>
          <w:rFonts w:ascii="黑体" w:hAnsi="黑体" w:eastAsia="黑体"/>
          <w:sz w:val="32"/>
        </w:rPr>
        <w:t>十一、预算绩效的情况说明</w:t>
      </w:r>
    </w:p>
    <w:p w14:paraId="50978F7E">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349.77万元，实际执行总额349.54万元；预算绩效评价项目2个，全年预算数35.33万元，全年执行数35.09万元。预算绩效管理取得的成效：一是增强了预算绩效管理的工作保障；二是促进财政资金使用效益提高；三是增强了结果导向的管理理念和部门支出责任意识；四是推动了预算绩效管理工作的有序开展。发现的问题及原因：一是对预算绩效管理的重要性认识不足；二是预算绩效管理的组织实施统筹不够；三是预算绩效评价的技术能力有待提升。下一步改进措施：一是加大预算绩效管理宣传培训力度；二是提升预算绩效管理统筹组织能力；三是完善预算绩效管理技术支撑体系。具体附整体支出绩效自评表，项目支出绩效自评表和评价报告。</w:t>
      </w:r>
    </w:p>
    <w:p w14:paraId="4DED56F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9D2E1F8">
        <w:tblPrEx>
          <w:tblCellMar>
            <w:top w:w="0" w:type="dxa"/>
            <w:left w:w="108" w:type="dxa"/>
            <w:bottom w:w="0" w:type="dxa"/>
            <w:right w:w="108" w:type="dxa"/>
          </w:tblCellMar>
        </w:tblPrEx>
        <w:tc>
          <w:tcPr>
            <w:tcW w:w="8840" w:type="dxa"/>
            <w:gridSpan w:val="8"/>
            <w:vAlign w:val="center"/>
          </w:tcPr>
          <w:p w14:paraId="5538F429">
            <w:pPr>
              <w:jc w:val="center"/>
            </w:pPr>
            <w:r>
              <w:rPr>
                <w:rFonts w:hint="eastAsia" w:ascii="宋体" w:hAnsi="宋体"/>
                <w:sz w:val="24"/>
                <w:lang w:eastAsia="zh-CN"/>
              </w:rPr>
              <w:t>单位</w:t>
            </w:r>
            <w:r>
              <w:rPr>
                <w:rFonts w:ascii="宋体" w:hAnsi="宋体" w:eastAsia="宋体"/>
                <w:sz w:val="24"/>
              </w:rPr>
              <w:t>整体支出绩效自评表</w:t>
            </w:r>
          </w:p>
        </w:tc>
      </w:tr>
      <w:tr w14:paraId="50568572">
        <w:tblPrEx>
          <w:tblCellMar>
            <w:top w:w="0" w:type="dxa"/>
            <w:left w:w="108" w:type="dxa"/>
            <w:bottom w:w="0" w:type="dxa"/>
            <w:right w:w="108" w:type="dxa"/>
          </w:tblCellMar>
        </w:tblPrEx>
        <w:tc>
          <w:tcPr>
            <w:tcW w:w="8840" w:type="dxa"/>
            <w:gridSpan w:val="8"/>
            <w:vAlign w:val="center"/>
          </w:tcPr>
          <w:p w14:paraId="4FA4BB1F">
            <w:pPr>
              <w:jc w:val="center"/>
            </w:pPr>
            <w:r>
              <w:rPr>
                <w:rFonts w:ascii="宋体" w:hAnsi="宋体" w:eastAsia="宋体"/>
                <w:sz w:val="24"/>
              </w:rPr>
              <w:t>（2024年度）</w:t>
            </w:r>
          </w:p>
        </w:tc>
      </w:tr>
      <w:tr w14:paraId="2AE8875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83878">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4DBFA">
            <w:pPr>
              <w:jc w:val="center"/>
            </w:pPr>
            <w:r>
              <w:rPr>
                <w:rFonts w:ascii="宋体" w:hAnsi="宋体" w:eastAsia="宋体"/>
                <w:sz w:val="16"/>
              </w:rPr>
              <w:t>中共特克斯县委老干部局</w:t>
            </w:r>
          </w:p>
        </w:tc>
      </w:tr>
      <w:tr w14:paraId="1DF2A44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71E3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727F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9249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F05B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66B0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D588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D8DF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D657B">
            <w:pPr>
              <w:jc w:val="center"/>
            </w:pPr>
            <w:r>
              <w:rPr>
                <w:rFonts w:ascii="宋体" w:hAnsi="宋体" w:eastAsia="宋体"/>
                <w:sz w:val="16"/>
              </w:rPr>
              <w:t>得分</w:t>
            </w:r>
          </w:p>
        </w:tc>
      </w:tr>
      <w:tr w14:paraId="5B24FA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AED6E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265C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6A27C">
            <w:pPr>
              <w:jc w:val="center"/>
            </w:pPr>
            <w:r>
              <w:rPr>
                <w:rFonts w:ascii="宋体" w:hAnsi="宋体" w:eastAsia="宋体"/>
                <w:sz w:val="16"/>
              </w:rPr>
              <w:t>274.87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34137">
            <w:pPr>
              <w:jc w:val="center"/>
            </w:pPr>
            <w:r>
              <w:rPr>
                <w:rFonts w:ascii="宋体" w:hAnsi="宋体" w:eastAsia="宋体"/>
                <w:sz w:val="16"/>
              </w:rPr>
              <w:t>349.77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4DE44">
            <w:pPr>
              <w:jc w:val="center"/>
            </w:pPr>
            <w:r>
              <w:rPr>
                <w:rFonts w:ascii="宋体" w:hAnsi="宋体" w:eastAsia="宋体"/>
                <w:sz w:val="16"/>
              </w:rPr>
              <w:t>349.54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E920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2F8DF">
            <w:pPr>
              <w:jc w:val="center"/>
            </w:pPr>
            <w:r>
              <w:rPr>
                <w:rFonts w:ascii="宋体" w:hAnsi="宋体" w:eastAsia="宋体"/>
                <w:sz w:val="16"/>
              </w:rPr>
              <w:t>99.93%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1A5E1">
            <w:pPr>
              <w:jc w:val="center"/>
            </w:pPr>
            <w:r>
              <w:rPr>
                <w:rFonts w:ascii="宋体" w:hAnsi="宋体" w:eastAsia="宋体"/>
                <w:sz w:val="16"/>
              </w:rPr>
              <w:t>9.99</w:t>
            </w:r>
          </w:p>
        </w:tc>
      </w:tr>
      <w:tr w14:paraId="4C2FF7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1AFE5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D071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2677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3DC6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1CA9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E268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2B8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8F24E">
            <w:pPr>
              <w:jc w:val="center"/>
            </w:pPr>
            <w:r>
              <w:rPr>
                <w:rFonts w:ascii="宋体" w:hAnsi="宋体" w:eastAsia="宋体"/>
                <w:sz w:val="16"/>
              </w:rPr>
              <w:t>-</w:t>
            </w:r>
          </w:p>
        </w:tc>
      </w:tr>
      <w:tr w14:paraId="3DD7BD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E672B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1D23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CE619">
            <w:pPr>
              <w:jc w:val="center"/>
            </w:pPr>
            <w:r>
              <w:rPr>
                <w:rFonts w:ascii="宋体" w:hAnsi="宋体" w:eastAsia="宋体"/>
                <w:sz w:val="16"/>
              </w:rPr>
              <w:t>249.87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50801">
            <w:pPr>
              <w:jc w:val="center"/>
            </w:pPr>
            <w:r>
              <w:rPr>
                <w:rFonts w:ascii="宋体" w:hAnsi="宋体" w:eastAsia="宋体"/>
                <w:sz w:val="16"/>
              </w:rPr>
              <w:t>339.77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FD384">
            <w:pPr>
              <w:jc w:val="center"/>
            </w:pPr>
            <w:r>
              <w:rPr>
                <w:rFonts w:ascii="宋体" w:hAnsi="宋体" w:eastAsia="宋体"/>
                <w:sz w:val="16"/>
              </w:rPr>
              <w:t>339.77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E59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821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8BBC3">
            <w:pPr>
              <w:jc w:val="center"/>
            </w:pPr>
            <w:r>
              <w:rPr>
                <w:rFonts w:ascii="宋体" w:hAnsi="宋体" w:eastAsia="宋体"/>
                <w:sz w:val="16"/>
              </w:rPr>
              <w:t>-</w:t>
            </w:r>
          </w:p>
        </w:tc>
      </w:tr>
      <w:tr w14:paraId="05F16C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6758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1A38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1C7DD">
            <w:pPr>
              <w:jc w:val="center"/>
            </w:pPr>
            <w:r>
              <w:rPr>
                <w:rFonts w:ascii="宋体" w:hAnsi="宋体" w:eastAsia="宋体"/>
                <w:sz w:val="16"/>
              </w:rPr>
              <w:t>25.00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1A7CF">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34AB3">
            <w:pPr>
              <w:jc w:val="center"/>
            </w:pPr>
            <w:r>
              <w:rPr>
                <w:rFonts w:ascii="宋体" w:hAnsi="宋体" w:eastAsia="宋体"/>
                <w:sz w:val="16"/>
              </w:rPr>
              <w:t>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1D8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0EF6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65E62">
            <w:pPr>
              <w:jc w:val="center"/>
            </w:pPr>
            <w:r>
              <w:rPr>
                <w:rFonts w:ascii="宋体" w:hAnsi="宋体" w:eastAsia="宋体"/>
                <w:sz w:val="16"/>
              </w:rPr>
              <w:t>-</w:t>
            </w:r>
          </w:p>
        </w:tc>
      </w:tr>
      <w:tr w14:paraId="022D06C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667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4700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7ECA2D">
            <w:pPr>
              <w:jc w:val="center"/>
            </w:pPr>
            <w:r>
              <w:rPr>
                <w:rFonts w:ascii="宋体" w:hAnsi="宋体" w:eastAsia="宋体"/>
                <w:sz w:val="16"/>
              </w:rPr>
              <w:t>实际完成情况</w:t>
            </w:r>
          </w:p>
        </w:tc>
      </w:tr>
      <w:tr w14:paraId="28B72B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BF222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96C250">
            <w:pPr>
              <w:jc w:val="both"/>
            </w:pPr>
            <w:r>
              <w:rPr>
                <w:rFonts w:ascii="宋体" w:hAnsi="宋体" w:eastAsia="宋体"/>
                <w:sz w:val="16"/>
              </w:rPr>
              <w:t>了解掌握全县离退休干部基本情况；协助各级党组（党委）和组织部门抓好老干部党组织建设和思想工作政治工作；落实好离退休干部政治生活待遇；负责全县离退休干部、</w:t>
            </w:r>
            <w:r>
              <w:rPr>
                <w:rFonts w:hint="eastAsia" w:ascii="宋体" w:hAnsi="宋体"/>
                <w:sz w:val="16"/>
                <w:lang w:eastAsia="zh-CN"/>
              </w:rPr>
              <w:t>离退</w:t>
            </w:r>
            <w:r>
              <w:rPr>
                <w:rFonts w:ascii="宋体" w:hAnsi="宋体" w:eastAsia="宋体"/>
                <w:sz w:val="16"/>
              </w:rPr>
              <w:t>休干部遗孀、</w:t>
            </w:r>
            <w:r>
              <w:rPr>
                <w:rFonts w:hint="eastAsia" w:ascii="宋体" w:hAnsi="宋体"/>
                <w:sz w:val="16"/>
                <w:lang w:eastAsia="zh-CN"/>
              </w:rPr>
              <w:t>遗孀</w:t>
            </w:r>
            <w:r>
              <w:rPr>
                <w:rFonts w:ascii="宋体" w:hAnsi="宋体" w:eastAsia="宋体"/>
                <w:sz w:val="16"/>
              </w:rPr>
              <w:t>的管理及节日慰问工作；指导全县关心下一代工作委员会办公室、老干部活动中心和老年大学工作。1、负责贯彻落实党中央、国务院关于离退休干部工作的方针和政策；了解掌握全县老干部工作的基本情况，及时向县委反映重要问题和提出建议，会同有关部门研究制定全县老干部工作的有关规定和办法。协助各级党组（党委）和组织部门抓好老干部党组织建设和思想政治工作。监督各乡镇场、县直各部门（</w:t>
            </w:r>
            <w:r>
              <w:rPr>
                <w:rFonts w:hint="eastAsia" w:ascii="宋体" w:hAnsi="宋体"/>
                <w:sz w:val="16"/>
                <w:lang w:eastAsia="zh-CN"/>
              </w:rPr>
              <w:t>单位</w:t>
            </w:r>
            <w:r>
              <w:rPr>
                <w:rFonts w:ascii="宋体" w:hAnsi="宋体" w:eastAsia="宋体"/>
                <w:sz w:val="16"/>
              </w:rPr>
              <w:t>）严格落实老干部政治学习、阅读文件、听重要报告、参加有关会议和重要政治活动等。负责全县离休干部、离休干部</w:t>
            </w:r>
            <w:r>
              <w:rPr>
                <w:rFonts w:hint="eastAsia" w:ascii="宋体" w:hAnsi="宋体"/>
                <w:sz w:val="16"/>
                <w:lang w:val="en-US" w:eastAsia="zh-CN"/>
              </w:rPr>
              <w:t>遗孀</w:t>
            </w:r>
            <w:r>
              <w:rPr>
                <w:rFonts w:ascii="宋体" w:hAnsi="宋体" w:eastAsia="宋体"/>
                <w:sz w:val="16"/>
              </w:rPr>
              <w:t>的管理及节日慰问工作；负责办理科级</w:t>
            </w:r>
            <w:r>
              <w:rPr>
                <w:rFonts w:hint="eastAsia" w:ascii="宋体" w:hAnsi="宋体"/>
                <w:sz w:val="16"/>
                <w:lang w:eastAsia="zh-CN"/>
              </w:rPr>
              <w:t>干部</w:t>
            </w:r>
            <w:r>
              <w:rPr>
                <w:rFonts w:ascii="宋体" w:hAnsi="宋体" w:eastAsia="宋体"/>
                <w:sz w:val="16"/>
              </w:rPr>
              <w:t>退休证书；负责老干部信访工作；负责督促和指导各</w:t>
            </w:r>
            <w:r>
              <w:rPr>
                <w:rFonts w:hint="eastAsia" w:ascii="宋体" w:hAnsi="宋体"/>
                <w:sz w:val="16"/>
                <w:lang w:eastAsia="zh-CN"/>
              </w:rPr>
              <w:t>乡镇</w:t>
            </w:r>
            <w:r>
              <w:rPr>
                <w:rFonts w:ascii="宋体" w:hAnsi="宋体" w:eastAsia="宋体"/>
                <w:sz w:val="16"/>
              </w:rPr>
              <w:t>、县直各部门（</w:t>
            </w:r>
            <w:r>
              <w:rPr>
                <w:rFonts w:hint="eastAsia" w:ascii="宋体" w:hAnsi="宋体"/>
                <w:sz w:val="16"/>
                <w:lang w:eastAsia="zh-CN"/>
              </w:rPr>
              <w:t>单位</w:t>
            </w:r>
            <w:r>
              <w:rPr>
                <w:rFonts w:ascii="宋体" w:hAnsi="宋体" w:eastAsia="宋体"/>
                <w:sz w:val="16"/>
              </w:rPr>
              <w:t>）严格落实</w:t>
            </w:r>
            <w:r>
              <w:rPr>
                <w:rFonts w:hint="eastAsia" w:ascii="宋体" w:hAnsi="宋体"/>
                <w:sz w:val="16"/>
                <w:lang w:eastAsia="zh-CN"/>
              </w:rPr>
              <w:t>老干部</w:t>
            </w:r>
            <w:r>
              <w:rPr>
                <w:rFonts w:ascii="宋体" w:hAnsi="宋体" w:eastAsia="宋体"/>
                <w:sz w:val="16"/>
              </w:rPr>
              <w:t>生活待遇。负责全县老干部发挥作用的组织指导工作；解决老干部发挥作用中出现的问题。宣传老干部工作方针政策及老干部的历史功绩和现实作用，推广老干部工作先进经验。指导全县关心下一代工作委员会办公室、老干部活动中心和老年大学工作。指导老干部活动场所建设；指导协调</w:t>
            </w:r>
            <w:r>
              <w:rPr>
                <w:rFonts w:hint="eastAsia" w:ascii="宋体" w:hAnsi="宋体"/>
                <w:sz w:val="16"/>
                <w:lang w:eastAsia="zh-CN"/>
              </w:rPr>
              <w:t>老干部</w:t>
            </w:r>
            <w:r>
              <w:rPr>
                <w:rFonts w:ascii="宋体" w:hAnsi="宋体" w:eastAsia="宋体"/>
                <w:sz w:val="16"/>
              </w:rPr>
              <w:t>各学会、协会及老干部社团开展工作；督促落实老干部健康体检工作。协调有关部门（</w:t>
            </w:r>
            <w:r>
              <w:rPr>
                <w:rFonts w:hint="eastAsia" w:ascii="宋体" w:hAnsi="宋体"/>
                <w:sz w:val="16"/>
                <w:lang w:eastAsia="zh-CN"/>
              </w:rPr>
              <w:t>单位</w:t>
            </w:r>
            <w:r>
              <w:rPr>
                <w:rFonts w:ascii="宋体" w:hAnsi="宋体" w:eastAsia="宋体"/>
                <w:sz w:val="16"/>
              </w:rPr>
              <w:t>）办理离退休干部和离休干部遗孀的丧葬和善后事宜。组织协同有关职能部门对广大青少年进行爱国主义教育、革命传统教育、加强民族团结与反对民族分裂教育、</w:t>
            </w:r>
            <w:r>
              <w:rPr>
                <w:rFonts w:hint="eastAsia" w:ascii="宋体" w:hAnsi="宋体"/>
                <w:sz w:val="16"/>
                <w:lang w:eastAsia="zh-CN"/>
              </w:rPr>
              <w:t>社会主义民主法治教育</w:t>
            </w:r>
            <w:r>
              <w:rPr>
                <w:rFonts w:ascii="宋体" w:hAnsi="宋体" w:eastAsia="宋体"/>
                <w:sz w:val="16"/>
              </w:rPr>
              <w:t>、共产主义理想教育，配合有关部门教育挽救失足青年。2、保障部门</w:t>
            </w:r>
            <w:r>
              <w:rPr>
                <w:rFonts w:hint="eastAsia" w:ascii="宋体" w:hAnsi="宋体"/>
                <w:sz w:val="16"/>
                <w:lang w:eastAsia="zh-CN"/>
              </w:rPr>
              <w:t>单位</w:t>
            </w:r>
            <w:r>
              <w:rPr>
                <w:rFonts w:ascii="宋体" w:hAnsi="宋体" w:eastAsia="宋体"/>
                <w:sz w:val="16"/>
              </w:rPr>
              <w:t>人员发放工资福利支出及正常运转支出；3、落实好离退休干部政治生活待遇。组织离退休干部参加各类活动（老年大学、老干部活动中心）。积极发挥离退休干部作用（关心下一代工作委员会）。规范离退休党组织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FA6615">
            <w:pPr>
              <w:jc w:val="both"/>
            </w:pPr>
            <w:r>
              <w:rPr>
                <w:rFonts w:ascii="宋体" w:hAnsi="宋体" w:eastAsia="宋体"/>
                <w:sz w:val="16"/>
              </w:rPr>
              <w:t>1、负责贯彻落实党中央、国务院关于离退休干部工作的方针和政策；了解掌握全县老干部工作的基本情况，及时向县委反映重要问题和提出建议，会同有关部门研究制定全县老干部工作的有关规定和办法。协助各级党组（党委）和组织部门抓好老干部党组织建设和思想政治工作。监督各乡镇场、县直各部门（</w:t>
            </w:r>
            <w:r>
              <w:rPr>
                <w:rFonts w:hint="eastAsia" w:ascii="宋体" w:hAnsi="宋体"/>
                <w:sz w:val="16"/>
                <w:lang w:eastAsia="zh-CN"/>
              </w:rPr>
              <w:t>单位</w:t>
            </w:r>
            <w:r>
              <w:rPr>
                <w:rFonts w:ascii="宋体" w:hAnsi="宋体" w:eastAsia="宋体"/>
                <w:sz w:val="16"/>
              </w:rPr>
              <w:t>）严格落实老干部政治学习、阅读文件、听重要报告、参加有关会议和重要政治活动等。负责全县离休干部、离休干部</w:t>
            </w:r>
            <w:r>
              <w:rPr>
                <w:rFonts w:hint="eastAsia" w:ascii="宋体" w:hAnsi="宋体"/>
                <w:sz w:val="16"/>
                <w:lang w:val="en-US" w:eastAsia="zh-CN"/>
              </w:rPr>
              <w:t>遗孀</w:t>
            </w:r>
            <w:r>
              <w:rPr>
                <w:rFonts w:ascii="宋体" w:hAnsi="宋体" w:eastAsia="宋体"/>
                <w:sz w:val="16"/>
              </w:rPr>
              <w:t>的管理及节日慰问工作；负责办理科级</w:t>
            </w:r>
            <w:r>
              <w:rPr>
                <w:rFonts w:hint="eastAsia" w:ascii="宋体" w:hAnsi="宋体"/>
                <w:sz w:val="16"/>
                <w:lang w:eastAsia="zh-CN"/>
              </w:rPr>
              <w:t>干部</w:t>
            </w:r>
            <w:r>
              <w:rPr>
                <w:rFonts w:ascii="宋体" w:hAnsi="宋体" w:eastAsia="宋体"/>
                <w:sz w:val="16"/>
              </w:rPr>
              <w:t>退休证书；负责老干部信访工作；负责督促和指导各</w:t>
            </w:r>
            <w:r>
              <w:rPr>
                <w:rFonts w:hint="eastAsia" w:ascii="宋体" w:hAnsi="宋体"/>
                <w:sz w:val="16"/>
                <w:lang w:eastAsia="zh-CN"/>
              </w:rPr>
              <w:t>乡镇</w:t>
            </w:r>
            <w:r>
              <w:rPr>
                <w:rFonts w:ascii="宋体" w:hAnsi="宋体" w:eastAsia="宋体"/>
                <w:sz w:val="16"/>
              </w:rPr>
              <w:t>、县直各部门（</w:t>
            </w:r>
            <w:r>
              <w:rPr>
                <w:rFonts w:hint="eastAsia" w:ascii="宋体" w:hAnsi="宋体"/>
                <w:sz w:val="16"/>
                <w:lang w:eastAsia="zh-CN"/>
              </w:rPr>
              <w:t>单位</w:t>
            </w:r>
            <w:r>
              <w:rPr>
                <w:rFonts w:ascii="宋体" w:hAnsi="宋体" w:eastAsia="宋体"/>
                <w:sz w:val="16"/>
              </w:rPr>
              <w:t>）严格落实</w:t>
            </w:r>
            <w:r>
              <w:rPr>
                <w:rFonts w:hint="eastAsia" w:ascii="宋体" w:hAnsi="宋体"/>
                <w:sz w:val="16"/>
                <w:lang w:eastAsia="zh-CN"/>
              </w:rPr>
              <w:t>老干部</w:t>
            </w:r>
            <w:r>
              <w:rPr>
                <w:rFonts w:ascii="宋体" w:hAnsi="宋体" w:eastAsia="宋体"/>
                <w:sz w:val="16"/>
              </w:rPr>
              <w:t>生活待遇。负责全县老干部发挥作用的组织指导工作；解决老干部发挥作用中出现的问题。宣传老干部工作方针政策及老干部的历史功绩和现实作用，推广老干部工作先进经验。指导全县关心下一代工作委员会办公室、老干部活动中心和老年大学工作。指导老干部活动场所建设；指导协调</w:t>
            </w:r>
            <w:r>
              <w:rPr>
                <w:rFonts w:hint="eastAsia" w:ascii="宋体" w:hAnsi="宋体"/>
                <w:sz w:val="16"/>
                <w:lang w:eastAsia="zh-CN"/>
              </w:rPr>
              <w:t>老干部</w:t>
            </w:r>
            <w:r>
              <w:rPr>
                <w:rFonts w:ascii="宋体" w:hAnsi="宋体" w:eastAsia="宋体"/>
                <w:sz w:val="16"/>
              </w:rPr>
              <w:t>各学会、协会及老干部社团开展工作；督促落实老干部健康体检工作。协调有关部门（</w:t>
            </w:r>
            <w:r>
              <w:rPr>
                <w:rFonts w:hint="eastAsia" w:ascii="宋体" w:hAnsi="宋体"/>
                <w:sz w:val="16"/>
                <w:lang w:eastAsia="zh-CN"/>
              </w:rPr>
              <w:t>单位</w:t>
            </w:r>
            <w:r>
              <w:rPr>
                <w:rFonts w:ascii="宋体" w:hAnsi="宋体" w:eastAsia="宋体"/>
                <w:sz w:val="16"/>
              </w:rPr>
              <w:t>）办理离退休干部和离休干部遗孀的丧葬和善后事宜。组织协同有关职能部门对广大青少年进行爱国主义教育、革命传统教育、加强民族团结与反对民族分裂教育、</w:t>
            </w:r>
            <w:r>
              <w:rPr>
                <w:rFonts w:hint="eastAsia" w:ascii="宋体" w:hAnsi="宋体"/>
                <w:sz w:val="16"/>
                <w:lang w:eastAsia="zh-CN"/>
              </w:rPr>
              <w:t>社会主义民主法治教育</w:t>
            </w:r>
            <w:r>
              <w:rPr>
                <w:rFonts w:ascii="宋体" w:hAnsi="宋体" w:eastAsia="宋体"/>
                <w:sz w:val="16"/>
              </w:rPr>
              <w:t>、共产主义理想教育，配合有关部门教育挽救失足青年。2、保障部门</w:t>
            </w:r>
            <w:r>
              <w:rPr>
                <w:rFonts w:hint="eastAsia" w:ascii="宋体" w:hAnsi="宋体"/>
                <w:sz w:val="16"/>
                <w:lang w:eastAsia="zh-CN"/>
              </w:rPr>
              <w:t>单位</w:t>
            </w:r>
            <w:r>
              <w:rPr>
                <w:rFonts w:ascii="宋体" w:hAnsi="宋体" w:eastAsia="宋体"/>
                <w:sz w:val="16"/>
              </w:rPr>
              <w:t>人员发放工资福利支出及正常运转支出； 3、落实好离退休干部政治生活待遇。组织离退休干部参加各类活动（老年大学、老干部活动中心）。积极发挥离退休干部作用（关心下一代工作委员会）。规范离退休党组织建设。</w:t>
            </w:r>
          </w:p>
        </w:tc>
      </w:tr>
      <w:tr w14:paraId="63BB42C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83AB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246A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AA1B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02FE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4EBB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E65E9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0A7A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7ECDB">
            <w:pPr>
              <w:jc w:val="center"/>
            </w:pPr>
            <w:r>
              <w:rPr>
                <w:rFonts w:ascii="宋体" w:hAnsi="宋体" w:eastAsia="宋体"/>
                <w:sz w:val="16"/>
              </w:rPr>
              <w:t>得分</w:t>
            </w:r>
          </w:p>
        </w:tc>
      </w:tr>
      <w:tr w14:paraId="62DD37D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EA5E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FFAE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511B1">
            <w:pPr>
              <w:jc w:val="center"/>
            </w:pPr>
            <w:r>
              <w:rPr>
                <w:rFonts w:ascii="宋体" w:hAnsi="宋体" w:eastAsia="宋体"/>
                <w:sz w:val="16"/>
              </w:rPr>
              <w:t>全年慰问人数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A7D6B">
            <w:pPr>
              <w:jc w:val="center"/>
            </w:pPr>
            <w:r>
              <w:rPr>
                <w:rFonts w:ascii="宋体" w:hAnsi="宋体" w:eastAsia="宋体"/>
                <w:sz w:val="16"/>
              </w:rPr>
              <w:t>&gt;=394人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C48F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12B8B">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23245">
            <w:pPr>
              <w:jc w:val="center"/>
            </w:pPr>
            <w:r>
              <w:rPr>
                <w:rFonts w:ascii="宋体" w:hAnsi="宋体" w:eastAsia="宋体"/>
                <w:sz w:val="16"/>
              </w:rPr>
              <w:t>85人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7E12F">
            <w:pPr>
              <w:jc w:val="center"/>
            </w:pPr>
            <w:r>
              <w:rPr>
                <w:rFonts w:ascii="宋体" w:hAnsi="宋体" w:eastAsia="宋体"/>
                <w:sz w:val="16"/>
              </w:rPr>
              <w:t>4.85</w:t>
            </w:r>
          </w:p>
        </w:tc>
      </w:tr>
      <w:tr w14:paraId="116D0D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E7385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9858D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44B4C">
            <w:pPr>
              <w:jc w:val="center"/>
            </w:pPr>
            <w:r>
              <w:rPr>
                <w:rFonts w:ascii="宋体" w:hAnsi="宋体" w:eastAsia="宋体"/>
                <w:sz w:val="16"/>
              </w:rPr>
              <w:t>开展老干部通报会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14135">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C3B9D">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486C1">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138CA">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EB03CF">
            <w:pPr>
              <w:jc w:val="center"/>
            </w:pPr>
            <w:r>
              <w:rPr>
                <w:rFonts w:ascii="宋体" w:hAnsi="宋体" w:eastAsia="宋体"/>
                <w:sz w:val="16"/>
              </w:rPr>
              <w:t>22.5</w:t>
            </w:r>
          </w:p>
        </w:tc>
      </w:tr>
      <w:tr w14:paraId="7B1141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8604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328E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C9B06">
            <w:pPr>
              <w:jc w:val="center"/>
            </w:pPr>
            <w:r>
              <w:rPr>
                <w:rFonts w:ascii="宋体" w:hAnsi="宋体" w:eastAsia="宋体"/>
                <w:sz w:val="16"/>
              </w:rPr>
              <w:t>开展青少年思想道德建设活动次数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694B7">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D6F33">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B5FCA">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6B5A1">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AC911">
            <w:pPr>
              <w:jc w:val="center"/>
            </w:pPr>
            <w:r>
              <w:rPr>
                <w:rFonts w:ascii="宋体" w:hAnsi="宋体" w:eastAsia="宋体"/>
                <w:sz w:val="16"/>
              </w:rPr>
              <w:t>22.5</w:t>
            </w:r>
          </w:p>
        </w:tc>
      </w:tr>
      <w:tr w14:paraId="621EDB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FF77D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B86A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94EAF">
            <w:pPr>
              <w:jc w:val="center"/>
            </w:pPr>
            <w:r>
              <w:rPr>
                <w:rFonts w:ascii="宋体" w:hAnsi="宋体" w:eastAsia="宋体"/>
                <w:sz w:val="16"/>
              </w:rPr>
              <w:t>组织离退休干部参加各类活动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F45EE">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632C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74D9B">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62A80">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A19D0">
            <w:pPr>
              <w:jc w:val="center"/>
            </w:pPr>
            <w:r>
              <w:rPr>
                <w:rFonts w:ascii="宋体" w:hAnsi="宋体" w:eastAsia="宋体"/>
                <w:sz w:val="16"/>
              </w:rPr>
              <w:t>22.5</w:t>
            </w:r>
          </w:p>
        </w:tc>
      </w:tr>
    </w:tbl>
    <w:p w14:paraId="2CA47B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BAF7AC2">
        <w:tblPrEx>
          <w:tblCellMar>
            <w:top w:w="0" w:type="dxa"/>
            <w:left w:w="108" w:type="dxa"/>
            <w:bottom w:w="0" w:type="dxa"/>
            <w:right w:w="108" w:type="dxa"/>
          </w:tblCellMar>
        </w:tblPrEx>
        <w:tc>
          <w:tcPr>
            <w:tcW w:w="8912" w:type="dxa"/>
            <w:gridSpan w:val="14"/>
            <w:vAlign w:val="center"/>
          </w:tcPr>
          <w:p w14:paraId="706AB60F">
            <w:pPr>
              <w:jc w:val="center"/>
            </w:pPr>
            <w:r>
              <w:rPr>
                <w:rFonts w:ascii="宋体" w:hAnsi="宋体" w:eastAsia="宋体"/>
                <w:sz w:val="24"/>
              </w:rPr>
              <w:t>项目支出绩效自评表</w:t>
            </w:r>
          </w:p>
        </w:tc>
      </w:tr>
      <w:tr w14:paraId="17878422">
        <w:tblPrEx>
          <w:tblCellMar>
            <w:top w:w="0" w:type="dxa"/>
            <w:left w:w="108" w:type="dxa"/>
            <w:bottom w:w="0" w:type="dxa"/>
            <w:right w:w="108" w:type="dxa"/>
          </w:tblCellMar>
        </w:tblPrEx>
        <w:tc>
          <w:tcPr>
            <w:tcW w:w="8912" w:type="dxa"/>
            <w:gridSpan w:val="14"/>
            <w:vAlign w:val="center"/>
          </w:tcPr>
          <w:p w14:paraId="32C7DE26">
            <w:pPr>
              <w:jc w:val="center"/>
            </w:pPr>
            <w:r>
              <w:rPr>
                <w:rFonts w:ascii="宋体" w:hAnsi="宋体" w:eastAsia="宋体"/>
                <w:sz w:val="24"/>
              </w:rPr>
              <w:t>(2024年度)</w:t>
            </w:r>
          </w:p>
        </w:tc>
      </w:tr>
      <w:tr w14:paraId="4F3553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D331">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1554A0">
            <w:pPr>
              <w:jc w:val="center"/>
            </w:pPr>
            <w:r>
              <w:rPr>
                <w:rFonts w:ascii="宋体" w:hAnsi="宋体" w:eastAsia="宋体"/>
                <w:sz w:val="16"/>
              </w:rPr>
              <w:t>援疆资金公用经费补助（离退休党支部标准化、规范化建设补助；离退休干部参观学习考察</w:t>
            </w:r>
            <w:r>
              <w:rPr>
                <w:rFonts w:hint="eastAsia" w:ascii="宋体" w:hAnsi="宋体"/>
                <w:sz w:val="16"/>
                <w:lang w:eastAsia="zh-CN"/>
              </w:rPr>
              <w:t>）</w:t>
            </w:r>
          </w:p>
        </w:tc>
      </w:tr>
      <w:tr w14:paraId="47A3A8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F698">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97F99">
            <w:pPr>
              <w:jc w:val="center"/>
            </w:pPr>
            <w:r>
              <w:rPr>
                <w:rFonts w:ascii="宋体" w:hAnsi="宋体" w:eastAsia="宋体"/>
                <w:sz w:val="16"/>
              </w:rPr>
              <w:t>中共特克斯县委老干部局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2ED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B1FFEC">
            <w:pPr>
              <w:jc w:val="center"/>
            </w:pPr>
            <w:r>
              <w:rPr>
                <w:rFonts w:ascii="宋体" w:hAnsi="宋体" w:eastAsia="宋体"/>
                <w:sz w:val="16"/>
              </w:rPr>
              <w:t>中共特克斯县委老干部局</w:t>
            </w:r>
          </w:p>
        </w:tc>
      </w:tr>
      <w:tr w14:paraId="025641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065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910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030D2">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B4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83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DB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31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F7F8">
            <w:pPr>
              <w:jc w:val="center"/>
            </w:pPr>
            <w:r>
              <w:rPr>
                <w:rFonts w:ascii="宋体" w:hAnsi="宋体" w:eastAsia="宋体"/>
                <w:sz w:val="16"/>
              </w:rPr>
              <w:t>得分</w:t>
            </w:r>
          </w:p>
        </w:tc>
      </w:tr>
      <w:tr w14:paraId="5AA30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77F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DCF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D827A">
            <w:pPr>
              <w:jc w:val="center"/>
            </w:pPr>
            <w:r>
              <w:rPr>
                <w:rFonts w:ascii="宋体" w:hAnsi="宋体" w:eastAsia="宋体"/>
                <w:sz w:val="16"/>
              </w:rPr>
              <w:t>25.00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956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A047">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98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8922">
            <w:pPr>
              <w:jc w:val="center"/>
            </w:pPr>
            <w:r>
              <w:rPr>
                <w:rFonts w:ascii="宋体" w:hAnsi="宋体" w:eastAsia="宋体"/>
                <w:sz w:val="16"/>
              </w:rPr>
              <w:t>97.70%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E83F">
            <w:pPr>
              <w:jc w:val="center"/>
            </w:pPr>
            <w:r>
              <w:rPr>
                <w:rFonts w:ascii="宋体" w:hAnsi="宋体" w:eastAsia="宋体"/>
                <w:sz w:val="16"/>
              </w:rPr>
              <w:t>10.00</w:t>
            </w:r>
          </w:p>
        </w:tc>
      </w:tr>
      <w:tr w14:paraId="23674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D22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F5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D73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6A1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D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01B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C1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158F">
            <w:pPr>
              <w:jc w:val="center"/>
            </w:pPr>
            <w:r>
              <w:rPr>
                <w:rFonts w:ascii="宋体" w:hAnsi="宋体" w:eastAsia="宋体"/>
                <w:sz w:val="16"/>
              </w:rPr>
              <w:t>—</w:t>
            </w:r>
          </w:p>
        </w:tc>
      </w:tr>
      <w:tr w14:paraId="329E7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933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993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5441">
            <w:pPr>
              <w:jc w:val="center"/>
            </w:pPr>
            <w:r>
              <w:rPr>
                <w:rFonts w:ascii="宋体" w:hAnsi="宋体" w:eastAsia="宋体"/>
                <w:sz w:val="16"/>
              </w:rPr>
              <w:t>25.00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5EC0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4D9F">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81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2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4B01">
            <w:pPr>
              <w:jc w:val="center"/>
            </w:pPr>
            <w:r>
              <w:rPr>
                <w:rFonts w:ascii="宋体" w:hAnsi="宋体" w:eastAsia="宋体"/>
                <w:sz w:val="16"/>
              </w:rPr>
              <w:t>—</w:t>
            </w:r>
          </w:p>
        </w:tc>
      </w:tr>
      <w:tr w14:paraId="6DF3FE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759E2">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DDB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082F9">
            <w:pPr>
              <w:jc w:val="center"/>
            </w:pPr>
            <w:r>
              <w:rPr>
                <w:rFonts w:ascii="宋体" w:hAnsi="宋体" w:eastAsia="宋体"/>
                <w:sz w:val="16"/>
              </w:rPr>
              <w:t>实际完成情况</w:t>
            </w:r>
          </w:p>
        </w:tc>
      </w:tr>
      <w:tr w14:paraId="01B51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DAB7"/>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4D013F">
            <w:pPr>
              <w:jc w:val="both"/>
            </w:pPr>
            <w:r>
              <w:rPr>
                <w:rFonts w:ascii="宋体" w:hAnsi="宋体" w:eastAsia="宋体"/>
                <w:sz w:val="16"/>
              </w:rPr>
              <w:t>本项目主要用于老干部开展的日常工作，在县委和县政府及上级部门的指导下，紧紧围绕全县老干部工作目标做好各项工作。支付老干部工作经费、办公经费及业务服务费等临时性的工作。进一步夯实基层老干部工作基础，全面提高老干部工作质量,完成年度老干部工作目标任务和县委、县政府交办的其他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305E1D">
            <w:pPr>
              <w:jc w:val="both"/>
            </w:pPr>
            <w:r>
              <w:rPr>
                <w:rFonts w:hint="eastAsia" w:ascii="宋体" w:hAnsi="宋体"/>
                <w:sz w:val="16"/>
                <w:lang w:eastAsia="zh-CN"/>
              </w:rPr>
              <w:t>本单位</w:t>
            </w:r>
            <w:r>
              <w:rPr>
                <w:rFonts w:ascii="宋体" w:hAnsi="宋体" w:eastAsia="宋体"/>
                <w:sz w:val="16"/>
              </w:rPr>
              <w:t>要落实好离退休干部政治生活待遇、特殊困难老干部帮扶、组织离退休干部参加各类活动《老年大学、老干部活动中心》、积极发挥离退休干部作用《关心下一代工作委员会》困难学生救助资金、规范离退休党组织建设等工作。全年支出共计：9.7683万元。</w:t>
            </w:r>
          </w:p>
        </w:tc>
      </w:tr>
      <w:tr w14:paraId="6732D9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99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24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9C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BB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4B98">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6CE0C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E19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99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03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53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38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C8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28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3776">
            <w:pPr>
              <w:jc w:val="center"/>
            </w:pPr>
            <w:r>
              <w:rPr>
                <w:rFonts w:ascii="宋体" w:hAnsi="宋体" w:eastAsia="宋体"/>
                <w:sz w:val="16"/>
              </w:rPr>
              <w:t>偏差原因分析及改进措施</w:t>
            </w:r>
          </w:p>
        </w:tc>
      </w:tr>
      <w:tr w14:paraId="38EF34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9CC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464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5DC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22FD">
            <w:pPr>
              <w:jc w:val="center"/>
            </w:pPr>
            <w:r>
              <w:rPr>
                <w:rFonts w:ascii="宋体" w:hAnsi="宋体" w:eastAsia="宋体"/>
                <w:sz w:val="16"/>
              </w:rPr>
              <w:t>特殊困难老干部帮扶及困难学生救助资金人数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911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A3235A">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9D61">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9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C9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1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2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5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85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C1B3">
            <w:pPr>
              <w:jc w:val="center"/>
            </w:pPr>
          </w:p>
        </w:tc>
      </w:tr>
      <w:tr w14:paraId="02F6A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76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D1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A5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1C12">
            <w:pPr>
              <w:jc w:val="center"/>
            </w:pPr>
            <w:r>
              <w:rPr>
                <w:rFonts w:ascii="宋体" w:hAnsi="宋体" w:eastAsia="宋体"/>
                <w:sz w:val="16"/>
              </w:rPr>
              <w:t>离退休党支部标准化、规范化建设次数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AC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86ED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D9E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7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6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9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0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8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D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784C">
            <w:pPr>
              <w:jc w:val="center"/>
            </w:pPr>
          </w:p>
        </w:tc>
      </w:tr>
      <w:tr w14:paraId="57D46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A1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2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10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9C46">
            <w:pPr>
              <w:jc w:val="center"/>
            </w:pPr>
            <w:r>
              <w:rPr>
                <w:rFonts w:ascii="宋体" w:hAnsi="宋体" w:eastAsia="宋体"/>
                <w:sz w:val="16"/>
              </w:rPr>
              <w:t>特殊困难老干部帮扶及困难学生救助资金次数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C0E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9E701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F6F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6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2B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2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8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0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B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DCCB">
            <w:pPr>
              <w:jc w:val="center"/>
            </w:pPr>
          </w:p>
        </w:tc>
      </w:tr>
      <w:tr w14:paraId="40DC2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92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C9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48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EBB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415B">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97C53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4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5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75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7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E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B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6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8CFA">
            <w:pPr>
              <w:jc w:val="center"/>
            </w:pPr>
          </w:p>
        </w:tc>
      </w:tr>
      <w:tr w14:paraId="53FE4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2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57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F7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CFBE">
            <w:pPr>
              <w:jc w:val="center"/>
            </w:pPr>
            <w:r>
              <w:rPr>
                <w:rFonts w:ascii="宋体" w:hAnsi="宋体" w:eastAsia="宋体"/>
                <w:sz w:val="16"/>
              </w:rPr>
              <w:t>资金使用及时性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8CBB">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E3A5E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0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E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AE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D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A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D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4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587B">
            <w:pPr>
              <w:jc w:val="center"/>
            </w:pPr>
          </w:p>
        </w:tc>
      </w:tr>
      <w:tr w14:paraId="1960A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320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0FD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177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30C7">
            <w:pPr>
              <w:jc w:val="center"/>
            </w:pPr>
            <w:r>
              <w:rPr>
                <w:rFonts w:ascii="宋体" w:hAnsi="宋体" w:eastAsia="宋体"/>
                <w:sz w:val="16"/>
              </w:rPr>
              <w:t>特殊困难老干部帮扶及困难学生救助资金费用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AE5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03DC79">
            <w:pPr>
              <w:jc w:val="center"/>
            </w:pPr>
            <w:r>
              <w:rPr>
                <w:rFonts w:ascii="宋体" w:hAnsi="宋体" w:eastAsia="宋体"/>
                <w:sz w:val="16"/>
              </w:rPr>
              <w:t>&lt;=300元/人/次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29B2">
            <w:pPr>
              <w:jc w:val="center"/>
            </w:pPr>
            <w:r>
              <w:rPr>
                <w:rFonts w:ascii="宋体" w:hAnsi="宋体" w:eastAsia="宋体"/>
                <w:sz w:val="16"/>
              </w:rPr>
              <w:t>300元/人/次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2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2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F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2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7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7E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6B55">
            <w:pPr>
              <w:jc w:val="center"/>
            </w:pPr>
          </w:p>
        </w:tc>
      </w:tr>
      <w:tr w14:paraId="5F437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3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4A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74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8F84">
            <w:pPr>
              <w:jc w:val="center"/>
            </w:pPr>
            <w:r>
              <w:rPr>
                <w:rFonts w:ascii="宋体" w:hAnsi="宋体" w:eastAsia="宋体"/>
                <w:sz w:val="16"/>
              </w:rPr>
              <w:t>离退休党支部标准化、规范化建设费用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E02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31FCCF">
            <w:pPr>
              <w:jc w:val="center"/>
            </w:pPr>
            <w:r>
              <w:rPr>
                <w:rFonts w:ascii="宋体" w:hAnsi="宋体" w:eastAsia="宋体"/>
                <w:sz w:val="16"/>
              </w:rPr>
              <w:t>&lt;=7万元/次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AE0C">
            <w:pPr>
              <w:jc w:val="center"/>
            </w:pPr>
            <w:r>
              <w:rPr>
                <w:rFonts w:ascii="宋体" w:hAnsi="宋体" w:eastAsia="宋体"/>
                <w:sz w:val="16"/>
              </w:rPr>
              <w:t>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6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F8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0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E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2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11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6DF0">
            <w:pPr>
              <w:jc w:val="center"/>
            </w:pPr>
          </w:p>
        </w:tc>
      </w:tr>
      <w:tr w14:paraId="59C1D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498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2907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CE0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4B08">
            <w:pPr>
              <w:jc w:val="center"/>
            </w:pPr>
            <w:r>
              <w:rPr>
                <w:rFonts w:ascii="宋体" w:hAnsi="宋体" w:eastAsia="宋体"/>
                <w:sz w:val="16"/>
              </w:rPr>
              <w:t>提高老干部生活待遇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797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2BA7F">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7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2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B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E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E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74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C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2FC9">
            <w:pPr>
              <w:jc w:val="center"/>
            </w:pPr>
          </w:p>
        </w:tc>
      </w:tr>
      <w:tr w14:paraId="20A19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E9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D7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574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6623">
            <w:pPr>
              <w:jc w:val="center"/>
            </w:pPr>
            <w:r>
              <w:rPr>
                <w:rFonts w:ascii="宋体" w:hAnsi="宋体" w:eastAsia="宋体"/>
                <w:sz w:val="16"/>
              </w:rPr>
              <w:t>提高老干部思想政治水平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002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F69AC8">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6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8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94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2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D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5C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C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3271">
            <w:pPr>
              <w:jc w:val="center"/>
            </w:pPr>
          </w:p>
        </w:tc>
      </w:tr>
      <w:tr w14:paraId="78F4B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4A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60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C8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63A9">
            <w:pPr>
              <w:jc w:val="center"/>
            </w:pPr>
            <w:r>
              <w:rPr>
                <w:rFonts w:ascii="宋体" w:hAnsi="宋体" w:eastAsia="宋体"/>
                <w:sz w:val="16"/>
              </w:rPr>
              <w:t>离退休干部满意度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68A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023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6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30C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0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5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8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7C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5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C0DA">
            <w:pPr>
              <w:jc w:val="center"/>
            </w:pPr>
            <w:r>
              <w:rPr>
                <w:rFonts w:ascii="宋体" w:hAnsi="宋体" w:eastAsia="宋体"/>
                <w:sz w:val="16"/>
              </w:rPr>
              <w:t>原因分析：慰问老干部局覆盖力度加大，政治待遇和生活待遇提升</w:t>
            </w:r>
          </w:p>
        </w:tc>
      </w:tr>
      <w:tr w14:paraId="6B1B54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7520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801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C0D04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CF9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26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E4A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6F1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F3A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C55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E32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16CFB"/>
        </w:tc>
      </w:tr>
    </w:tbl>
    <w:p w14:paraId="317FAD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187A528">
        <w:tblPrEx>
          <w:tblCellMar>
            <w:top w:w="0" w:type="dxa"/>
            <w:left w:w="108" w:type="dxa"/>
            <w:bottom w:w="0" w:type="dxa"/>
            <w:right w:w="108" w:type="dxa"/>
          </w:tblCellMar>
        </w:tblPrEx>
        <w:tc>
          <w:tcPr>
            <w:tcW w:w="8848" w:type="dxa"/>
            <w:gridSpan w:val="14"/>
            <w:vAlign w:val="center"/>
          </w:tcPr>
          <w:p w14:paraId="5D50449B">
            <w:pPr>
              <w:jc w:val="center"/>
            </w:pPr>
            <w:r>
              <w:rPr>
                <w:rFonts w:ascii="宋体" w:hAnsi="宋体" w:eastAsia="宋体"/>
                <w:sz w:val="24"/>
              </w:rPr>
              <w:t>项目支出绩效自评表</w:t>
            </w:r>
          </w:p>
        </w:tc>
      </w:tr>
      <w:tr w14:paraId="2E670902">
        <w:tblPrEx>
          <w:tblCellMar>
            <w:top w:w="0" w:type="dxa"/>
            <w:left w:w="108" w:type="dxa"/>
            <w:bottom w:w="0" w:type="dxa"/>
            <w:right w:w="108" w:type="dxa"/>
          </w:tblCellMar>
        </w:tblPrEx>
        <w:tc>
          <w:tcPr>
            <w:tcW w:w="8848" w:type="dxa"/>
            <w:gridSpan w:val="14"/>
            <w:vAlign w:val="center"/>
          </w:tcPr>
          <w:p w14:paraId="0C3A7847">
            <w:pPr>
              <w:jc w:val="center"/>
            </w:pPr>
            <w:r>
              <w:rPr>
                <w:rFonts w:ascii="宋体" w:hAnsi="宋体" w:eastAsia="宋体"/>
                <w:sz w:val="24"/>
              </w:rPr>
              <w:t>(2024年度)</w:t>
            </w:r>
          </w:p>
        </w:tc>
      </w:tr>
      <w:tr w14:paraId="2896C0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FD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1BA6B4">
            <w:pPr>
              <w:jc w:val="center"/>
            </w:pPr>
            <w:r>
              <w:rPr>
                <w:rFonts w:ascii="宋体" w:hAnsi="宋体" w:eastAsia="宋体"/>
                <w:sz w:val="16"/>
              </w:rPr>
              <w:t>老年活动经费（年初本级）</w:t>
            </w:r>
          </w:p>
        </w:tc>
      </w:tr>
      <w:tr w14:paraId="2CBCF1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2D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69C6C">
            <w:pPr>
              <w:jc w:val="center"/>
            </w:pPr>
            <w:r>
              <w:rPr>
                <w:rFonts w:ascii="宋体" w:hAnsi="宋体" w:eastAsia="宋体"/>
                <w:sz w:val="16"/>
              </w:rPr>
              <w:t>中共特克斯县委老干部局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6DE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AB1724">
            <w:pPr>
              <w:jc w:val="center"/>
            </w:pPr>
            <w:r>
              <w:rPr>
                <w:rFonts w:ascii="宋体" w:hAnsi="宋体" w:eastAsia="宋体"/>
                <w:sz w:val="16"/>
              </w:rPr>
              <w:t>中共特克斯县委老干部局</w:t>
            </w:r>
          </w:p>
        </w:tc>
      </w:tr>
      <w:tr w14:paraId="7921CF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690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EF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06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1A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586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60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E59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0170">
            <w:pPr>
              <w:jc w:val="center"/>
            </w:pPr>
            <w:r>
              <w:rPr>
                <w:rFonts w:ascii="宋体" w:hAnsi="宋体" w:eastAsia="宋体"/>
                <w:sz w:val="16"/>
              </w:rPr>
              <w:t>得分</w:t>
            </w:r>
          </w:p>
        </w:tc>
      </w:tr>
      <w:tr w14:paraId="5FB03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0E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E78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BE362">
            <w:pPr>
              <w:jc w:val="center"/>
            </w:pPr>
            <w:r>
              <w:rPr>
                <w:rFonts w:ascii="宋体" w:hAnsi="宋体" w:eastAsia="宋体"/>
                <w:sz w:val="16"/>
              </w:rPr>
              <w:t>44.20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2677">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DF57">
            <w:pPr>
              <w:jc w:val="center"/>
            </w:pPr>
            <w:r>
              <w:rPr>
                <w:rFonts w:ascii="宋体" w:hAnsi="宋体" w:eastAsia="宋体"/>
                <w:sz w:val="16"/>
              </w:rPr>
              <w:t>25.32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A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57B1">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D2B1">
            <w:pPr>
              <w:jc w:val="center"/>
            </w:pPr>
            <w:r>
              <w:rPr>
                <w:rFonts w:ascii="宋体" w:hAnsi="宋体" w:eastAsia="宋体"/>
                <w:sz w:val="16"/>
              </w:rPr>
              <w:t>10.00</w:t>
            </w:r>
          </w:p>
        </w:tc>
      </w:tr>
      <w:tr w14:paraId="7B944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B2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A9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7503C">
            <w:pPr>
              <w:jc w:val="center"/>
            </w:pPr>
            <w:r>
              <w:rPr>
                <w:rFonts w:ascii="宋体" w:hAnsi="宋体" w:eastAsia="宋体"/>
                <w:sz w:val="16"/>
              </w:rPr>
              <w:t>44.20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1CFA5">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AEE7">
            <w:pPr>
              <w:jc w:val="center"/>
            </w:pPr>
            <w:r>
              <w:rPr>
                <w:rFonts w:ascii="宋体" w:hAnsi="宋体" w:eastAsia="宋体"/>
                <w:sz w:val="16"/>
              </w:rPr>
              <w:t>25.32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172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93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8000">
            <w:pPr>
              <w:jc w:val="center"/>
            </w:pPr>
            <w:r>
              <w:rPr>
                <w:rFonts w:ascii="宋体" w:hAnsi="宋体" w:eastAsia="宋体"/>
                <w:sz w:val="16"/>
              </w:rPr>
              <w:t>—</w:t>
            </w:r>
          </w:p>
        </w:tc>
      </w:tr>
      <w:tr w14:paraId="36413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704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21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E92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B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272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9D4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9C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E005">
            <w:pPr>
              <w:jc w:val="center"/>
            </w:pPr>
            <w:r>
              <w:rPr>
                <w:rFonts w:ascii="宋体" w:hAnsi="宋体" w:eastAsia="宋体"/>
                <w:sz w:val="16"/>
              </w:rPr>
              <w:t>—</w:t>
            </w:r>
          </w:p>
        </w:tc>
      </w:tr>
      <w:tr w14:paraId="22D07D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C09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12A5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02C88">
            <w:pPr>
              <w:jc w:val="center"/>
            </w:pPr>
            <w:r>
              <w:rPr>
                <w:rFonts w:ascii="宋体" w:hAnsi="宋体" w:eastAsia="宋体"/>
                <w:sz w:val="16"/>
              </w:rPr>
              <w:t>实际完成情况</w:t>
            </w:r>
          </w:p>
        </w:tc>
      </w:tr>
      <w:tr w14:paraId="2552E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652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94D46">
            <w:pPr>
              <w:jc w:val="both"/>
            </w:pPr>
            <w:r>
              <w:rPr>
                <w:rFonts w:ascii="宋体" w:hAnsi="宋体" w:eastAsia="宋体"/>
                <w:sz w:val="16"/>
              </w:rPr>
              <w:t>新党办发</w:t>
            </w:r>
            <w:r>
              <w:rPr>
                <w:rFonts w:hint="eastAsia" w:ascii="宋体" w:hAnsi="宋体"/>
                <w:sz w:val="16"/>
                <w:lang w:eastAsia="zh-CN"/>
              </w:rPr>
              <w:t>〔2017〕47号</w:t>
            </w:r>
            <w:r>
              <w:rPr>
                <w:rFonts w:ascii="宋体" w:hAnsi="宋体" w:eastAsia="宋体"/>
                <w:sz w:val="16"/>
              </w:rPr>
              <w:t xml:space="preserve"> 自治区党委办公厅 自治区人民政府办公厅 印发《关于进一步加强和改进离退休干部工作的实施意见》的通知等相关文件要求，离退休干部及</w:t>
            </w:r>
            <w:r>
              <w:rPr>
                <w:rFonts w:hint="eastAsia" w:ascii="宋体" w:hAnsi="宋体"/>
                <w:sz w:val="16"/>
                <w:lang w:eastAsia="zh-CN"/>
              </w:rPr>
              <w:t>离退</w:t>
            </w:r>
            <w:r>
              <w:rPr>
                <w:rFonts w:ascii="宋体" w:hAnsi="宋体" w:eastAsia="宋体"/>
                <w:sz w:val="16"/>
              </w:rPr>
              <w:t>休干部遗孀春节慰问资金，老干部活动中心改造搬迁费，离退休干部报刊费，离退休干部党组织书记工作补贴，老干部半年经济社会发展通报会及观摩会经费，老干部全年通报会等费用，共计25.33万元。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E977B6">
            <w:pPr>
              <w:jc w:val="both"/>
            </w:pPr>
            <w:r>
              <w:rPr>
                <w:rFonts w:ascii="宋体" w:hAnsi="宋体" w:eastAsia="宋体"/>
                <w:sz w:val="16"/>
              </w:rPr>
              <w:t>按照新党办发</w:t>
            </w:r>
            <w:r>
              <w:rPr>
                <w:rFonts w:hint="eastAsia" w:ascii="宋体" w:hAnsi="宋体"/>
                <w:sz w:val="16"/>
                <w:lang w:eastAsia="zh-CN"/>
              </w:rPr>
              <w:t>〔2017〕47号</w:t>
            </w:r>
            <w:r>
              <w:rPr>
                <w:rFonts w:ascii="宋体" w:hAnsi="宋体" w:eastAsia="宋体"/>
                <w:sz w:val="16"/>
              </w:rPr>
              <w:t xml:space="preserve"> 自治区党委办公厅 自治区人民政府办公厅 印发《关于进一步加强和改进离退休干部工作的实施意见》的通知等相关文件要求，</w:t>
            </w:r>
            <w:r>
              <w:rPr>
                <w:rFonts w:hint="eastAsia" w:ascii="宋体" w:hAnsi="宋体"/>
                <w:sz w:val="16"/>
                <w:lang w:eastAsia="zh-CN"/>
              </w:rPr>
              <w:t>本单位</w:t>
            </w:r>
            <w:r>
              <w:rPr>
                <w:rFonts w:ascii="宋体" w:hAnsi="宋体" w:eastAsia="宋体"/>
                <w:sz w:val="16"/>
              </w:rPr>
              <w:t>要落实好离退休干部及</w:t>
            </w:r>
            <w:r>
              <w:rPr>
                <w:rFonts w:hint="eastAsia" w:ascii="宋体" w:hAnsi="宋体"/>
                <w:sz w:val="16"/>
                <w:lang w:eastAsia="zh-CN"/>
              </w:rPr>
              <w:t>离退</w:t>
            </w:r>
            <w:r>
              <w:rPr>
                <w:rFonts w:ascii="宋体" w:hAnsi="宋体" w:eastAsia="宋体"/>
                <w:sz w:val="16"/>
              </w:rPr>
              <w:t>休干部遗孀春节慰问资金，老干部活动中心改造搬迁费，离退休干部报刊费，离退休干部党组织书记工作补贴，老干部半年经济社会发展通报会及观摩会经费，老干部全年通报会</w:t>
            </w:r>
            <w:r>
              <w:rPr>
                <w:rFonts w:hint="eastAsia" w:ascii="宋体" w:hAnsi="宋体"/>
                <w:sz w:val="16"/>
                <w:lang w:eastAsia="zh-CN"/>
              </w:rPr>
              <w:t>等</w:t>
            </w:r>
            <w:r>
              <w:rPr>
                <w:rFonts w:ascii="宋体" w:hAnsi="宋体" w:eastAsia="宋体"/>
                <w:sz w:val="16"/>
              </w:rPr>
              <w:t>工作，全年支出共计25.3206万元。</w:t>
            </w:r>
          </w:p>
        </w:tc>
      </w:tr>
      <w:tr w14:paraId="467336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C82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B1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E5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EB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25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C4E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31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2A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1E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3A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89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65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90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2309">
            <w:pPr>
              <w:jc w:val="center"/>
            </w:pPr>
            <w:r>
              <w:rPr>
                <w:rFonts w:ascii="宋体" w:hAnsi="宋体" w:eastAsia="宋体"/>
                <w:sz w:val="16"/>
              </w:rPr>
              <w:t>偏差原因分析及改进措施</w:t>
            </w:r>
          </w:p>
        </w:tc>
      </w:tr>
      <w:tr w14:paraId="2B176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C3F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BEA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74C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410A">
            <w:pPr>
              <w:jc w:val="center"/>
            </w:pPr>
            <w:r>
              <w:rPr>
                <w:rFonts w:ascii="宋体" w:hAnsi="宋体" w:eastAsia="宋体"/>
                <w:sz w:val="16"/>
              </w:rPr>
              <w:t>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4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22B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D7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4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9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9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9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3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1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4C0F">
            <w:pPr>
              <w:jc w:val="center"/>
            </w:pPr>
          </w:p>
        </w:tc>
      </w:tr>
      <w:tr w14:paraId="08CD4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D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F3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10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7450">
            <w:pPr>
              <w:jc w:val="center"/>
            </w:pPr>
            <w:r>
              <w:rPr>
                <w:rFonts w:ascii="宋体" w:hAnsi="宋体" w:eastAsia="宋体"/>
                <w:sz w:val="16"/>
              </w:rPr>
              <w:t>慰问人数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F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ABC7">
            <w:pPr>
              <w:jc w:val="center"/>
            </w:pPr>
            <w:r>
              <w:rPr>
                <w:rFonts w:ascii="宋体" w:hAnsi="宋体" w:eastAsia="宋体"/>
                <w:sz w:val="16"/>
              </w:rPr>
              <w:t>&gt;=85人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0C4E">
            <w:pPr>
              <w:jc w:val="center"/>
            </w:pPr>
            <w:r>
              <w:rPr>
                <w:rFonts w:ascii="宋体" w:hAnsi="宋体" w:eastAsia="宋体"/>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8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E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D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B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F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8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1DC0">
            <w:pPr>
              <w:jc w:val="center"/>
            </w:pPr>
          </w:p>
        </w:tc>
      </w:tr>
      <w:tr w14:paraId="7A3E8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38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3B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BA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F562">
            <w:pPr>
              <w:jc w:val="center"/>
            </w:pPr>
            <w:r>
              <w:rPr>
                <w:rFonts w:ascii="宋体" w:hAnsi="宋体" w:eastAsia="宋体"/>
                <w:sz w:val="16"/>
              </w:rPr>
              <w:t>老干部通报会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0D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67F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0BE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F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05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D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4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C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C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D45B">
            <w:pPr>
              <w:jc w:val="center"/>
            </w:pPr>
          </w:p>
        </w:tc>
      </w:tr>
      <w:tr w14:paraId="19BC9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A4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49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1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694B">
            <w:pPr>
              <w:jc w:val="center"/>
            </w:pPr>
            <w:r>
              <w:rPr>
                <w:rFonts w:ascii="宋体" w:hAnsi="宋体" w:eastAsia="宋体"/>
                <w:sz w:val="16"/>
              </w:rPr>
              <w:t>发放补贴人数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C8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0249">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56F7">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7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47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C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D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B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1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D014">
            <w:pPr>
              <w:jc w:val="center"/>
            </w:pPr>
          </w:p>
        </w:tc>
      </w:tr>
      <w:tr w14:paraId="18E0F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A2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9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5E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06B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7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0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C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9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B5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2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B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8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6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687D">
            <w:pPr>
              <w:jc w:val="center"/>
            </w:pPr>
          </w:p>
        </w:tc>
      </w:tr>
      <w:tr w14:paraId="75974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B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78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BA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2D67">
            <w:pPr>
              <w:jc w:val="center"/>
            </w:pPr>
            <w:r>
              <w:rPr>
                <w:rFonts w:ascii="宋体" w:hAnsi="宋体" w:eastAsia="宋体"/>
                <w:sz w:val="16"/>
              </w:rPr>
              <w:t>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2D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F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2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3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DB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C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2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0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D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6AD1">
            <w:pPr>
              <w:jc w:val="center"/>
            </w:pPr>
          </w:p>
        </w:tc>
      </w:tr>
      <w:tr w14:paraId="3157C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B4F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DB0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92A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9804">
            <w:pPr>
              <w:jc w:val="center"/>
            </w:pPr>
            <w:r>
              <w:rPr>
                <w:rFonts w:ascii="宋体" w:hAnsi="宋体" w:eastAsia="宋体"/>
                <w:sz w:val="16"/>
              </w:rPr>
              <w:t>发放慰问金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2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905D">
            <w:pPr>
              <w:jc w:val="center"/>
            </w:pPr>
            <w:r>
              <w:rPr>
                <w:rFonts w:ascii="宋体" w:hAnsi="宋体" w:eastAsia="宋体"/>
                <w:sz w:val="16"/>
              </w:rPr>
              <w:t>&lt;=500元/人/次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9EDA">
            <w:pPr>
              <w:jc w:val="center"/>
            </w:pPr>
            <w:r>
              <w:rPr>
                <w:rFonts w:ascii="宋体" w:hAnsi="宋体" w:eastAsia="宋体"/>
                <w:sz w:val="16"/>
              </w:rPr>
              <w:t>500元/人/次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7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A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A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8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1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1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4641">
            <w:pPr>
              <w:jc w:val="center"/>
            </w:pPr>
          </w:p>
        </w:tc>
      </w:tr>
      <w:tr w14:paraId="50897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CB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14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C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473E">
            <w:pPr>
              <w:jc w:val="center"/>
            </w:pPr>
            <w:r>
              <w:rPr>
                <w:rFonts w:ascii="宋体" w:hAnsi="宋体" w:eastAsia="宋体"/>
                <w:sz w:val="16"/>
              </w:rPr>
              <w:t>发放补贴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36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8383">
            <w:pPr>
              <w:jc w:val="center"/>
            </w:pPr>
            <w:r>
              <w:rPr>
                <w:rFonts w:ascii="宋体" w:hAnsi="宋体" w:eastAsia="宋体"/>
                <w:sz w:val="16"/>
              </w:rPr>
              <w:t>&lt;=300元/人/月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EBAF">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B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F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9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F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8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2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5FE6">
            <w:pPr>
              <w:jc w:val="center"/>
            </w:pPr>
          </w:p>
        </w:tc>
      </w:tr>
      <w:tr w14:paraId="6CFB6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94B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E75F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024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1215">
            <w:pPr>
              <w:jc w:val="center"/>
            </w:pPr>
            <w:r>
              <w:rPr>
                <w:rFonts w:ascii="宋体" w:hAnsi="宋体" w:eastAsia="宋体"/>
                <w:sz w:val="16"/>
              </w:rPr>
              <w:t>提高老干部生活待遇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3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0F3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E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1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4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C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DB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A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8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EC73">
            <w:pPr>
              <w:jc w:val="center"/>
            </w:pPr>
          </w:p>
        </w:tc>
      </w:tr>
      <w:tr w14:paraId="3A4C3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4E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F0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3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91DA">
            <w:pPr>
              <w:jc w:val="center"/>
            </w:pPr>
            <w:r>
              <w:rPr>
                <w:rFonts w:ascii="宋体" w:hAnsi="宋体" w:eastAsia="宋体"/>
                <w:sz w:val="16"/>
              </w:rPr>
              <w:t>提高老干部思想政治水平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D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EF5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6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F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74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7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9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6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F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1783">
            <w:pPr>
              <w:jc w:val="center"/>
            </w:pPr>
          </w:p>
        </w:tc>
      </w:tr>
      <w:tr w14:paraId="3F7FE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91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BE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4B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719D">
            <w:pPr>
              <w:jc w:val="center"/>
            </w:pPr>
            <w:r>
              <w:rPr>
                <w:rFonts w:ascii="宋体" w:hAnsi="宋体" w:eastAsia="宋体"/>
                <w:sz w:val="16"/>
              </w:rPr>
              <w:t>慰问人员满意度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B8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D1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5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C42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1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C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2F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5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3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8956">
            <w:pPr>
              <w:jc w:val="center"/>
            </w:pPr>
            <w:r>
              <w:rPr>
                <w:rFonts w:ascii="宋体" w:hAnsi="宋体" w:eastAsia="宋体"/>
                <w:sz w:val="16"/>
              </w:rPr>
              <w:t>原因分析：慰问老干部局覆盖力度加大，政治待遇和生活待遇提升</w:t>
            </w:r>
          </w:p>
        </w:tc>
      </w:tr>
      <w:tr w14:paraId="2428D5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5D0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4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FAB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68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37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179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6C1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20D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6EB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B48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68F70"/>
        </w:tc>
      </w:tr>
    </w:tbl>
    <w:p w14:paraId="7C000CFB">
      <w:r>
        <w:br w:type="page"/>
      </w:r>
    </w:p>
    <w:p w14:paraId="7E5C4118">
      <w:pPr>
        <w:spacing w:line="640" w:lineRule="exact"/>
        <w:ind w:firstLine="640"/>
        <w:jc w:val="both"/>
        <w:outlineLvl w:val="2"/>
      </w:pPr>
      <w:r>
        <w:rPr>
          <w:rFonts w:ascii="黑体" w:hAnsi="黑体" w:eastAsia="黑体"/>
          <w:sz w:val="32"/>
        </w:rPr>
        <w:t>十二、其他需说明的事项</w:t>
      </w:r>
    </w:p>
    <w:p w14:paraId="16D73F8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7B9EBA8">
      <w:r>
        <w:br w:type="page"/>
      </w:r>
    </w:p>
    <w:p w14:paraId="37765C12">
      <w:pPr>
        <w:spacing w:line="240" w:lineRule="auto"/>
        <w:jc w:val="center"/>
        <w:outlineLvl w:val="1"/>
      </w:pPr>
      <w:r>
        <w:rPr>
          <w:rFonts w:ascii="黑体" w:hAnsi="黑体" w:eastAsia="黑体"/>
          <w:sz w:val="32"/>
        </w:rPr>
        <w:t>第三部分 专业名词解释</w:t>
      </w:r>
    </w:p>
    <w:p w14:paraId="60714B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5AEEB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DC1E02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EE318E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3A8A786">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E09C1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51C2F2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32A57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FAC9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E4AB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53995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D17686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16C5F0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255CDB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FF9B116">
      <w:r>
        <w:br w:type="page"/>
      </w:r>
    </w:p>
    <w:p w14:paraId="22250848">
      <w:pPr>
        <w:spacing w:line="240" w:lineRule="auto"/>
        <w:jc w:val="center"/>
        <w:outlineLvl w:val="1"/>
      </w:pPr>
      <w:r>
        <w:rPr>
          <w:rFonts w:ascii="黑体" w:hAnsi="黑体" w:eastAsia="黑体"/>
          <w:sz w:val="32"/>
        </w:rPr>
        <w:t>第四部分 部门决算报表（见附表）</w:t>
      </w:r>
    </w:p>
    <w:p w14:paraId="21215A63">
      <w:pPr>
        <w:spacing w:line="240" w:lineRule="auto"/>
        <w:ind w:firstLine="640"/>
        <w:jc w:val="both"/>
      </w:pPr>
      <w:r>
        <w:rPr>
          <w:rFonts w:ascii="仿宋_GB2312" w:hAnsi="仿宋_GB2312" w:eastAsia="仿宋_GB2312"/>
          <w:b w:val="0"/>
          <w:sz w:val="32"/>
        </w:rPr>
        <w:t>一、《收入支出决算总表》</w:t>
      </w:r>
    </w:p>
    <w:p w14:paraId="0C71D1F9">
      <w:pPr>
        <w:spacing w:line="240" w:lineRule="auto"/>
        <w:ind w:firstLine="640"/>
        <w:jc w:val="both"/>
      </w:pPr>
      <w:r>
        <w:rPr>
          <w:rFonts w:ascii="仿宋_GB2312" w:hAnsi="仿宋_GB2312" w:eastAsia="仿宋_GB2312"/>
          <w:b w:val="0"/>
          <w:sz w:val="32"/>
        </w:rPr>
        <w:t>二、《收入决算表》</w:t>
      </w:r>
    </w:p>
    <w:p w14:paraId="2298A261">
      <w:pPr>
        <w:spacing w:line="240" w:lineRule="auto"/>
        <w:ind w:firstLine="640"/>
        <w:jc w:val="both"/>
      </w:pPr>
      <w:r>
        <w:rPr>
          <w:rFonts w:ascii="仿宋_GB2312" w:hAnsi="仿宋_GB2312" w:eastAsia="仿宋_GB2312"/>
          <w:b w:val="0"/>
          <w:sz w:val="32"/>
        </w:rPr>
        <w:t>三、《支出决算表》</w:t>
      </w:r>
    </w:p>
    <w:p w14:paraId="6A8477C6">
      <w:pPr>
        <w:spacing w:line="240" w:lineRule="auto"/>
        <w:ind w:firstLine="640"/>
        <w:jc w:val="both"/>
      </w:pPr>
      <w:r>
        <w:rPr>
          <w:rFonts w:ascii="仿宋_GB2312" w:hAnsi="仿宋_GB2312" w:eastAsia="仿宋_GB2312"/>
          <w:b w:val="0"/>
          <w:sz w:val="32"/>
        </w:rPr>
        <w:t>四、《财政拨款收入支出决算总表》</w:t>
      </w:r>
    </w:p>
    <w:p w14:paraId="49D0FE87">
      <w:pPr>
        <w:spacing w:line="240" w:lineRule="auto"/>
        <w:ind w:firstLine="640"/>
        <w:jc w:val="both"/>
      </w:pPr>
      <w:r>
        <w:rPr>
          <w:rFonts w:ascii="仿宋_GB2312" w:hAnsi="仿宋_GB2312" w:eastAsia="仿宋_GB2312"/>
          <w:b w:val="0"/>
          <w:sz w:val="32"/>
        </w:rPr>
        <w:t>五、《一般公共预算财政拨款支出决算表》</w:t>
      </w:r>
    </w:p>
    <w:p w14:paraId="125CA550">
      <w:pPr>
        <w:spacing w:line="240" w:lineRule="auto"/>
        <w:ind w:firstLine="640"/>
        <w:jc w:val="both"/>
      </w:pPr>
      <w:r>
        <w:rPr>
          <w:rFonts w:ascii="仿宋_GB2312" w:hAnsi="仿宋_GB2312" w:eastAsia="仿宋_GB2312"/>
          <w:b w:val="0"/>
          <w:sz w:val="32"/>
        </w:rPr>
        <w:t>六、《一般公共预算财政拨款基本支出决算表》</w:t>
      </w:r>
    </w:p>
    <w:p w14:paraId="1FAFD2E5">
      <w:pPr>
        <w:spacing w:line="240" w:lineRule="auto"/>
        <w:ind w:firstLine="640"/>
        <w:jc w:val="both"/>
      </w:pPr>
      <w:r>
        <w:rPr>
          <w:rFonts w:ascii="仿宋_GB2312" w:hAnsi="仿宋_GB2312" w:eastAsia="仿宋_GB2312"/>
          <w:b w:val="0"/>
          <w:sz w:val="32"/>
        </w:rPr>
        <w:t>七、《政府性基金预算财政拨款收入支出决算表》</w:t>
      </w:r>
    </w:p>
    <w:p w14:paraId="3B66CE7B">
      <w:pPr>
        <w:spacing w:line="240" w:lineRule="auto"/>
        <w:ind w:firstLine="640"/>
        <w:jc w:val="both"/>
      </w:pPr>
      <w:r>
        <w:rPr>
          <w:rFonts w:ascii="仿宋_GB2312" w:hAnsi="仿宋_GB2312" w:eastAsia="仿宋_GB2312"/>
          <w:b w:val="0"/>
          <w:sz w:val="32"/>
        </w:rPr>
        <w:t>八、《国有资本经营预算财政拨款收入支出决算表》</w:t>
      </w:r>
    </w:p>
    <w:p w14:paraId="6A2765BA">
      <w:pPr>
        <w:spacing w:line="240" w:lineRule="auto"/>
        <w:ind w:firstLine="640"/>
        <w:jc w:val="both"/>
      </w:pPr>
      <w:r>
        <w:rPr>
          <w:rFonts w:ascii="仿宋_GB2312" w:hAnsi="仿宋_GB2312" w:eastAsia="仿宋_GB2312"/>
          <w:b w:val="0"/>
          <w:sz w:val="32"/>
        </w:rPr>
        <w:t>九、《财政拨款“三公”经费支出决算表》</w:t>
      </w:r>
    </w:p>
    <w:p w14:paraId="25A926F7">
      <w:pPr>
        <w:spacing w:line="240" w:lineRule="auto"/>
        <w:ind w:firstLine="640"/>
        <w:jc w:val="both"/>
      </w:pPr>
    </w:p>
    <w:p w14:paraId="2A5E811E">
      <w:pPr>
        <w:spacing w:line="240" w:lineRule="auto"/>
        <w:ind w:firstLine="640"/>
        <w:jc w:val="both"/>
      </w:pPr>
    </w:p>
    <w:p w14:paraId="1956FC86">
      <w:pPr>
        <w:spacing w:line="240" w:lineRule="auto"/>
        <w:ind w:firstLine="640"/>
        <w:jc w:val="both"/>
      </w:pPr>
    </w:p>
    <w:p w14:paraId="693E1027">
      <w:pPr>
        <w:spacing w:line="240" w:lineRule="auto"/>
        <w:ind w:firstLine="640"/>
        <w:jc w:val="both"/>
      </w:pPr>
    </w:p>
    <w:p w14:paraId="740B6D5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3D4C3D"/>
    <w:rsid w:val="11E15093"/>
    <w:rsid w:val="120E0809"/>
    <w:rsid w:val="19071D6C"/>
    <w:rsid w:val="19B5554D"/>
    <w:rsid w:val="1B8F2D19"/>
    <w:rsid w:val="1C317E4F"/>
    <w:rsid w:val="1C472464"/>
    <w:rsid w:val="1DAF458D"/>
    <w:rsid w:val="1DB1539A"/>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335358"/>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4748</Words>
  <Characters>5406</Characters>
  <Lines>0</Lines>
  <Paragraphs>0</Paragraphs>
  <TotalTime>9</TotalTime>
  <ScaleCrop>false</ScaleCrop>
  <LinksUpToDate>false</LinksUpToDate>
  <CharactersWithSpaces>5414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