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81439"/>
    <w:p w14:paraId="6E8BDC98">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14:paraId="081ADD66">
      <w:pPr>
        <w:pageBreakBefore w:val="0"/>
        <w:kinsoku/>
        <w:wordWrap/>
        <w:overflowPunct/>
        <w:topLinePunct w:val="0"/>
        <w:bidi w:val="0"/>
        <w:snapToGrid/>
        <w:spacing w:line="560" w:lineRule="exact"/>
        <w:rPr>
          <w:rFonts w:hint="default" w:ascii="Times New Roman" w:hAnsi="Times New Roman" w:eastAsia="华文中宋" w:cs="Times New Roman"/>
          <w:b/>
          <w:kern w:val="0"/>
          <w:sz w:val="52"/>
          <w:szCs w:val="52"/>
        </w:rPr>
      </w:pPr>
    </w:p>
    <w:p w14:paraId="3DDB9D99">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14:paraId="29B2FCF8">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14:paraId="3F813DFC">
      <w:pPr>
        <w:pageBreakBefore w:val="0"/>
        <w:kinsoku/>
        <w:wordWrap/>
        <w:overflowPunct/>
        <w:topLinePunct w:val="0"/>
        <w:bidi w:val="0"/>
        <w:snapToGrid/>
        <w:spacing w:line="56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喀拉峻景区基础设施建设（消化暂付款）项目支出绩效评价报告</w:t>
      </w:r>
    </w:p>
    <w:p w14:paraId="61538E46">
      <w:pPr>
        <w:pageBreakBefore w:val="0"/>
        <w:kinsoku/>
        <w:wordWrap/>
        <w:overflowPunct/>
        <w:topLinePunct w:val="0"/>
        <w:bidi w:val="0"/>
        <w:snapToGrid/>
        <w:spacing w:line="560" w:lineRule="exact"/>
        <w:jc w:val="center"/>
        <w:rPr>
          <w:rFonts w:hint="default" w:ascii="Times New Roman" w:hAnsi="Times New Roman" w:eastAsia="华文中宋" w:cs="Times New Roman"/>
          <w:b/>
          <w:kern w:val="0"/>
          <w:sz w:val="52"/>
          <w:szCs w:val="52"/>
        </w:rPr>
      </w:pPr>
    </w:p>
    <w:p w14:paraId="5497B7D0">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349765F">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14:paraId="189F5DCC">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14:paraId="2BC04E08">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14:paraId="253C6868">
      <w:pPr>
        <w:pStyle w:val="10"/>
        <w:pageBreakBefore w:val="0"/>
        <w:kinsoku/>
        <w:wordWrap/>
        <w:overflowPunct/>
        <w:topLinePunct w:val="0"/>
        <w:bidi w:val="0"/>
        <w:snapToGrid/>
        <w:spacing w:line="560" w:lineRule="exact"/>
        <w:rPr>
          <w:rFonts w:hint="default" w:ascii="Times New Roman" w:hAnsi="Times New Roman" w:cs="Times New Roman"/>
        </w:rPr>
      </w:pPr>
    </w:p>
    <w:p w14:paraId="183003C9">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14:paraId="720C0C93">
      <w:pPr>
        <w:pageBreakBefore w:val="0"/>
        <w:kinsoku/>
        <w:wordWrap/>
        <w:overflowPunct/>
        <w:topLinePunct w:val="0"/>
        <w:bidi w:val="0"/>
        <w:snapToGrid/>
        <w:spacing w:line="560" w:lineRule="exact"/>
        <w:rPr>
          <w:rFonts w:hint="default" w:ascii="Times New Roman" w:hAnsi="Times New Roman" w:eastAsia="仿宋_GB2312" w:cs="Times New Roman"/>
          <w:kern w:val="0"/>
          <w:sz w:val="30"/>
          <w:szCs w:val="30"/>
        </w:rPr>
      </w:pPr>
    </w:p>
    <w:p w14:paraId="5F568C55">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项目名称：喀拉峻景区基础设施建设（消化暂付款）</w:t>
      </w:r>
    </w:p>
    <w:p w14:paraId="183293D1">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32"/>
          <w:szCs w:val="32"/>
        </w:rPr>
        <w:t>实施单位（公章）：</w:t>
      </w:r>
      <w:r>
        <w:rPr>
          <w:rFonts w:hint="eastAsia" w:ascii="仿宋_GB2312" w:hAnsi="仿宋_GB2312" w:eastAsia="仿宋_GB2312" w:cs="仿宋_GB2312"/>
          <w:kern w:val="0"/>
          <w:sz w:val="28"/>
          <w:szCs w:val="28"/>
          <w:lang w:eastAsia="zh-CN"/>
        </w:rPr>
        <w:t>特克斯县八卦名城旅游风景区管理</w:t>
      </w:r>
      <w:r>
        <w:rPr>
          <w:rFonts w:hint="eastAsia" w:ascii="仿宋_GB2312" w:hAnsi="仿宋_GB2312" w:eastAsia="仿宋_GB2312" w:cs="仿宋_GB2312"/>
          <w:kern w:val="0"/>
          <w:sz w:val="28"/>
          <w:szCs w:val="28"/>
          <w:lang w:val="en-US" w:eastAsia="zh-CN"/>
        </w:rPr>
        <w:t>委员会</w:t>
      </w:r>
    </w:p>
    <w:p w14:paraId="0330B359">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w:t>
      </w:r>
      <w:r>
        <w:rPr>
          <w:rFonts w:hint="eastAsia" w:ascii="仿宋_GB2312" w:hAnsi="仿宋_GB2312" w:eastAsia="仿宋_GB2312" w:cs="仿宋_GB2312"/>
          <w:kern w:val="0"/>
          <w:sz w:val="28"/>
          <w:szCs w:val="28"/>
          <w:lang w:eastAsia="zh-CN"/>
        </w:rPr>
        <w:t>特克斯县八卦名城旅游风景区管理</w:t>
      </w:r>
      <w:r>
        <w:rPr>
          <w:rFonts w:hint="eastAsia" w:ascii="仿宋_GB2312" w:hAnsi="仿宋_GB2312" w:eastAsia="仿宋_GB2312" w:cs="仿宋_GB2312"/>
          <w:kern w:val="0"/>
          <w:sz w:val="28"/>
          <w:szCs w:val="28"/>
          <w:lang w:val="en-US" w:eastAsia="zh-CN"/>
        </w:rPr>
        <w:t>委员会</w:t>
      </w:r>
    </w:p>
    <w:p w14:paraId="24E0C87D">
      <w:pPr>
        <w:pageBreakBefore w:val="0"/>
        <w:kinsoku/>
        <w:wordWrap/>
        <w:overflowPunct/>
        <w:topLinePunct w:val="0"/>
        <w:bidi w:val="0"/>
        <w:snapToGrid/>
        <w:spacing w:line="560" w:lineRule="exact"/>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卫嘉</w:t>
      </w:r>
    </w:p>
    <w:p w14:paraId="08731F44">
      <w:pPr>
        <w:pageBreakBefore w:val="0"/>
        <w:kinsoku/>
        <w:wordWrap/>
        <w:overflowPunct/>
        <w:topLinePunct w:val="0"/>
        <w:bidi w:val="0"/>
        <w:snapToGrid/>
        <w:spacing w:line="560" w:lineRule="exact"/>
        <w:ind w:firstLine="640" w:firstLineChars="2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rPr>
        <w:t>日</w:t>
      </w:r>
    </w:p>
    <w:p w14:paraId="52C82111">
      <w:pPr>
        <w:pageBreakBefore w:val="0"/>
        <w:kinsoku/>
        <w:wordWrap/>
        <w:overflowPunct/>
        <w:topLinePunct w:val="0"/>
        <w:bidi w:val="0"/>
        <w:snapToGrid/>
        <w:spacing w:line="560" w:lineRule="exact"/>
        <w:jc w:val="center"/>
        <w:rPr>
          <w:rFonts w:hint="default" w:ascii="Times New Roman" w:hAnsi="Times New Roman" w:eastAsia="仿宋_GB2312" w:cs="Times New Roman"/>
          <w:kern w:val="0"/>
          <w:sz w:val="30"/>
          <w:szCs w:val="30"/>
        </w:rPr>
      </w:pPr>
    </w:p>
    <w:p w14:paraId="59CB58D5">
      <w:pPr>
        <w:pageBreakBefore w:val="0"/>
        <w:kinsoku/>
        <w:wordWrap/>
        <w:overflowPunct/>
        <w:topLinePunct w:val="0"/>
        <w:bidi w:val="0"/>
        <w:snapToGrid/>
        <w:spacing w:line="560" w:lineRule="exact"/>
        <w:rPr>
          <w:rStyle w:val="16"/>
          <w:rFonts w:hint="default" w:ascii="Times New Roman" w:hAnsi="Times New Roman" w:eastAsia="黑体" w:cs="Times New Roman"/>
          <w:b w:val="0"/>
          <w:spacing w:val="-4"/>
          <w:sz w:val="32"/>
          <w:szCs w:val="32"/>
        </w:rPr>
      </w:pPr>
    </w:p>
    <w:p w14:paraId="0C09CA7A">
      <w:pPr>
        <w:pageBreakBefore w:val="0"/>
        <w:kinsoku/>
        <w:wordWrap/>
        <w:overflowPunct/>
        <w:topLinePunct w:val="0"/>
        <w:bidi w:val="0"/>
        <w:snapToGrid/>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211B3E3D">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6A58EE7">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5859C87">
      <w:pPr>
        <w:pageBreakBefore w:val="0"/>
        <w:kinsoku/>
        <w:wordWrap/>
        <w:overflowPunct/>
        <w:topLinePunct w:val="0"/>
        <w:bidi w:val="0"/>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C90893E">
      <w:pPr>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default" w:ascii="Times New Roman" w:hAnsi="Times New Roman" w:eastAsia="黑体" w:cs="Times New Roman"/>
          <w:b w:val="0"/>
          <w:bCs/>
          <w:spacing w:val="-4"/>
          <w:sz w:val="32"/>
          <w:szCs w:val="32"/>
          <w:highlight w:val="yellow"/>
          <w:lang w:eastAsia="zh-CN"/>
        </w:rPr>
      </w:pPr>
      <w:r>
        <w:rPr>
          <w:rFonts w:hint="eastAsia" w:ascii="仿宋_GB2312" w:hAnsi="仿宋_GB2312" w:eastAsia="仿宋_GB2312" w:cs="仿宋_GB2312"/>
          <w:sz w:val="32"/>
          <w:szCs w:val="32"/>
          <w:highlight w:val="none"/>
          <w:lang w:val="en-US" w:eastAsia="zh-CN"/>
        </w:rPr>
        <w:t>根据特财字【2024】58号关于拨付新疆喀拉峻国际生态旅游区基础设施建设资金的通知，预算安排投入资金主要用于景区游客步行道、公共卫生设施建设及环境卫生的管理费用、市场营销费用、电子商务管理系统软件开发、设备购置、门票销售人员工资福利、运营管理费用等</w:t>
      </w:r>
      <w:r>
        <w:rPr>
          <w:rFonts w:hint="eastAsia" w:ascii="仿宋_GB2312" w:hAnsi="仿宋_GB2312" w:eastAsia="仿宋_GB2312" w:cs="仿宋_GB2312"/>
          <w:color w:val="000000"/>
          <w:kern w:val="2"/>
          <w:sz w:val="32"/>
          <w:szCs w:val="32"/>
          <w:lang w:val="en-US" w:eastAsia="zh-CN" w:bidi="ar-SA"/>
        </w:rPr>
        <w:t>。</w:t>
      </w:r>
    </w:p>
    <w:p w14:paraId="329E3882">
      <w:pPr>
        <w:pStyle w:val="10"/>
        <w:pageBreakBefore w:val="0"/>
        <w:numPr>
          <w:ilvl w:val="0"/>
          <w:numId w:val="0"/>
        </w:numPr>
        <w:kinsoku/>
        <w:wordWrap/>
        <w:overflowPunct/>
        <w:topLinePunct w:val="0"/>
        <w:bidi w:val="0"/>
        <w:snapToGrid/>
        <w:spacing w:before="0" w:after="0" w:line="560" w:lineRule="exact"/>
        <w:ind w:firstLine="643"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rPr>
        <w:t>项目主要内容：</w:t>
      </w:r>
    </w:p>
    <w:p w14:paraId="1D9EE7DC">
      <w:pPr>
        <w:pageBreakBefore w:val="0"/>
        <w:shd w:val="clear" w:color="auto" w:fill="auto"/>
        <w:kinsoku/>
        <w:wordWrap/>
        <w:overflowPunct/>
        <w:topLinePunct w:val="0"/>
        <w:bidi w:val="0"/>
        <w:snapToGrid/>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主要内容：项目主要用于发放景区员工工资福利，基础设施建设及维修，宣传营销，致力于提升喀拉峻国际生态旅游区环境卫生的管理，保证景区健康持续发展，不断提升景区的服务水平，创造良好的旅游环境，保障了景区员工资福利，创造了良好的旅游环境。</w:t>
      </w:r>
    </w:p>
    <w:p w14:paraId="6CF4AB8A">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cs="Times New Roman"/>
          <w:sz w:val="32"/>
          <w:szCs w:val="32"/>
          <w:lang w:val="en-US"/>
        </w:rPr>
      </w:pPr>
      <w:r>
        <w:rPr>
          <w:rFonts w:hint="eastAsia" w:ascii="仿宋_GB2312" w:hAnsi="仿宋_GB2312" w:eastAsia="仿宋_GB2312" w:cs="仿宋_GB2312"/>
          <w:sz w:val="32"/>
          <w:szCs w:val="32"/>
          <w:highlight w:val="none"/>
          <w:lang w:val="en-US" w:eastAsia="zh-CN"/>
        </w:rPr>
        <w:t>项目实施情况：发放景区员工工资工1680人，发放景区员工工资次数共12次，发放景区员工工资金额共772万元；用于基础设施建设及维修的费用116.98万元，签订建设合同不少于5份；用于宣传营销的费用104.75万元，签订合同不少3份。</w:t>
      </w:r>
    </w:p>
    <w:p w14:paraId="296C802E">
      <w:pPr>
        <w:pageBreakBefore w:val="0"/>
        <w:kinsoku/>
        <w:wordWrap/>
        <w:overflowPunct/>
        <w:topLinePunct w:val="0"/>
        <w:bidi w:val="0"/>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26608AC">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7474423">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08D958FC">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CE7ADDC">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万元，全年预算数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万元，全年执行数</w:t>
      </w:r>
      <w:r>
        <w:rPr>
          <w:rFonts w:hint="eastAsia" w:ascii="仿宋_GB2312" w:hAnsi="仿宋_GB2312" w:eastAsia="仿宋_GB2312" w:cs="仿宋_GB2312"/>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发放景区员工工资金额共772万元；基础设施建设及维修的费用116.98万元；宣传营销的费用104.75万元</w:t>
      </w:r>
      <w:r>
        <w:rPr>
          <w:rFonts w:hint="default" w:ascii="Times New Roman" w:hAnsi="Times New Roman" w:eastAsia="仿宋_GB2312" w:cs="Times New Roman"/>
          <w:sz w:val="32"/>
          <w:szCs w:val="32"/>
          <w:highlight w:val="none"/>
          <w:lang w:val="en-US" w:eastAsia="zh-CN"/>
        </w:rPr>
        <w:t>。</w:t>
      </w:r>
    </w:p>
    <w:p w14:paraId="3C34E388">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5B5E11E7">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44E65275">
      <w:pPr>
        <w:pageBreakBefore w:val="0"/>
        <w:shd w:val="clear" w:color="auto" w:fill="auto"/>
        <w:kinsoku/>
        <w:wordWrap/>
        <w:overflowPunct/>
        <w:topLinePunct w:val="0"/>
        <w:bidi w:val="0"/>
        <w:snapToGrid/>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用于保障喀拉峻景区2023年管理人员工资、运营维护、市场营销、公共卫生设施建设及环境卫生管理等。</w:t>
      </w:r>
    </w:p>
    <w:p w14:paraId="6708699C">
      <w:pPr>
        <w:pageBreakBefore w:val="0"/>
        <w:numPr>
          <w:ilvl w:val="0"/>
          <w:numId w:val="1"/>
        </w:numPr>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14:paraId="0728C08E">
      <w:pPr>
        <w:pageBreakBefore w:val="0"/>
        <w:numPr>
          <w:ilvl w:val="0"/>
          <w:numId w:val="0"/>
        </w:numPr>
        <w:shd w:val="clear" w:color="auto" w:fill="auto"/>
        <w:kinsoku/>
        <w:wordWrap/>
        <w:overflowPunct/>
        <w:topLinePunct w:val="0"/>
        <w:bidi w:val="0"/>
        <w:snapToGrid/>
        <w:spacing w:line="560" w:lineRule="exact"/>
        <w:ind w:firstLine="640" w:firstLineChars="200"/>
        <w:outlineLvl w:val="0"/>
        <w:rPr>
          <w:rFonts w:hint="default"/>
          <w:lang w:val="en-US" w:eastAsia="zh-CN"/>
        </w:rPr>
      </w:pPr>
      <w:r>
        <w:rPr>
          <w:rFonts w:hint="eastAsia" w:ascii="仿宋_GB2312" w:hAnsi="仿宋_GB2312" w:eastAsia="仿宋_GB2312" w:cs="仿宋_GB2312"/>
          <w:sz w:val="32"/>
          <w:szCs w:val="32"/>
          <w:highlight w:val="none"/>
          <w:lang w:val="en-US" w:eastAsia="zh-CN"/>
        </w:rPr>
        <w:t>旅游淡季期间（每年的1-4月、11-12月）：用于发放景区员工工资150万元，用于宣传营销30万元，用于基础设施建设及维修70万元。</w:t>
      </w:r>
    </w:p>
    <w:p w14:paraId="363784C2">
      <w:pPr>
        <w:pageBreakBefore w:val="0"/>
        <w:numPr>
          <w:ilvl w:val="0"/>
          <w:numId w:val="0"/>
        </w:numPr>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eastAsia" w:ascii="仿宋_GB2312" w:hAnsi="仿宋_GB2312" w:eastAsia="仿宋_GB2312" w:cs="仿宋_GB2312"/>
          <w:sz w:val="32"/>
          <w:szCs w:val="32"/>
          <w:highlight w:val="none"/>
          <w:lang w:val="en-US" w:eastAsia="zh-CN"/>
        </w:rPr>
        <w:t>旅游旺季期间（每年5-10月）：用于发放景区员工工资金额共622万元，基础设施建设及维修的费用46.98万元，宣传营销的费用34.75万元</w:t>
      </w:r>
      <w:r>
        <w:rPr>
          <w:rFonts w:hint="default" w:ascii="Times New Roman" w:hAnsi="Times New Roman" w:eastAsia="仿宋_GB2312" w:cs="Times New Roman"/>
          <w:sz w:val="32"/>
          <w:szCs w:val="32"/>
          <w:highlight w:val="none"/>
          <w:lang w:val="en-US" w:eastAsia="zh-CN"/>
        </w:rPr>
        <w:t>。</w:t>
      </w:r>
    </w:p>
    <w:p w14:paraId="787C74E2">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A3F9BF1">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01F4382">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1.绩效评价完整性</w:t>
      </w:r>
    </w:p>
    <w:p w14:paraId="6F03175A">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F8B9B21">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社会效益等多个维度，力求全方位反映项目的绩效状况。同时，对于每个指标的评价标准和数据来源均进行了明确说明，确保评价结果的客观性和可追溯性。</w:t>
      </w:r>
    </w:p>
    <w:p w14:paraId="4F0D7610">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D6A6B8A">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BF03508">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75FF393">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0F69E8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73B5D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项目实施带来的</w:t>
      </w:r>
      <w:r>
        <w:rPr>
          <w:rFonts w:hint="default" w:ascii="Times New Roman" w:hAnsi="Times New Roman" w:eastAsia="仿宋_GB2312" w:cs="Times New Roman"/>
          <w:sz w:val="32"/>
          <w:szCs w:val="32"/>
          <w:highlight w:val="none"/>
        </w:rPr>
        <w:t>社会效益，为项目后续的改进与优化提供科学依据。</w:t>
      </w:r>
    </w:p>
    <w:p w14:paraId="78010C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A910B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55F05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E2118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F575C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1AB260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CFE8D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4C13DB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2619A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1407DD2">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sz w:val="32"/>
          <w:szCs w:val="32"/>
          <w:highlight w:val="none"/>
        </w:rPr>
        <w:t>绩效评价的对象</w:t>
      </w:r>
    </w:p>
    <w:p w14:paraId="5F682085">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本项目预算绩效评价报告的评价对象是喀拉峻景区基础设施建设（消化暂付款）及其预算执行情况。该项目由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特克斯县八卦名城旅游风景区管理委员会</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用于保障喀拉峻景区2023年管理人员工资、运营维护、市场营销、公共卫生设施建设及环境卫生管理等。</w:t>
      </w: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2023年1月1日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2023年12月31日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993.73</w:t>
      </w:r>
      <w:r>
        <w:rPr>
          <w:rFonts w:hint="default" w:ascii="Times New Roman" w:hAnsi="Times New Roman" w:eastAsia="仿宋_GB2312" w:cs="Times New Roman"/>
          <w:b w:val="0"/>
          <w:bCs w:val="0"/>
          <w:kern w:val="2"/>
          <w:sz w:val="32"/>
          <w:szCs w:val="32"/>
          <w:highlight w:val="none"/>
          <w:lang w:val="en-US" w:eastAsia="zh-CN" w:bidi="ar-SA"/>
        </w:rPr>
        <w:t>万元。</w:t>
      </w:r>
    </w:p>
    <w:p w14:paraId="4CE6F1D4">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绩效评价的范围</w:t>
      </w:r>
    </w:p>
    <w:p w14:paraId="5AD0233B">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本项目预算绩效评价报告的评价范围广泛而全面，涵盖了从项目立项至评价时点期间的所有关键预算活动和财务流程。具体而言，评价范围包括但不限于以下几个方面：</w:t>
      </w:r>
    </w:p>
    <w:p w14:paraId="422FEDFE">
      <w:pPr>
        <w:pStyle w:val="10"/>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项目预算编制与执行：全面审视项目预算的编制依据、合理性、科学性以及实际执行情况，包括预算调整的原因和效果。</w:t>
      </w:r>
    </w:p>
    <w:p w14:paraId="2B77ADF9">
      <w:pPr>
        <w:pStyle w:val="10"/>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资金管理：深入分析项目资金的分配、使用和监管情况，确保资金使用的合规性、高效性和透明度。</w:t>
      </w:r>
    </w:p>
    <w:p w14:paraId="01436D75">
      <w:pPr>
        <w:pStyle w:val="10"/>
        <w:pageBreakBefore w:val="0"/>
        <w:widowControl w:val="0"/>
        <w:numPr>
          <w:ilvl w:val="0"/>
          <w:numId w:val="2"/>
        </w:numPr>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项目实施进度与产出：评估项目是否按照既定计划顺利推进，各项任务是否按时完成，以及项目产出的数量、质量和时效性是否符合预期。</w:t>
      </w:r>
    </w:p>
    <w:p w14:paraId="3D4ED64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rPr>
        <w:t>社会</w:t>
      </w:r>
      <w:r>
        <w:rPr>
          <w:rFonts w:hint="default" w:ascii="Times New Roman" w:hAnsi="Times New Roman" w:eastAsia="仿宋_GB2312" w:cs="Times New Roman"/>
          <w:b w:val="0"/>
          <w:bCs w:val="0"/>
          <w:sz w:val="32"/>
          <w:szCs w:val="32"/>
          <w:highlight w:val="none"/>
          <w:lang w:eastAsia="zh-CN"/>
        </w:rPr>
        <w:t>、</w:t>
      </w:r>
      <w:r>
        <w:rPr>
          <w:rFonts w:hint="eastAsia" w:ascii="Times New Roman" w:hAnsi="Times New Roman" w:eastAsia="仿宋_GB2312" w:cs="Times New Roman"/>
          <w:b w:val="0"/>
          <w:bCs w:val="0"/>
          <w:sz w:val="32"/>
          <w:szCs w:val="32"/>
          <w:highlight w:val="none"/>
          <w:lang w:val="en-US" w:eastAsia="zh-CN"/>
        </w:rPr>
        <w:t>生态</w:t>
      </w:r>
      <w:r>
        <w:rPr>
          <w:rFonts w:hint="default" w:ascii="Times New Roman" w:hAnsi="Times New Roman" w:eastAsia="仿宋_GB2312" w:cs="Times New Roman"/>
          <w:b w:val="0"/>
          <w:bCs w:val="0"/>
          <w:sz w:val="32"/>
          <w:szCs w:val="32"/>
          <w:highlight w:val="none"/>
          <w:lang w:val="en-US" w:eastAsia="zh-CN"/>
        </w:rPr>
        <w:t>等</w:t>
      </w:r>
      <w:r>
        <w:rPr>
          <w:rFonts w:hint="default" w:ascii="Times New Roman" w:hAnsi="Times New Roman" w:eastAsia="仿宋_GB2312" w:cs="Times New Roman"/>
          <w:b w:val="0"/>
          <w:bCs w:val="0"/>
          <w:sz w:val="32"/>
          <w:szCs w:val="32"/>
          <w:highlight w:val="none"/>
        </w:rPr>
        <w:t>影响：</w:t>
      </w:r>
      <w:r>
        <w:rPr>
          <w:rFonts w:hint="eastAsia" w:ascii="仿宋_GB2312" w:hAnsi="仿宋_GB2312" w:eastAsia="仿宋_GB2312" w:cs="仿宋_GB2312"/>
          <w:color w:val="000000"/>
          <w:kern w:val="2"/>
          <w:sz w:val="32"/>
          <w:szCs w:val="32"/>
          <w:lang w:val="en-US" w:eastAsia="zh-CN" w:bidi="ar-SA"/>
        </w:rPr>
        <w:t>通过项目实施，促进当地经济发展，增加旅游收入，提升本地景区知名度，保护和传承文化遗产提供了大量的就业机会，带动了当地旅游业态的发展，同时也促进了旅游业的可持续发展；游客对景区设施、服务质量、环境卫生、旅游体验等各方面对喀拉峻旅游风景区进行了全面的评价且服务满意度达到95％以上，提升特克斯县整体旅游吸引力添一份力</w:t>
      </w:r>
      <w:r>
        <w:rPr>
          <w:rFonts w:hint="eastAsia" w:ascii="仿宋_GB2312" w:hAnsi="仿宋_GB2312" w:cs="仿宋_GB2312"/>
          <w:color w:val="000000"/>
          <w:kern w:val="2"/>
          <w:sz w:val="32"/>
          <w:szCs w:val="32"/>
          <w:lang w:val="en-US" w:eastAsia="zh-CN" w:bidi="ar-SA"/>
        </w:rPr>
        <w:t>。</w:t>
      </w:r>
    </w:p>
    <w:p w14:paraId="60C17015">
      <w:pPr>
        <w:pageBreakBefore w:val="0"/>
        <w:kinsoku/>
        <w:wordWrap/>
        <w:overflowPunct/>
        <w:topLinePunct w:val="0"/>
        <w:bidi w:val="0"/>
        <w:snapToGrid/>
        <w:spacing w:line="560" w:lineRule="exact"/>
        <w:ind w:firstLine="643" w:firstLineChars="200"/>
        <w:rPr>
          <w:rFonts w:hint="default" w:ascii="Times New Roman" w:hAnsi="Times New Roman" w:cs="Times New Roman"/>
          <w:sz w:val="32"/>
          <w:szCs w:val="32"/>
        </w:rPr>
      </w:pPr>
      <w:r>
        <w:rPr>
          <w:rFonts w:hint="default" w:ascii="Times New Roman" w:hAnsi="Times New Roman" w:eastAsia="楷体_GB2312" w:cs="Times New Roman"/>
          <w:b/>
          <w:bCs/>
          <w:sz w:val="32"/>
          <w:szCs w:val="32"/>
        </w:rPr>
        <w:t>（二）绩效评价原则、评价指标体系（详情见表1）、评价方法、评价标准。</w:t>
      </w:r>
    </w:p>
    <w:p w14:paraId="6C25FD53">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14:paraId="0840BD73">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14:paraId="3D55CB30">
      <w:pPr>
        <w:pStyle w:val="10"/>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7330BCF9">
      <w:pPr>
        <w:pStyle w:val="10"/>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4B37F74D">
      <w:pPr>
        <w:pStyle w:val="10"/>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0FA03665">
      <w:pPr>
        <w:pStyle w:val="10"/>
        <w:pageBreakBefore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32C1B975">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14:paraId="6420243C">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4A1A0E20">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14:paraId="66929C4E">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1957B44C">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14:paraId="3AD8320D">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2E0F2ADF">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14:paraId="77BAF352">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2E08A07C">
      <w:pPr>
        <w:pStyle w:val="10"/>
        <w:pageBreakBefore w:val="0"/>
        <w:kinsoku/>
        <w:wordWrap/>
        <w:overflowPunct/>
        <w:topLinePunct w:val="0"/>
        <w:bidi w:val="0"/>
        <w:snapToGrid/>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2588E6F1">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14:paraId="34BA8671">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14:paraId="1B0F08E2">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303763E0">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41C12BB8">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hint="default" w:ascii="Times New Roman" w:hAnsi="Times New Roman" w:eastAsia="仿宋_GB2312" w:cs="Times New Roman"/>
          <w:b w:val="0"/>
          <w:bCs w:val="0"/>
          <w:kern w:val="2"/>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主要是根据项目实施方案计划综合分析实现项目实现可能性因素，因此采用因素分析法。</w:t>
      </w:r>
    </w:p>
    <w:p w14:paraId="08184BDC">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二</w:t>
      </w:r>
      <w:r>
        <w:rPr>
          <w:rFonts w:hint="default" w:ascii="Times New Roman" w:hAnsi="Times New Roman" w:eastAsia="仿宋_GB2312" w:cs="Times New Roman"/>
          <w:b w:val="0"/>
          <w:bCs w:val="0"/>
          <w:kern w:val="2"/>
          <w:sz w:val="32"/>
          <w:szCs w:val="32"/>
          <w:highlight w:val="none"/>
          <w:lang w:val="en-US" w:eastAsia="zh-CN" w:bidi="ar-SA"/>
        </w:rPr>
        <w:t>）公众评判法。是指通过专家评估、公众问卷及抽样调查等方式进行评判的方法。</w:t>
      </w:r>
      <w:r>
        <w:rPr>
          <w:rFonts w:hint="eastAsia" w:ascii="Times New Roman" w:hAnsi="Times New Roman" w:eastAsia="仿宋_GB2312" w:cs="Times New Roman"/>
          <w:b w:val="0"/>
          <w:bCs w:val="0"/>
          <w:kern w:val="2"/>
          <w:sz w:val="32"/>
          <w:szCs w:val="32"/>
          <w:highlight w:val="none"/>
          <w:lang w:val="en-US" w:eastAsia="zh-CN" w:bidi="ar-SA"/>
        </w:rPr>
        <w:t>主要运用于满意度评价。</w:t>
      </w:r>
    </w:p>
    <w:p w14:paraId="7E09FA5D">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14:paraId="40A5B1AD">
      <w:pPr>
        <w:pStyle w:val="10"/>
        <w:pageBreakBefore w:val="0"/>
        <w:widowControl w:val="0"/>
        <w:kinsoku/>
        <w:wordWrap/>
        <w:overflowPunct/>
        <w:topLinePunct w:val="0"/>
        <w:bidi w:val="0"/>
        <w:snapToGrid/>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r>
        <w:rPr>
          <w:rFonts w:hint="eastAsia" w:ascii="Times New Roman" w:hAnsi="Times New Roman" w:eastAsia="仿宋_GB2312" w:cs="Times New Roman"/>
          <w:b w:val="0"/>
          <w:bCs w:val="0"/>
          <w:kern w:val="2"/>
          <w:sz w:val="32"/>
          <w:szCs w:val="32"/>
          <w:highlight w:val="none"/>
          <w:lang w:val="en-US" w:eastAsia="zh-CN" w:bidi="ar-SA"/>
        </w:rPr>
        <w:t>主要是根据项目实施方案计划选定此评价标准。</w:t>
      </w:r>
    </w:p>
    <w:p w14:paraId="3397455A">
      <w:pPr>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（1）指以预先制定的目标、计划、预算、定额等作为评价标准。</w:t>
      </w:r>
    </w:p>
    <w:p w14:paraId="366EDCEC">
      <w:pPr>
        <w:pStyle w:val="10"/>
        <w:pageBreakBefore w:val="0"/>
        <w:numPr>
          <w:ilvl w:val="0"/>
          <w:numId w:val="3"/>
        </w:numPr>
        <w:kinsoku/>
        <w:wordWrap/>
        <w:overflowPunct/>
        <w:topLinePunct w:val="0"/>
        <w:bidi w:val="0"/>
        <w:snapToGrid/>
        <w:spacing w:before="0" w:after="0" w:line="560" w:lineRule="exact"/>
        <w:ind w:firstLine="711" w:firstLineChars="200"/>
        <w:jc w:val="both"/>
        <w:rPr>
          <w:rFonts w:hint="default" w:ascii="Times New Roman" w:hAnsi="Times New Roman" w:eastAsia="楷体" w:cs="Times New Roman"/>
          <w:color w:val="000000"/>
          <w:spacing w:val="17"/>
          <w:sz w:val="32"/>
          <w:szCs w:val="32"/>
        </w:rPr>
      </w:pPr>
      <w:r>
        <w:rPr>
          <w:rFonts w:hint="default" w:ascii="Times New Roman" w:hAnsi="Times New Roman" w:eastAsia="楷体" w:cs="Times New Roman"/>
          <w:color w:val="000000"/>
          <w:spacing w:val="17"/>
          <w:sz w:val="32"/>
          <w:szCs w:val="32"/>
        </w:rPr>
        <w:t>绩效评价工作过程</w:t>
      </w:r>
    </w:p>
    <w:p w14:paraId="69FFB7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76C5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AB7F4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5A4B8B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0206C2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CF7FA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B6BAC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08F0E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85B3A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48873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86E15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2E67DE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27D0A7F">
      <w:pPr>
        <w:pageBreakBefore w:val="0"/>
        <w:numPr>
          <w:ilvl w:val="0"/>
          <w:numId w:val="4"/>
        </w:numPr>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5BC5765">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评价情况</w:t>
      </w:r>
    </w:p>
    <w:p w14:paraId="58F86F3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喀拉峻景区基础设施建设（消化暂付款）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项目决策</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项目过程</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项目产出</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景区宣传</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人员工资福利支出</w:t>
      </w:r>
      <w:r>
        <w:rPr>
          <w:rFonts w:hint="default" w:ascii="Times New Roman" w:hAnsi="Times New Roman" w:eastAsia="仿宋_GB2312" w:cs="Times New Roman"/>
          <w:sz w:val="32"/>
          <w:szCs w:val="32"/>
          <w:highlight w:val="none"/>
        </w:rPr>
        <w:t>等。</w:t>
      </w:r>
    </w:p>
    <w:p w14:paraId="6A2F494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特克斯县八卦名城旅游风景区管理委员会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103C9E3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从项目效益的角度来看，本项目实现了预期的社会效益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方面</w:t>
      </w:r>
      <w:r>
        <w:rPr>
          <w:rFonts w:hint="eastAsia" w:eastAsia="仿宋_GB2312" w:cs="Times New Roman"/>
          <w:sz w:val="32"/>
          <w:szCs w:val="32"/>
          <w:highlight w:val="none"/>
          <w:lang w:val="en-US" w:eastAsia="zh-CN"/>
        </w:rPr>
        <w:t>也</w:t>
      </w:r>
      <w:r>
        <w:rPr>
          <w:rFonts w:hint="default" w:ascii="Times New Roman" w:hAnsi="Times New Roman" w:eastAsia="仿宋_GB2312" w:cs="Times New Roman"/>
          <w:sz w:val="32"/>
          <w:szCs w:val="32"/>
          <w:highlight w:val="none"/>
        </w:rPr>
        <w:t>产生了积极的影响。具体而言，社会效益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等方面的提升，为项目的利益相关者带来了实实在在的利益。</w:t>
      </w:r>
    </w:p>
    <w:p w14:paraId="346126C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喀拉峻景区基础设施建设（消化暂付款）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465EE21A">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评价结论</w:t>
      </w:r>
    </w:p>
    <w:p w14:paraId="73E2B0F1">
      <w:pPr>
        <w:pStyle w:val="10"/>
        <w:pageBreakBefore w:val="0"/>
        <w:widowControl w:val="0"/>
        <w:kinsoku/>
        <w:wordWrap/>
        <w:overflowPunct/>
        <w:topLinePunct w:val="0"/>
        <w:bidi w:val="0"/>
        <w:snapToGrid/>
        <w:spacing w:before="0" w:after="0" w:line="560" w:lineRule="exact"/>
        <w:ind w:firstLine="640" w:firstLineChars="200"/>
        <w:jc w:val="both"/>
        <w:outlineLvl w:val="9"/>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sz w:val="32"/>
          <w:szCs w:val="32"/>
          <w:highlight w:val="none"/>
        </w:rPr>
        <w:t xml:space="preserve">总得分为 </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 xml:space="preserve">分，属于“优”。其中，项目决策类指标权重为20分，得分为 </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%。项目过程类指标权重为20分，得分为</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%。项目产出类指标权重为40分，得分为</w:t>
      </w:r>
      <w:r>
        <w:rPr>
          <w:rFonts w:hint="eastAsia" w:ascii="Times New Roman" w:hAnsi="Times New Roman" w:eastAsia="仿宋_GB2312" w:cs="Times New Roman"/>
          <w:b w:val="0"/>
          <w:bCs w:val="0"/>
          <w:sz w:val="32"/>
          <w:szCs w:val="32"/>
          <w:highlight w:val="none"/>
          <w:lang w:val="en-US" w:eastAsia="zh-CN"/>
        </w:rPr>
        <w:t>40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%。项目效益类指标权重为20分，得分为</w:t>
      </w:r>
      <w:r>
        <w:rPr>
          <w:rFonts w:hint="eastAsia"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eastAsia"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b w:val="0"/>
          <w:bCs w:val="0"/>
          <w:sz w:val="32"/>
          <w:szCs w:val="32"/>
        </w:rPr>
        <w:t>具体打分情况详见：附件1综合评分表</w:t>
      </w:r>
      <w:r>
        <w:rPr>
          <w:rFonts w:hint="default" w:ascii="Times New Roman" w:hAnsi="Times New Roman" w:eastAsia="仿宋_GB2312" w:cs="Times New Roman"/>
          <w:b w:val="0"/>
          <w:bCs w:val="0"/>
          <w:sz w:val="32"/>
          <w:szCs w:val="32"/>
          <w:lang w:eastAsia="zh-CN"/>
        </w:rPr>
        <w:t>。</w:t>
      </w:r>
    </w:p>
    <w:p w14:paraId="674B5A0E">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DAD9C0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E2C5372">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B1FBB7B">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EBE3434">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得分</w:t>
            </w:r>
          </w:p>
        </w:tc>
      </w:tr>
      <w:tr w14:paraId="29DF4F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1ADAE6">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14:paraId="4649C09F">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6DC741B">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14:paraId="68277CD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02ACF1">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14:paraId="6027DD0C">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2F72F4">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14:paraId="6BAC7A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E6C3F8">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14:paraId="5CBEAE19">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47BC7B1">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40</w:t>
            </w:r>
          </w:p>
        </w:tc>
      </w:tr>
      <w:tr w14:paraId="06DBD1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93782F">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14:paraId="5A0CAB5D">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FEFFE87">
            <w:pPr>
              <w:pageBreakBefore w:val="0"/>
              <w:kinsoku/>
              <w:wordWrap/>
              <w:overflowPunct/>
              <w:topLinePunct w:val="0"/>
              <w:bidi w:val="0"/>
              <w:snapToGrid/>
              <w:spacing w:line="560" w:lineRule="exact"/>
              <w:jc w:val="center"/>
              <w:rPr>
                <w:rFonts w:hint="default" w:ascii="Times New Roman" w:hAnsi="Times New Roman" w:eastAsia="仿宋_GB2312" w:cs="Times New Roman"/>
                <w:color w:val="000000"/>
                <w:sz w:val="32"/>
                <w:szCs w:val="32"/>
                <w:lang w:val="en-US" w:eastAsia="zh-CN"/>
              </w:rPr>
            </w:pPr>
            <w:r>
              <w:rPr>
                <w:rFonts w:hint="eastAsia" w:eastAsia="仿宋_GB2312" w:cs="Times New Roman"/>
                <w:color w:val="000000"/>
                <w:sz w:val="32"/>
                <w:szCs w:val="32"/>
                <w:lang w:val="en-US" w:eastAsia="zh-CN"/>
              </w:rPr>
              <w:t>20</w:t>
            </w:r>
          </w:p>
        </w:tc>
      </w:tr>
      <w:tr w14:paraId="3F1ACF8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574D98">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14:paraId="56BF86DD">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lang w:val="en-US" w:eastAsia="zh-CN"/>
              </w:rPr>
            </w:pPr>
            <w:r>
              <w:rPr>
                <w:rFonts w:hint="default" w:ascii="Times New Roman" w:hAnsi="Times New Roman" w:eastAsia="仿宋_GB2312" w:cs="Times New Roman"/>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BBFAF1">
            <w:pPr>
              <w:pageBreakBefore w:val="0"/>
              <w:kinsoku/>
              <w:wordWrap/>
              <w:overflowPunct/>
              <w:topLinePunct w:val="0"/>
              <w:bidi w:val="0"/>
              <w:snapToGrid/>
              <w:spacing w:line="560" w:lineRule="exact"/>
              <w:jc w:val="center"/>
              <w:rPr>
                <w:rFonts w:hint="default" w:ascii="Times New Roman" w:hAnsi="Times New Roman" w:eastAsia="仿宋_GB2312" w:cs="Times New Roman"/>
                <w:b/>
                <w:bCs/>
                <w:color w:val="000000"/>
                <w:sz w:val="32"/>
                <w:szCs w:val="32"/>
                <w:lang w:val="en-US" w:eastAsia="zh-CN"/>
              </w:rPr>
            </w:pPr>
            <w:r>
              <w:rPr>
                <w:rFonts w:hint="eastAsia" w:eastAsia="仿宋_GB2312" w:cs="Times New Roman"/>
                <w:b/>
                <w:bCs/>
                <w:color w:val="000000"/>
                <w:sz w:val="32"/>
                <w:szCs w:val="32"/>
                <w:lang w:val="en-US" w:eastAsia="zh-CN"/>
              </w:rPr>
              <w:t>100</w:t>
            </w:r>
          </w:p>
        </w:tc>
      </w:tr>
    </w:tbl>
    <w:p w14:paraId="7669D3E0">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C2DA072">
      <w:pPr>
        <w:pStyle w:val="10"/>
        <w:pageBreakBefore w:val="0"/>
        <w:kinsoku/>
        <w:wordWrap/>
        <w:overflowPunct/>
        <w:topLinePunct w:val="0"/>
        <w:bidi w:val="0"/>
        <w:snapToGrid/>
        <w:spacing w:before="0" w:after="0" w:line="560" w:lineRule="exact"/>
        <w:ind w:firstLine="643" w:firstLineChars="200"/>
        <w:jc w:val="both"/>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（一）项目决策情况</w:t>
      </w:r>
    </w:p>
    <w:p w14:paraId="4FEA7280">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1E50908">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428979E1">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A05811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AC5494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9811DEA">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F833CDF">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04630F">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09FF95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3075F2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F941FFE">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CFA437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D358E0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7F519A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36804E0">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C652F92">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452A2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6051F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8B70F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F330CC0">
      <w:pPr>
        <w:pStyle w:val="10"/>
        <w:pageBreakBefore w:val="0"/>
        <w:numPr>
          <w:ilvl w:val="0"/>
          <w:numId w:val="5"/>
        </w:numPr>
        <w:kinsoku/>
        <w:wordWrap/>
        <w:overflowPunct/>
        <w:topLinePunct w:val="0"/>
        <w:bidi w:val="0"/>
        <w:snapToGrid/>
        <w:spacing w:before="0" w:after="0" w:line="560" w:lineRule="exact"/>
        <w:ind w:firstLine="643" w:firstLineChars="200"/>
        <w:jc w:val="both"/>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项目过程情况</w:t>
      </w:r>
    </w:p>
    <w:p w14:paraId="195C1D04">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511A25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1F3E7862">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C5BD872">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EC4A00D">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41939CA1">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993.73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B38AA6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DA97E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32C116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321D0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DF57F5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7487E63">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70216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F9F16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114518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449BA2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3FE19AE4">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72F82D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5BC79A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31E2C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1CD1AA75">
      <w:pPr>
        <w:pStyle w:val="11"/>
        <w:pageBreakBefore w:val="0"/>
        <w:numPr>
          <w:ilvl w:val="0"/>
          <w:numId w:val="5"/>
        </w:numPr>
        <w:kinsoku/>
        <w:wordWrap/>
        <w:overflowPunct/>
        <w:topLinePunct w:val="0"/>
        <w:bidi w:val="0"/>
        <w:snapToGrid/>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102B1827">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体产出指标完成情况如下：</w:t>
      </w:r>
    </w:p>
    <w:p w14:paraId="1340EF3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A090207">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指标1：景区员工工资发放人数，指标值：&gt;=1680人，实际完成值：1680人，指标完成率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：基础设施维修次数，指标值：&gt;=5次，实际完成值：5次，指标完成率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02E81F4A">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：营销宣传服务合同签订数，指标值：&gt;=3份，实际完成值：3份，指标完成率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43663820">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F5E8998">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：工资发放准确率，指标值：&gt;=93%，实际完成值：93%，指标完成率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3146A755">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E1EC1B2">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：工资发放及时率，指标值：&gt;=95%，实际完成值：95%，指标完成率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2B10E09D">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0139FC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：景区员工工资发放金额，指标值：&lt;=772万元，实际完成值：772万元，指标完成率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313E0A6E">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：基础设施维修成本，指标值：&lt;=116.98万元，实际完成值：116.98万元，指标完成率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7F3197B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：营销宣传成本，指标值：&lt;=104.75万元，实际完成值：104.75万元，指标完成率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1E56EC0E">
      <w:pPr>
        <w:pStyle w:val="11"/>
        <w:pageBreakBefore w:val="0"/>
        <w:numPr>
          <w:ilvl w:val="0"/>
          <w:numId w:val="5"/>
        </w:numPr>
        <w:kinsoku/>
        <w:wordWrap/>
        <w:overflowPunct/>
        <w:topLinePunct w:val="0"/>
        <w:bidi w:val="0"/>
        <w:snapToGrid/>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A9A4A17">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w:t>
      </w:r>
      <w:r>
        <w:rPr>
          <w:rFonts w:hint="default" w:ascii="Times New Roman" w:hAnsi="Times New Roman" w:eastAsia="仿宋_GB2312" w:cs="Times New Roman"/>
          <w:sz w:val="32"/>
          <w:szCs w:val="32"/>
          <w:lang w:val="en-US" w:eastAsia="zh-CN"/>
        </w:rPr>
        <w:t>指标及满意度指标完成情况如下：</w:t>
      </w:r>
    </w:p>
    <w:p w14:paraId="16188E9F">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4EB900B7">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78E921E8">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：提升景区服务水平，指标值：效果显著，实际完成值：效果显著，指标完成率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3276E888">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F80E5DF">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指标：</w:t>
      </w:r>
    </w:p>
    <w:p w14:paraId="59D7EFD2">
      <w:pPr>
        <w:pStyle w:val="2"/>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指标</w:t>
      </w: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：游客满意度，指标值：&gt;=95%，实际完成值：95%，指标完成率</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%，偏差原因：</w:t>
      </w:r>
      <w:r>
        <w:rPr>
          <w:rFonts w:hint="eastAsia" w:ascii="Times New Roman" w:hAnsi="Times New Roman" w:eastAsia="仿宋_GB2312" w:cs="Times New Roman"/>
          <w:color w:val="auto"/>
          <w:kern w:val="2"/>
          <w:sz w:val="32"/>
          <w:szCs w:val="32"/>
          <w:highlight w:val="none"/>
          <w:lang w:val="en-US" w:eastAsia="zh-CN" w:bidi="ar-SA"/>
        </w:rPr>
        <w:t>无</w:t>
      </w:r>
      <w:r>
        <w:rPr>
          <w:rFonts w:hint="default" w:ascii="Times New Roman" w:hAnsi="Times New Roman" w:eastAsia="仿宋_GB2312" w:cs="Times New Roman"/>
          <w:color w:val="auto"/>
          <w:kern w:val="2"/>
          <w:sz w:val="32"/>
          <w:szCs w:val="32"/>
          <w:highlight w:val="none"/>
          <w:lang w:val="en-US" w:eastAsia="zh-CN" w:bidi="ar-SA"/>
        </w:rPr>
        <w:t>。</w:t>
      </w:r>
    </w:p>
    <w:p w14:paraId="147C1214">
      <w:pPr>
        <w:pageBreakBefore w:val="0"/>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34E17D4">
      <w:pPr>
        <w:pStyle w:val="21"/>
        <w:pageBreakBefore w:val="0"/>
        <w:kinsoku/>
        <w:wordWrap/>
        <w:overflowPunct/>
        <w:topLinePunct w:val="0"/>
        <w:bidi w:val="0"/>
        <w:snapToGrid/>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喀拉峻景区基础设施建设（消化暂付款）项目年初预算</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993.73</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w:t>
      </w:r>
      <w:r>
        <w:rPr>
          <w:rFonts w:hint="eastAsia" w:ascii="Times New Roman" w:hAnsi="Times New Roman" w:cs="Times New Roman"/>
          <w:sz w:val="32"/>
          <w:szCs w:val="32"/>
          <w:highlight w:val="none"/>
          <w:lang w:eastAsia="zh-CN"/>
        </w:rPr>
        <w:t>，</w:t>
      </w:r>
      <w:r>
        <w:rPr>
          <w:rFonts w:hint="default" w:ascii="Times New Roman" w:hAnsi="Times New Roman" w:eastAsia="方正仿宋_GBK" w:cs="Times New Roman"/>
          <w:sz w:val="32"/>
          <w:szCs w:val="32"/>
          <w:highlight w:val="none"/>
        </w:rPr>
        <w:t>偏差原因</w:t>
      </w:r>
      <w:r>
        <w:rPr>
          <w:rFonts w:hint="eastAsia"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，改进措施</w:t>
      </w:r>
      <w:r>
        <w:rPr>
          <w:rFonts w:hint="eastAsia"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rPr>
        <w:t>。</w:t>
      </w:r>
    </w:p>
    <w:p w14:paraId="77C8D39F">
      <w:pPr>
        <w:pageBreakBefore w:val="0"/>
        <w:kinsoku/>
        <w:wordWrap/>
        <w:overflowPunct/>
        <w:topLinePunct w:val="0"/>
        <w:bidi w:val="0"/>
        <w:snapToGrid/>
        <w:spacing w:line="560" w:lineRule="exact"/>
        <w:ind w:firstLine="640" w:firstLineChars="200"/>
        <w:rPr>
          <w:rStyle w:val="20"/>
          <w:rFonts w:hint="default" w:ascii="Times New Roman" w:hAnsi="Times New Roman" w:cs="Times New Roman"/>
          <w:color w:val="auto"/>
          <w:sz w:val="32"/>
          <w:szCs w:val="32"/>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97208CA">
      <w:pPr>
        <w:pageBreakBefore w:val="0"/>
        <w:kinsoku/>
        <w:wordWrap/>
        <w:overflowPunct/>
        <w:topLinePunct w:val="0"/>
        <w:bidi w:val="0"/>
        <w:snapToGrid/>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E231332">
      <w:pPr>
        <w:pageBreakBefore w:val="0"/>
        <w:kinsoku/>
        <w:wordWrap/>
        <w:overflowPunct/>
        <w:topLinePunct w:val="0"/>
        <w:bidi w:val="0"/>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02E1B45">
      <w:pPr>
        <w:pStyle w:val="10"/>
        <w:pageBreakBefore w:val="0"/>
        <w:kinsoku/>
        <w:wordWrap/>
        <w:overflowPunct/>
        <w:topLinePunct w:val="0"/>
        <w:bidi w:val="0"/>
        <w:snapToGrid/>
        <w:spacing w:before="0" w:after="0" w:line="560" w:lineRule="exact"/>
        <w:ind w:firstLine="640" w:firstLineChars="200"/>
        <w:jc w:val="left"/>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b w:val="0"/>
          <w:bCs w:val="0"/>
          <w:kern w:val="2"/>
          <w:sz w:val="32"/>
          <w:szCs w:val="32"/>
        </w:rPr>
        <w:t>严格坚持先做事、后验收、再拨付的原则，</w:t>
      </w:r>
      <w:r>
        <w:rPr>
          <w:rFonts w:hint="eastAsia" w:ascii="Times New Roman" w:hAnsi="Times New Roman" w:eastAsia="仿宋_GB2312" w:cs="Times New Roman"/>
          <w:b w:val="0"/>
          <w:bCs w:val="0"/>
          <w:kern w:val="2"/>
          <w:sz w:val="32"/>
          <w:szCs w:val="32"/>
          <w:lang w:eastAsia="zh-CN"/>
        </w:rPr>
        <w:t>杜绝</w:t>
      </w:r>
      <w:r>
        <w:rPr>
          <w:rFonts w:hint="default" w:ascii="Times New Roman" w:hAnsi="Times New Roman" w:eastAsia="仿宋_GB2312" w:cs="Times New Roman"/>
          <w:b w:val="0"/>
          <w:bCs w:val="0"/>
          <w:kern w:val="2"/>
          <w:sz w:val="32"/>
          <w:szCs w:val="3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22D610C">
      <w:pPr>
        <w:keepNext/>
        <w:keepLines/>
        <w:pageBreakBefore w:val="0"/>
        <w:numPr>
          <w:ilvl w:val="0"/>
          <w:numId w:val="6"/>
        </w:numPr>
        <w:kinsoku/>
        <w:wordWrap/>
        <w:overflowPunct/>
        <w:topLinePunct w:val="0"/>
        <w:bidi w:val="0"/>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7DD424C">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4EF16CD">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景区运营过程中存在</w:t>
      </w:r>
      <w:r>
        <w:rPr>
          <w:rFonts w:hint="eastAsia" w:ascii="Times New Roman" w:hAnsi="Times New Roman" w:eastAsia="仿宋_GB2312" w:cs="Times New Roman"/>
          <w:sz w:val="32"/>
          <w:szCs w:val="32"/>
          <w:highlight w:val="none"/>
          <w:lang w:val="en-US" w:eastAsia="zh-CN"/>
        </w:rPr>
        <w:t>人员流动较大</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配备不合理</w:t>
      </w:r>
      <w:r>
        <w:rPr>
          <w:rFonts w:hint="eastAsia" w:eastAsia="仿宋_GB2312" w:cs="Times New Roman"/>
          <w:sz w:val="32"/>
          <w:szCs w:val="32"/>
          <w:highlight w:val="none"/>
          <w:lang w:val="en-US" w:eastAsia="zh-CN"/>
        </w:rPr>
        <w:t>等问题</w:t>
      </w:r>
      <w:r>
        <w:rPr>
          <w:rFonts w:hint="eastAsia" w:ascii="Times New Roman" w:hAnsi="Times New Roman" w:eastAsia="仿宋_GB2312" w:cs="Times New Roman"/>
          <w:sz w:val="32"/>
          <w:szCs w:val="32"/>
          <w:highlight w:val="none"/>
          <w:lang w:val="en-US" w:eastAsia="zh-CN"/>
        </w:rPr>
        <w:t>，在游客达到一定的人数时，出现人员不足导致安全上的问题</w:t>
      </w:r>
      <w:r>
        <w:rPr>
          <w:rFonts w:hint="eastAsia" w:eastAsia="仿宋_GB2312" w:cs="Times New Roman"/>
          <w:sz w:val="32"/>
          <w:szCs w:val="32"/>
          <w:highlight w:val="none"/>
          <w:lang w:val="en-US" w:eastAsia="zh-CN"/>
        </w:rPr>
        <w:t>。</w:t>
      </w:r>
    </w:p>
    <w:p w14:paraId="2C80E541">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2923E2F1">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7FB96CA">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4ED6E419">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1832786">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cs="Times New Roman"/>
          <w:sz w:val="32"/>
          <w:szCs w:val="32"/>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2"/>
          <w:szCs w:val="32"/>
        </w:rPr>
        <w:t>。</w:t>
      </w:r>
    </w:p>
    <w:p w14:paraId="0194CF91">
      <w:pPr>
        <w:pageBreakBefore w:val="0"/>
        <w:shd w:val="clear" w:color="auto" w:fill="auto"/>
        <w:kinsoku/>
        <w:wordWrap/>
        <w:overflowPunct/>
        <w:topLinePunct w:val="0"/>
        <w:bidi w:val="0"/>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44CFE4B">
      <w:pPr>
        <w:pageBreakBefore w:val="0"/>
        <w:kinsoku/>
        <w:wordWrap/>
        <w:overflowPunct/>
        <w:topLinePunct w:val="0"/>
        <w:bidi w:val="0"/>
        <w:snapToGrid/>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4E2E3CB2">
      <w:pPr>
        <w:pStyle w:val="12"/>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33EF059">
      <w:pPr>
        <w:pStyle w:val="12"/>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rPr>
      </w:pPr>
    </w:p>
    <w:p w14:paraId="689FC3D2">
      <w:pPr>
        <w:pStyle w:val="12"/>
        <w:pageBreakBefore w:val="0"/>
        <w:kinsoku/>
        <w:wordWrap/>
        <w:overflowPunct/>
        <w:topLinePunct w:val="0"/>
        <w:bidi w:val="0"/>
        <w:snapToGrid/>
        <w:spacing w:after="0" w:line="560" w:lineRule="exact"/>
        <w:ind w:left="0" w:leftChars="0" w:firstLine="640"/>
        <w:rPr>
          <w:rFonts w:hint="default" w:ascii="Times New Roman" w:hAnsi="Times New Roman" w:eastAsia="仿宋_GB2312" w:cs="Times New Roman"/>
          <w:sz w:val="32"/>
          <w:szCs w:val="32"/>
        </w:rPr>
      </w:pPr>
    </w:p>
    <w:p w14:paraId="681709A9">
      <w:pPr>
        <w:pageBreakBefore w:val="0"/>
        <w:kinsoku/>
        <w:wordWrap/>
        <w:overflowPunct/>
        <w:topLinePunct w:val="0"/>
        <w:bidi w:val="0"/>
        <w:snapToGrid/>
        <w:spacing w:line="56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bookmarkStart w:id="1" w:name="_GoBack"/>
      <w:bookmarkEnd w:id="1"/>
    </w:p>
    <w:p w14:paraId="537901B8">
      <w:pPr>
        <w:pageBreakBefore w:val="0"/>
        <w:kinsoku/>
        <w:wordWrap/>
        <w:overflowPunct/>
        <w:topLinePunct w:val="0"/>
        <w:bidi w:val="0"/>
        <w:snapToGrid/>
        <w:spacing w:line="560" w:lineRule="exact"/>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EDC05F-1ACA-43D2-91BB-9964CEAA40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2" w:fontKey="{5FBE5F95-AEE6-4491-9086-3E5BE7E476C6}"/>
  </w:font>
  <w:font w:name="华文中宋">
    <w:altName w:val="宋体"/>
    <w:panose1 w:val="02010600040101010101"/>
    <w:charset w:val="86"/>
    <w:family w:val="auto"/>
    <w:pitch w:val="default"/>
    <w:sig w:usb0="00000000" w:usb1="00000000" w:usb2="00000000" w:usb3="00000000" w:csb0="0004009F" w:csb1="DFD70000"/>
    <w:embedRegular r:id="rId3" w:fontKey="{A6FC730B-156B-4E0A-B4A7-A6F086198551}"/>
  </w:font>
  <w:font w:name="方正小标宋_GBK">
    <w:panose1 w:val="02000000000000000000"/>
    <w:charset w:val="86"/>
    <w:family w:val="script"/>
    <w:pitch w:val="default"/>
    <w:sig w:usb0="A00002BF" w:usb1="38CF7CFA" w:usb2="00082016" w:usb3="00000000" w:csb0="00040001" w:csb1="00000000"/>
    <w:embedRegular r:id="rId4" w:fontKey="{5A8E7453-0BFE-4C64-A98E-FC76E8C3DEEE}"/>
  </w:font>
  <w:font w:name="方正小标宋简体">
    <w:panose1 w:val="03000509000000000000"/>
    <w:charset w:val="86"/>
    <w:family w:val="auto"/>
    <w:pitch w:val="default"/>
    <w:sig w:usb0="00000001" w:usb1="080E0000" w:usb2="00000000" w:usb3="00000000" w:csb0="00040000" w:csb1="00000000"/>
    <w:embedRegular r:id="rId5" w:fontKey="{D6257099-848E-45ED-A567-B4B069F9802E}"/>
  </w:font>
  <w:font w:name="楷体_GB2312">
    <w:panose1 w:val="02010609030101010101"/>
    <w:charset w:val="86"/>
    <w:family w:val="auto"/>
    <w:pitch w:val="default"/>
    <w:sig w:usb0="00000001" w:usb1="080E0000" w:usb2="00000000" w:usb3="00000000" w:csb0="00040000" w:csb1="00000000"/>
    <w:embedRegular r:id="rId6" w:fontKey="{C0F794EC-4DFD-4FB4-B1B7-5F7D546DACE8}"/>
  </w:font>
  <w:font w:name="方正仿宋_GBK">
    <w:panose1 w:val="02000000000000000000"/>
    <w:charset w:val="86"/>
    <w:family w:val="auto"/>
    <w:pitch w:val="default"/>
    <w:sig w:usb0="A00002BF" w:usb1="38CF7CFA" w:usb2="00082016" w:usb3="00000000" w:csb0="00040001" w:csb1="00000000"/>
    <w:embedRegular r:id="rId7" w:fontKey="{E61D8EEB-8C53-4D34-B598-32177F5230A0}"/>
  </w:font>
  <w:font w:name="楷体">
    <w:panose1 w:val="02010609060101010101"/>
    <w:charset w:val="86"/>
    <w:family w:val="modern"/>
    <w:pitch w:val="default"/>
    <w:sig w:usb0="800002BF" w:usb1="38CF7CFA" w:usb2="00000016" w:usb3="00000000" w:csb0="00040001" w:csb1="00000000"/>
    <w:embedRegular r:id="rId8" w:fontKey="{86240A05-CF79-4BCE-80D7-91A3488FE0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D679F0B">
        <w:pPr>
          <w:pStyle w:val="7"/>
          <w:jc w:val="center"/>
        </w:pPr>
        <w:r>
          <w:fldChar w:fldCharType="begin"/>
        </w:r>
        <w:r>
          <w:instrText xml:space="preserve">PAGE   \* MERGEFORMAT</w:instrText>
        </w:r>
        <w:r>
          <w:fldChar w:fldCharType="separate"/>
        </w:r>
        <w:r>
          <w:rPr>
            <w:lang w:val="zh-CN"/>
          </w:rPr>
          <w:t>13</w:t>
        </w:r>
        <w:r>
          <w:fldChar w:fldCharType="end"/>
        </w:r>
      </w:p>
    </w:sdtContent>
  </w:sdt>
  <w:p w14:paraId="756B320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NTg1OGE5MTM3Mzc2NTI2OGVlMmQ2YWY3YzFiZjEifQ=="/>
  </w:docVars>
  <w:rsids>
    <w:rsidRoot w:val="00000000"/>
    <w:rsid w:val="52F2023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隶书" w:hAnsi="Calibri" w:eastAsia="隶书" w:cs="隶书"/>
      <w:color w:val="000000"/>
      <w:sz w:val="24"/>
      <w:szCs w:val="24"/>
      <w:lang w:val="en-US" w:eastAsia="zh-CN" w:bidi="ar-SA"/>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eyJoZGlkIjoiOTgxZWZjYmI2NWIwMmE1ZWY1NDY0MDVhNTkyN2FmMjEifQ==</vt:lpwstr>
  </property>
</Properties>
</file>

<file path=customXml/itemProps1.xml><?xml version="1.0" encoding="utf-8"?>
<ds:datastoreItem xmlns:ds="http://schemas.openxmlformats.org/officeDocument/2006/customXml" ds:itemID="{f3c97e19-e747-4f73-8c36-ddc9469bb460}">
  <ds:schemaRefs/>
</ds:datastoreItem>
</file>

<file path=docProps/app.xml><?xml version="1.0" encoding="utf-8"?>
<Properties xmlns="http://schemas.openxmlformats.org/officeDocument/2006/extended-properties" xmlns:vt="http://schemas.openxmlformats.org/officeDocument/2006/docPropsVTypes">
  <Template>Normal</Template>
  <Pages>23</Pages>
  <Words>3927</Words>
  <Characters>4066</Characters>
  <Lines>58</Lines>
  <Paragraphs>16</Paragraphs>
  <TotalTime>0</TotalTime>
  <ScaleCrop>false</ScaleCrop>
  <LinksUpToDate>false</LinksUpToDate>
  <CharactersWithSpaces>4068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cp:lastPrinted>2025-05-21T05:36:00Z</cp:lastPrinted>
  <dcterms:modified xsi:type="dcterms:W3CDTF">2025-11-13T05:10:55Z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eyJoZGlkIjoiZTEwMTFjZmI3NWUwMGRmYWEyNzFiMzQ2OTlkZWE5ODAiLCJ1c2VySWQiOiIzNzI2MDMzNTYifQ==</vt:lpwstr>
  </property>
</Properties>
</file>