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特克斯县喀拉达拉镇人民政府2024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29DAEE">
      <w:r>
        <w:br w:type="page"/>
      </w:r>
    </w:p>
    <w:p w14:paraId="61EB1D95">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DA17C0B">
      <w:pPr>
        <w:spacing w:line="640" w:lineRule="exact"/>
        <w:ind w:firstLine="640"/>
        <w:jc w:val="both"/>
        <w:outlineLvl w:val="2"/>
      </w:pPr>
      <w:r>
        <w:rPr>
          <w:rFonts w:ascii="黑体" w:hAnsi="黑体" w:eastAsia="黑体"/>
          <w:sz w:val="32"/>
        </w:rPr>
        <w:t>一、主要职能</w:t>
      </w:r>
    </w:p>
    <w:p w14:paraId="4E0E5332">
      <w:pPr>
        <w:spacing w:line="580" w:lineRule="exact"/>
        <w:ind w:firstLine="640"/>
        <w:jc w:val="both"/>
      </w:pPr>
      <w:r>
        <w:rPr>
          <w:rFonts w:ascii="仿宋_GB2312" w:hAnsi="仿宋_GB2312" w:eastAsia="仿宋_GB2312"/>
          <w:sz w:val="32"/>
        </w:rPr>
        <w:t>(一)镇党委。</w:t>
      </w:r>
    </w:p>
    <w:p w14:paraId="5F83CE0A">
      <w:pPr>
        <w:spacing w:line="580" w:lineRule="exact"/>
        <w:ind w:firstLine="640"/>
        <w:jc w:val="both"/>
      </w:pPr>
      <w:r>
        <w:rPr>
          <w:rFonts w:ascii="仿宋_GB2312" w:hAnsi="仿宋_GB2312" w:eastAsia="仿宋_GB2312"/>
          <w:sz w:val="32"/>
        </w:rPr>
        <w:t>1.宣传和贯彻执行党的路线方针政策和党中央、上级党组织及镇党员代表大会(党员大会)的决议。</w:t>
      </w:r>
    </w:p>
    <w:p w14:paraId="7F3D2C37">
      <w:pPr>
        <w:spacing w:line="580" w:lineRule="exact"/>
        <w:ind w:firstLine="640"/>
        <w:jc w:val="both"/>
      </w:pPr>
      <w:r>
        <w:rPr>
          <w:rFonts w:ascii="仿宋_GB2312" w:hAnsi="仿宋_GB2312" w:eastAsia="仿宋_GB2312"/>
          <w:sz w:val="32"/>
        </w:rPr>
        <w:t>2.讨论和决定本镇经济建设、政治建设、文化建设、社会建设、生态文明建设和党的建设以及乡村振兴中的重大问题。</w:t>
      </w:r>
    </w:p>
    <w:p w14:paraId="3AF26E2A">
      <w:pPr>
        <w:spacing w:line="580" w:lineRule="exact"/>
        <w:ind w:firstLine="640"/>
        <w:jc w:val="both"/>
      </w:pPr>
      <w:r>
        <w:rPr>
          <w:rFonts w:ascii="仿宋_GB2312" w:hAnsi="仿宋_GB2312" w:eastAsia="仿宋_GB2312"/>
          <w:sz w:val="32"/>
        </w:rPr>
        <w:t>3.领导政权机关、群团组织和其他各类组织，加强指导和监督，支持和保证这些机关和组织依照国家法律法规以及各自章程履行职责。</w:t>
      </w:r>
    </w:p>
    <w:p w14:paraId="43988C97">
      <w:pPr>
        <w:spacing w:line="580" w:lineRule="exact"/>
        <w:ind w:firstLine="640"/>
        <w:jc w:val="both"/>
      </w:pPr>
      <w:r>
        <w:rPr>
          <w:rFonts w:ascii="仿宋_GB2312" w:hAnsi="仿宋_GB2312" w:eastAsia="仿宋_GB2312"/>
          <w:sz w:val="32"/>
        </w:rPr>
        <w:t>4.加强镇党委自身建设和村党组织建设，以及其他隶属镇党委的党组织建设，抓好发展党员工作，加强党员队伍建设。负责党风廉政建设和反腐败工作，维护和执行党的纪律，监督党员干部和其他工作人员严格遵守国家法律法规。</w:t>
      </w:r>
    </w:p>
    <w:p w14:paraId="4E20ECEA">
      <w:pPr>
        <w:spacing w:line="580" w:lineRule="exact"/>
        <w:ind w:firstLine="640"/>
        <w:jc w:val="both"/>
      </w:pPr>
      <w:r>
        <w:rPr>
          <w:rFonts w:ascii="仿宋_GB2312" w:hAnsi="仿宋_GB2312" w:eastAsia="仿宋_GB2312"/>
          <w:sz w:val="32"/>
        </w:rPr>
        <w:t>5.按照干部管理权限，负责对干部的教育、培训、选拔、考核和监督工作。做好人才服务和引进工作。加强对县直部门派驻机构及人员的管理，统一指挥协调县直部门派驻机构人员，开展工作考核，对负责人的任免提出意见。统一指挥协调赋权执法事项部门下沉的执法人员。</w:t>
      </w:r>
    </w:p>
    <w:p w14:paraId="21CCE0CA">
      <w:pPr>
        <w:spacing w:line="580" w:lineRule="exact"/>
        <w:ind w:firstLine="640"/>
        <w:jc w:val="both"/>
      </w:pPr>
      <w:r>
        <w:rPr>
          <w:rFonts w:ascii="仿宋_GB2312" w:hAnsi="仿宋_GB2312" w:eastAsia="仿宋_GB2312"/>
          <w:sz w:val="32"/>
        </w:rPr>
        <w:t>6.领导本镇基层治理，推动党的社会工作向基层延伸，负责党建引领基层治理和基层政权建设、“两企三新”党建、社会工作人才队伍建设，建立健全基层社会工作格局，加强基层治理体系和治理能力建设。加强社会主义民主法治建设和精神文明建设，加强社会治安综合治理，做好生态环保、美丽乡村建设、民生保障、脱贫致富、民族等工作，维护社会稳定。对重大的突发性事件，迅速反应</w:t>
      </w:r>
      <w:r>
        <w:rPr>
          <w:rFonts w:hint="eastAsia" w:ascii="仿宋_GB2312" w:hAnsi="仿宋_GB2312" w:eastAsia="仿宋_GB2312"/>
          <w:sz w:val="32"/>
          <w:lang w:eastAsia="zh-CN"/>
        </w:rPr>
        <w:t>及</w:t>
      </w:r>
      <w:r>
        <w:rPr>
          <w:rFonts w:ascii="仿宋_GB2312" w:hAnsi="仿宋_GB2312" w:eastAsia="仿宋_GB2312"/>
          <w:sz w:val="32"/>
        </w:rPr>
        <w:t>时应对，并立即向上级党委报告。</w:t>
      </w:r>
    </w:p>
    <w:p w14:paraId="3FA380E6">
      <w:pPr>
        <w:spacing w:line="580" w:lineRule="exact"/>
        <w:ind w:firstLine="640"/>
        <w:jc w:val="both"/>
      </w:pPr>
      <w:r>
        <w:rPr>
          <w:rFonts w:ascii="仿宋_GB2312" w:hAnsi="仿宋_GB2312" w:eastAsia="仿宋_GB2312"/>
          <w:sz w:val="32"/>
        </w:rPr>
        <w:t>7.完成县委交办的其他任务。</w:t>
      </w:r>
    </w:p>
    <w:p w14:paraId="501C667F">
      <w:pPr>
        <w:spacing w:line="580" w:lineRule="exact"/>
        <w:ind w:firstLine="640"/>
        <w:jc w:val="both"/>
      </w:pPr>
      <w:r>
        <w:rPr>
          <w:rFonts w:ascii="仿宋_GB2312" w:hAnsi="仿宋_GB2312" w:eastAsia="仿宋_GB2312"/>
          <w:sz w:val="32"/>
        </w:rPr>
        <w:t>(二)镇人民政府。</w:t>
      </w:r>
    </w:p>
    <w:p w14:paraId="024C5BCF">
      <w:pPr>
        <w:spacing w:line="580" w:lineRule="exact"/>
        <w:ind w:firstLine="640"/>
        <w:jc w:val="both"/>
      </w:pPr>
      <w:r>
        <w:rPr>
          <w:rFonts w:ascii="仿宋_GB2312" w:hAnsi="仿宋_GB2312" w:eastAsia="仿宋_GB2312"/>
          <w:sz w:val="32"/>
        </w:rPr>
        <w:t>1.执行镇人民代表大会的决议和上级国家行政机关的决定和命令，发布决定和命令。</w:t>
      </w:r>
    </w:p>
    <w:p w14:paraId="7042700F">
      <w:pPr>
        <w:spacing w:line="580" w:lineRule="exact"/>
        <w:ind w:firstLine="640"/>
        <w:jc w:val="both"/>
      </w:pPr>
      <w:r>
        <w:rPr>
          <w:rFonts w:ascii="仿宋_GB2312" w:hAnsi="仿宋_GB2312" w:eastAsia="仿宋_GB2312"/>
          <w:sz w:val="32"/>
        </w:rPr>
        <w:t>2.负责经济发展工作，制定实施经济发展规划，调整经济结构，转变经济增长方式，做好“三农”工作，推进乡村振兴，增加群众收入，提升经济发展质量和水平。</w:t>
      </w:r>
    </w:p>
    <w:p w14:paraId="1C996298">
      <w:pPr>
        <w:spacing w:line="580" w:lineRule="exact"/>
        <w:ind w:firstLine="640"/>
        <w:jc w:val="both"/>
      </w:pPr>
      <w:r>
        <w:rPr>
          <w:rFonts w:ascii="仿宋_GB2312" w:hAnsi="仿宋_GB2312" w:eastAsia="仿宋_GB2312"/>
          <w:sz w:val="32"/>
        </w:rPr>
        <w:t>3.改善民生服务，管理教科文卫体事业和生态环境保护、财政、民政、社会保障、就业培训、劳动关系协调、社会救助、应急管理、安全生产、消防、公安、司法行政、人口与</w:t>
      </w:r>
      <w:r>
        <w:rPr>
          <w:rFonts w:hint="eastAsia" w:ascii="仿宋_GB2312" w:hAnsi="仿宋_GB2312" w:eastAsia="仿宋_GB2312"/>
          <w:sz w:val="32"/>
          <w:lang w:val="en-US" w:eastAsia="zh-CN"/>
        </w:rPr>
        <w:t>计生</w:t>
      </w:r>
      <w:r>
        <w:rPr>
          <w:rFonts w:ascii="仿宋_GB2312" w:hAnsi="仿宋_GB2312" w:eastAsia="仿宋_GB2312"/>
          <w:sz w:val="32"/>
        </w:rPr>
        <w:t>、退役军人事务、统计等工作。加强公共设施和公共服务体系建设。配合做好数字政府和信息基础设施建设。</w:t>
      </w:r>
    </w:p>
    <w:p w14:paraId="7FB663E8">
      <w:pPr>
        <w:spacing w:line="580" w:lineRule="exact"/>
        <w:ind w:firstLine="640"/>
        <w:jc w:val="both"/>
      </w:pPr>
      <w:r>
        <w:rPr>
          <w:rFonts w:ascii="仿宋_GB2312" w:hAnsi="仿宋_GB2312" w:eastAsia="仿宋_GB2312"/>
          <w:sz w:val="32"/>
        </w:rPr>
        <w:t>4.保护社会主义的全民所有的财产和劳动群众集体所有的财产，保护公民私人所有的合法财产，维护社会秩序，保障公民的人身权利、民主权利和其他权利。保护各种经济组织的合法权益。保障宪法和法律赋予妇女的男女平等、同工同酬和婚姻自由等各项权利。</w:t>
      </w:r>
    </w:p>
    <w:p w14:paraId="68B76C95">
      <w:pPr>
        <w:spacing w:line="580" w:lineRule="exact"/>
        <w:ind w:firstLine="640"/>
        <w:jc w:val="both"/>
      </w:pPr>
      <w:r>
        <w:rPr>
          <w:rFonts w:ascii="仿宋_GB2312" w:hAnsi="仿宋_GB2312" w:eastAsia="仿宋_GB2312"/>
          <w:sz w:val="32"/>
        </w:rPr>
        <w:t>5.强化便民服务，编制完善便民服务事项目录清单，集中受理、办理群众关心关注的政务服务事项。建立健全便民服务管理制度，实行“一站式服务”“一门式办理”。按照法定职权和有关授权，依法开展行政审批工作。推进政务、村(居)务公开。</w:t>
      </w:r>
    </w:p>
    <w:p w14:paraId="57C3DEBD">
      <w:pPr>
        <w:spacing w:line="580" w:lineRule="exact"/>
        <w:ind w:firstLine="640"/>
        <w:jc w:val="both"/>
      </w:pPr>
      <w:r>
        <w:rPr>
          <w:rFonts w:ascii="仿宋_GB2312" w:hAnsi="仿宋_GB2312" w:eastAsia="仿宋_GB2312"/>
          <w:sz w:val="32"/>
        </w:rPr>
        <w:t>6.铸牢中华民族共同体意识，促进各民族广泛交往交流交融，保障少数民族的合法权利和利益，保障少数民族保持或者改革自己的风俗习惯的自由。</w:t>
      </w:r>
    </w:p>
    <w:p w14:paraId="6AEE01C3">
      <w:pPr>
        <w:spacing w:line="580" w:lineRule="exact"/>
        <w:ind w:firstLine="640"/>
        <w:jc w:val="both"/>
      </w:pPr>
      <w:r>
        <w:rPr>
          <w:rFonts w:ascii="仿宋_GB2312" w:hAnsi="仿宋_GB2312" w:eastAsia="仿宋_GB2312"/>
          <w:sz w:val="32"/>
        </w:rPr>
        <w:t>7.加强平安法治建设，开展辖区内社会治安综合治理、信访、平安建设等工作。完善并实施“接诉即办”机制，处理群众性突发事件，强化民主法治宣传教育，维护公共安全和社会稳定。</w:t>
      </w:r>
    </w:p>
    <w:p w14:paraId="15F87DF5">
      <w:pPr>
        <w:spacing w:line="580" w:lineRule="exact"/>
        <w:ind w:firstLine="640"/>
        <w:jc w:val="both"/>
      </w:pPr>
      <w:r>
        <w:rPr>
          <w:rFonts w:ascii="仿宋_GB2312" w:hAnsi="仿宋_GB2312" w:eastAsia="仿宋_GB2312"/>
          <w:sz w:val="32"/>
        </w:rPr>
        <w:t>8.组织实施乡镇行政处罚赋权事项清单、乡镇权责清单、县乡“属地管理”事项责任清单，厘清主体责任、配合责任，理顺县乡权责关系。</w:t>
      </w:r>
    </w:p>
    <w:p w14:paraId="1DD11CDB">
      <w:pPr>
        <w:spacing w:line="580" w:lineRule="exact"/>
        <w:ind w:firstLine="640"/>
        <w:jc w:val="both"/>
      </w:pPr>
      <w:r>
        <w:rPr>
          <w:rFonts w:ascii="仿宋_GB2312" w:hAnsi="仿宋_GB2312" w:eastAsia="仿宋_GB2312"/>
          <w:sz w:val="32"/>
        </w:rPr>
        <w:t>9.负责本辖区的综合行政执法工作。完善并实施“乡镇吹哨、部门报到”机制，开展权限内日常执法检查、一般违法案件查处，并接受有关县级主管部门的业务指导和监督。</w:t>
      </w:r>
    </w:p>
    <w:p w14:paraId="66BF6350">
      <w:pPr>
        <w:spacing w:line="580" w:lineRule="exact"/>
        <w:ind w:firstLine="640"/>
        <w:jc w:val="both"/>
      </w:pPr>
      <w:r>
        <w:rPr>
          <w:rFonts w:ascii="仿宋_GB2312" w:hAnsi="仿宋_GB2312" w:eastAsia="仿宋_GB2312"/>
          <w:sz w:val="32"/>
        </w:rPr>
        <w:t>10.保障村(居)民自治。指导、支持和帮助村(居)民委员会建设，健全村(居)民自治平台，组织驻镇</w:t>
      </w:r>
      <w:r>
        <w:rPr>
          <w:rFonts w:hint="eastAsia" w:ascii="仿宋_GB2312" w:hAnsi="仿宋_GB2312" w:eastAsia="仿宋_GB2312"/>
          <w:sz w:val="32"/>
          <w:lang w:eastAsia="zh-CN"/>
        </w:rPr>
        <w:t>单位</w:t>
      </w:r>
      <w:r>
        <w:rPr>
          <w:rFonts w:ascii="仿宋_GB2312" w:hAnsi="仿宋_GB2312" w:eastAsia="仿宋_GB2312"/>
          <w:sz w:val="32"/>
        </w:rPr>
        <w:t>和村(居)民参与村(社区)建设、管理。</w:t>
      </w:r>
    </w:p>
    <w:p w14:paraId="666C0B07">
      <w:pPr>
        <w:spacing w:line="580" w:lineRule="exact"/>
        <w:ind w:firstLine="640"/>
        <w:jc w:val="both"/>
      </w:pPr>
      <w:r>
        <w:rPr>
          <w:rFonts w:ascii="仿宋_GB2312" w:hAnsi="仿宋_GB2312" w:eastAsia="仿宋_GB2312"/>
          <w:sz w:val="32"/>
        </w:rPr>
        <w:t>11.办理县委、县人民政府交办的其他事项。</w:t>
      </w:r>
    </w:p>
    <w:p w14:paraId="5A575D20">
      <w:pPr>
        <w:spacing w:line="580" w:lineRule="exact"/>
        <w:ind w:firstLine="640"/>
        <w:jc w:val="both"/>
      </w:pPr>
      <w:r>
        <w:rPr>
          <w:rFonts w:ascii="仿宋_GB2312" w:hAnsi="仿宋_GB2312" w:eastAsia="仿宋_GB2312"/>
          <w:sz w:val="32"/>
        </w:rPr>
        <w:t>（三）</w:t>
      </w:r>
      <w:r>
        <w:rPr>
          <w:rFonts w:hint="eastAsia" w:ascii="仿宋_GB2312" w:hAnsi="仿宋_GB2312" w:eastAsia="仿宋_GB2312"/>
          <w:sz w:val="32"/>
          <w:lang w:eastAsia="zh-CN"/>
        </w:rPr>
        <w:t>镇党委、镇政府</w:t>
      </w:r>
      <w:r>
        <w:rPr>
          <w:rFonts w:ascii="仿宋_GB2312" w:hAnsi="仿宋_GB2312" w:eastAsia="仿宋_GB2312"/>
          <w:sz w:val="32"/>
        </w:rPr>
        <w:t>设下列事业</w:t>
      </w:r>
      <w:r>
        <w:rPr>
          <w:rFonts w:hint="eastAsia" w:ascii="仿宋_GB2312" w:hAnsi="仿宋_GB2312" w:eastAsia="仿宋_GB2312"/>
          <w:sz w:val="32"/>
          <w:lang w:eastAsia="zh-CN"/>
        </w:rPr>
        <w:t>单位</w:t>
      </w:r>
      <w:r>
        <w:rPr>
          <w:rFonts w:ascii="仿宋_GB2312" w:hAnsi="仿宋_GB2312" w:eastAsia="仿宋_GB2312"/>
          <w:sz w:val="32"/>
        </w:rPr>
        <w:t>。</w:t>
      </w:r>
    </w:p>
    <w:p w14:paraId="77BE3FE7">
      <w:pPr>
        <w:spacing w:line="580" w:lineRule="exact"/>
        <w:ind w:firstLine="640"/>
        <w:jc w:val="both"/>
      </w:pPr>
      <w:r>
        <w:rPr>
          <w:rFonts w:ascii="仿宋_GB2312" w:hAnsi="仿宋_GB2312" w:eastAsia="仿宋_GB2312"/>
          <w:sz w:val="32"/>
        </w:rPr>
        <w:t>1.农业发展服务中心。主要负责农业、畜牧、兽医、草原、林业、农技、农机、水利、农经等方面的服务工作。协助镇政府制定农业、林业、水利等工作的长远发展规划和年度计划并组织实施。</w:t>
      </w:r>
    </w:p>
    <w:p w14:paraId="19B37526">
      <w:pPr>
        <w:spacing w:line="580" w:lineRule="exact"/>
        <w:ind w:firstLine="640"/>
        <w:jc w:val="both"/>
      </w:pPr>
      <w:r>
        <w:rPr>
          <w:rFonts w:ascii="仿宋_GB2312" w:hAnsi="仿宋_GB2312" w:eastAsia="仿宋_GB2312"/>
          <w:sz w:val="32"/>
        </w:rPr>
        <w:t>2.公共文化服务中心。主要负责文化、宣传、科技、体育、广播电视、旅游等方面的服务工作。协助镇政府制定文化、宣传、科技、体育、广播电视、旅游等工作的长远发展规划和年度计划并组织实施。承担志愿者服务工作。</w:t>
      </w:r>
    </w:p>
    <w:p w14:paraId="0A3B39A0">
      <w:pPr>
        <w:spacing w:line="580" w:lineRule="exact"/>
        <w:ind w:firstLine="640"/>
        <w:jc w:val="both"/>
      </w:pPr>
      <w:r>
        <w:rPr>
          <w:rFonts w:ascii="仿宋_GB2312" w:hAnsi="仿宋_GB2312" w:eastAsia="仿宋_GB2312"/>
          <w:sz w:val="32"/>
        </w:rPr>
        <w:t>3.便民服务中心。主要负责民政、教育、劳动就业、社会保障、社会救助、退役军人、残疾人事业、红十字会等方面的服务工作。深化“最多跑一次”改革，结合实际集中受理、办理劳动就业、社会保障、社会救助、医疗保障、不动产登记、村镇规划建设、农业农村服务、畜牧兽医等面向群众的行政审批和服务事项，接受政策咨询，承接县直部门下放的审批权限。会同有关部门编制完善便民服务事项目录清单，梳理办事流程，简化办事程序。规范内部管理，建立健全首问负责、一次告知等管理制度。</w:t>
      </w:r>
    </w:p>
    <w:p w14:paraId="49DB57F9">
      <w:pPr>
        <w:spacing w:line="580" w:lineRule="exact"/>
        <w:ind w:firstLine="640"/>
        <w:jc w:val="both"/>
      </w:pPr>
      <w:r>
        <w:rPr>
          <w:rFonts w:ascii="仿宋_GB2312" w:hAnsi="仿宋_GB2312" w:eastAsia="仿宋_GB2312"/>
          <w:sz w:val="32"/>
        </w:rPr>
        <w:t>4.村镇建设发展中心。主要负责国土资源、国土空间规划建设、园林绿化、生态环境保护、交通等方面的服务工作。协助镇政府制定国土资源、国土空间规划建设、园林绿化、生态</w:t>
      </w:r>
      <w:r>
        <w:rPr>
          <w:rFonts w:hint="eastAsia" w:ascii="仿宋_GB2312" w:hAnsi="仿宋_GB2312" w:eastAsia="仿宋_GB2312"/>
          <w:sz w:val="32"/>
          <w:lang w:eastAsia="zh-CN"/>
        </w:rPr>
        <w:t>环境</w:t>
      </w:r>
      <w:r>
        <w:rPr>
          <w:rFonts w:ascii="仿宋_GB2312" w:hAnsi="仿宋_GB2312" w:eastAsia="仿宋_GB2312"/>
          <w:sz w:val="32"/>
        </w:rPr>
        <w:t>。</w:t>
      </w:r>
    </w:p>
    <w:p w14:paraId="27188C97">
      <w:pPr>
        <w:spacing w:line="580" w:lineRule="exact"/>
        <w:ind w:firstLine="640"/>
        <w:jc w:val="both"/>
      </w:pPr>
      <w:r>
        <w:rPr>
          <w:rFonts w:ascii="仿宋_GB2312" w:hAnsi="仿宋_GB2312" w:eastAsia="仿宋_GB2312"/>
          <w:sz w:val="32"/>
        </w:rPr>
        <w:t>境保护、交通工作的长远规划和年度计划并组织实施。协助镇政府贯彻落实统筹城乡发展、加快推进城乡一体化工作总体部署和目标。</w:t>
      </w:r>
    </w:p>
    <w:p w14:paraId="030CED0C">
      <w:pPr>
        <w:spacing w:line="580" w:lineRule="exact"/>
        <w:ind w:firstLine="640"/>
        <w:jc w:val="both"/>
      </w:pPr>
      <w:r>
        <w:rPr>
          <w:rFonts w:ascii="仿宋_GB2312" w:hAnsi="仿宋_GB2312" w:eastAsia="仿宋_GB2312"/>
          <w:sz w:val="32"/>
        </w:rPr>
        <w:t>5.综治和网格化服务中心。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安置帮教、社区矫正、普法、预防未成年人违法犯罪等工作。负责流动人口管理工作，管</w:t>
      </w:r>
      <w:r>
        <w:rPr>
          <w:rFonts w:hint="eastAsia" w:ascii="仿宋_GB2312" w:hAnsi="仿宋_GB2312" w:eastAsia="仿宋_GB2312"/>
          <w:sz w:val="32"/>
          <w:lang w:eastAsia="zh-CN"/>
        </w:rPr>
        <w:t>理和</w:t>
      </w:r>
      <w:r>
        <w:rPr>
          <w:rFonts w:ascii="仿宋_GB2312" w:hAnsi="仿宋_GB2312" w:eastAsia="仿宋_GB2312"/>
          <w:sz w:val="32"/>
        </w:rPr>
        <w:t>指导基层网格员队伍等。负责特殊群体的帮教帮扶、解决群众困难诉求等工作。负责群众工作机制的落实，拓展教育服务群众的形式和载体。</w:t>
      </w:r>
    </w:p>
    <w:p w14:paraId="377EAF25">
      <w:pPr>
        <w:spacing w:line="580" w:lineRule="exact"/>
        <w:ind w:firstLine="640"/>
        <w:jc w:val="both"/>
      </w:pPr>
      <w:r>
        <w:rPr>
          <w:rFonts w:ascii="仿宋_GB2312" w:hAnsi="仿宋_GB2312" w:eastAsia="仿宋_GB2312"/>
          <w:sz w:val="32"/>
        </w:rPr>
        <w:t>6.综合行政执法队。与镇综合执法办公室合署办公。主要负责市场监管、文化市场、农业、交通运输、环境保护、村容村貌、规划、建设、安全生产、水利、</w:t>
      </w:r>
      <w:r>
        <w:rPr>
          <w:rFonts w:hint="eastAsia" w:ascii="仿宋_GB2312" w:hAnsi="仿宋_GB2312" w:eastAsia="仿宋_GB2312"/>
          <w:sz w:val="32"/>
          <w:lang w:eastAsia="zh-CN"/>
        </w:rPr>
        <w:t>农机</w:t>
      </w:r>
      <w:r>
        <w:rPr>
          <w:rFonts w:ascii="仿宋_GB2312" w:hAnsi="仿宋_GB2312" w:eastAsia="仿宋_GB2312"/>
          <w:sz w:val="32"/>
        </w:rPr>
        <w:t>、食品药品、住房</w:t>
      </w:r>
      <w:r>
        <w:rPr>
          <w:rFonts w:hint="eastAsia" w:ascii="仿宋_GB2312" w:hAnsi="仿宋_GB2312" w:eastAsia="仿宋_GB2312"/>
          <w:sz w:val="32"/>
          <w:lang w:eastAsia="zh-CN"/>
        </w:rPr>
        <w:t>保障</w:t>
      </w:r>
      <w:r>
        <w:rPr>
          <w:rFonts w:ascii="仿宋_GB2312" w:hAnsi="仿宋_GB2312" w:eastAsia="仿宋_GB2312"/>
          <w:sz w:val="32"/>
        </w:rPr>
        <w:t>。</w:t>
      </w:r>
    </w:p>
    <w:p w14:paraId="24D931C4">
      <w:pPr>
        <w:spacing w:line="580" w:lineRule="exact"/>
        <w:ind w:firstLine="640"/>
        <w:jc w:val="both"/>
      </w:pPr>
      <w:r>
        <w:rPr>
          <w:rFonts w:ascii="仿宋_GB2312" w:hAnsi="仿宋_GB2312" w:eastAsia="仿宋_GB2312"/>
          <w:sz w:val="32"/>
        </w:rPr>
        <w:t>障、公共卫生等领域日常执法检查、一般违法案件查处，统筹县行政执法部门下派至本镇的行政执法力量，依法相对集中行使行政处罚权，以镇名义开展执法工作，并接受有关县级主管部门的业务指导和监督。</w:t>
      </w:r>
    </w:p>
    <w:p w14:paraId="3D4E7A81">
      <w:pPr>
        <w:spacing w:line="580" w:lineRule="exact"/>
        <w:ind w:firstLine="640"/>
        <w:jc w:val="both"/>
      </w:pPr>
      <w:r>
        <w:rPr>
          <w:rFonts w:ascii="仿宋_GB2312" w:hAnsi="仿宋_GB2312" w:eastAsia="仿宋_GB2312"/>
          <w:sz w:val="32"/>
        </w:rPr>
        <w:t>7.人口和计划生育生殖健康服务站。与镇卫生院合署办公。负责宣传党和国家有关优化生育的方针、政策、法律，普及科学知识。负责开展</w:t>
      </w:r>
      <w:r>
        <w:rPr>
          <w:rFonts w:hint="eastAsia" w:ascii="仿宋_GB2312" w:hAnsi="仿宋_GB2312" w:eastAsia="仿宋_GB2312"/>
          <w:sz w:val="32"/>
          <w:lang w:val="en-US" w:eastAsia="zh-CN"/>
        </w:rPr>
        <w:t>计生</w:t>
      </w:r>
      <w:r>
        <w:rPr>
          <w:rFonts w:ascii="仿宋_GB2312" w:hAnsi="仿宋_GB2312" w:eastAsia="仿宋_GB2312"/>
          <w:sz w:val="32"/>
        </w:rPr>
        <w:t>、优生优育和科技推广工作。负责做好辖区卫生防疫、地方病防治和公共卫生监督等相关工作。承担妇幼保健技术指导、生殖健康服务相关工作。</w:t>
      </w:r>
    </w:p>
    <w:p w14:paraId="697E15A5">
      <w:pPr>
        <w:spacing w:line="640" w:lineRule="exact"/>
        <w:ind w:firstLine="640"/>
        <w:jc w:val="both"/>
        <w:outlineLvl w:val="2"/>
      </w:pPr>
      <w:r>
        <w:rPr>
          <w:rFonts w:ascii="黑体" w:hAnsi="黑体" w:eastAsia="黑体"/>
          <w:sz w:val="32"/>
        </w:rPr>
        <w:t>二、机构设置及人员情况</w:t>
      </w:r>
    </w:p>
    <w:p w14:paraId="22E88006">
      <w:pPr>
        <w:spacing w:line="580" w:lineRule="exact"/>
        <w:ind w:firstLine="640"/>
        <w:jc w:val="both"/>
      </w:pPr>
      <w:r>
        <w:rPr>
          <w:rFonts w:ascii="仿宋_GB2312" w:hAnsi="仿宋_GB2312" w:eastAsia="仿宋_GB2312"/>
          <w:sz w:val="32"/>
        </w:rPr>
        <w:t>特克斯县喀拉达拉镇人民政府2024年度，实有人数210人，其中：在职人员163人，减少7人；离休人员0人，增加0人；退休人员47人,减少3人。</w:t>
      </w:r>
    </w:p>
    <w:p w14:paraId="620E7886">
      <w:pPr>
        <w:spacing w:line="580" w:lineRule="exact"/>
        <w:ind w:firstLine="640"/>
        <w:jc w:val="both"/>
      </w:pPr>
      <w:r>
        <w:rPr>
          <w:rFonts w:ascii="仿宋_GB2312" w:hAnsi="仿宋_GB2312" w:eastAsia="仿宋_GB2312"/>
          <w:sz w:val="32"/>
        </w:rPr>
        <w:t>特克斯县喀拉达拉镇人民政府无下属预算</w:t>
      </w:r>
      <w:r>
        <w:rPr>
          <w:rFonts w:hint="eastAsia" w:ascii="仿宋_GB2312" w:hAnsi="仿宋_GB2312" w:eastAsia="仿宋_GB2312"/>
          <w:sz w:val="32"/>
          <w:lang w:eastAsia="zh-CN"/>
        </w:rPr>
        <w:t>单位</w:t>
      </w:r>
      <w:r>
        <w:rPr>
          <w:rFonts w:ascii="仿宋_GB2312" w:hAnsi="仿宋_GB2312" w:eastAsia="仿宋_GB2312"/>
          <w:sz w:val="32"/>
        </w:rPr>
        <w:t>，下设12个科室，分别是：党政综合办公室、党建工作办公室、经济发展和财政办公室、社会事务办公室（退役军人服务站）、综合执法办公室、农业发展服务中心、公共文化服务中心、便民服务中心、村镇建设发展中心、综治和网格化服务中心、综合行政执法队、人口和计划生育生殖健康服务站。</w:t>
      </w:r>
    </w:p>
    <w:p w14:paraId="55BE26A1">
      <w:r>
        <w:br w:type="page"/>
      </w:r>
    </w:p>
    <w:p w14:paraId="4E9DBF67">
      <w:pPr>
        <w:spacing w:line="240" w:lineRule="auto"/>
        <w:jc w:val="center"/>
        <w:outlineLvl w:val="1"/>
      </w:pPr>
      <w:r>
        <w:rPr>
          <w:rFonts w:ascii="黑体" w:hAnsi="黑体" w:eastAsia="黑体"/>
          <w:sz w:val="32"/>
        </w:rPr>
        <w:t>第二部分 部门决算情况说明</w:t>
      </w:r>
    </w:p>
    <w:p w14:paraId="1DBC9421">
      <w:pPr>
        <w:spacing w:line="640" w:lineRule="exact"/>
        <w:ind w:firstLine="640"/>
        <w:jc w:val="both"/>
        <w:outlineLvl w:val="2"/>
      </w:pPr>
      <w:r>
        <w:rPr>
          <w:rFonts w:ascii="黑体" w:hAnsi="黑体" w:eastAsia="黑体"/>
          <w:sz w:val="32"/>
        </w:rPr>
        <w:t>一、收入支出决算总体情况说明</w:t>
      </w:r>
    </w:p>
    <w:p w14:paraId="6B6F15AE">
      <w:pPr>
        <w:spacing w:line="580" w:lineRule="exact"/>
        <w:ind w:firstLine="640"/>
        <w:jc w:val="both"/>
      </w:pPr>
      <w:r>
        <w:rPr>
          <w:rFonts w:ascii="仿宋_GB2312" w:hAnsi="仿宋_GB2312" w:eastAsia="仿宋_GB2312"/>
          <w:b/>
          <w:sz w:val="32"/>
        </w:rPr>
        <w:t>2024年度收入总计5,359.94万元，</w:t>
      </w:r>
      <w:r>
        <w:rPr>
          <w:rFonts w:ascii="仿宋_GB2312" w:hAnsi="仿宋_GB2312" w:eastAsia="仿宋_GB2312"/>
          <w:b w:val="0"/>
          <w:sz w:val="32"/>
        </w:rPr>
        <w:t>其中：本年收入合计5,359.94万元，使用非财政拨款结余（含专用结余）0.00万元，年初结转和结余0.00万元。</w:t>
      </w:r>
    </w:p>
    <w:p w14:paraId="67DB9169">
      <w:pPr>
        <w:spacing w:line="580" w:lineRule="exact"/>
        <w:ind w:firstLine="640"/>
        <w:jc w:val="both"/>
      </w:pPr>
      <w:r>
        <w:rPr>
          <w:rFonts w:ascii="仿宋_GB2312" w:hAnsi="仿宋_GB2312" w:eastAsia="仿宋_GB2312"/>
          <w:b/>
          <w:sz w:val="32"/>
        </w:rPr>
        <w:t>2024年度支出总计5,359.94万元，</w:t>
      </w:r>
      <w:r>
        <w:rPr>
          <w:rFonts w:ascii="仿宋_GB2312" w:hAnsi="仿宋_GB2312" w:eastAsia="仿宋_GB2312"/>
          <w:b w:val="0"/>
          <w:sz w:val="32"/>
        </w:rPr>
        <w:t>其中：本年支出合计</w:t>
      </w:r>
      <w:r>
        <w:rPr>
          <w:rFonts w:ascii="仿宋_GB2312" w:hAnsi="仿宋_GB2312" w:eastAsia="仿宋_GB2312"/>
          <w:b w:val="0"/>
          <w:w w:val="97"/>
          <w:sz w:val="32"/>
        </w:rPr>
        <w:t>5,359.94万元，结余分配0.00万元，年末结转和结余0.00万元。</w:t>
      </w:r>
    </w:p>
    <w:p w14:paraId="2F538D8E">
      <w:pPr>
        <w:spacing w:line="580" w:lineRule="exact"/>
        <w:ind w:firstLine="640"/>
        <w:jc w:val="both"/>
        <w:rPr>
          <w:w w:val="97"/>
          <w:sz w:val="32"/>
        </w:rPr>
      </w:pPr>
      <w:r>
        <w:rPr>
          <w:rFonts w:ascii="仿宋_GB2312" w:hAnsi="仿宋_GB2312" w:eastAsia="仿宋_GB2312"/>
          <w:b w:val="0"/>
          <w:sz w:val="32"/>
        </w:rPr>
        <w:t>收入支出总体与上年相比，减少1,357.96万元，下降20.21%，主要原因是：2023年支付全年村干部生活补助及工资社保，2024年只支付1-5月村干部生活补助及工资社保，2024年6-12月份由组织部支付，导致相关经费减少；</w:t>
      </w:r>
      <w:r>
        <w:rPr>
          <w:rFonts w:hint="eastAsia" w:ascii="仿宋_GB2312" w:hAnsi="仿宋_GB2312" w:eastAsia="仿宋_GB2312"/>
          <w:b w:val="0"/>
          <w:sz w:val="32"/>
          <w:lang w:eastAsia="zh-CN"/>
        </w:rPr>
        <w:t>减少</w:t>
      </w:r>
      <w:r>
        <w:rPr>
          <w:rFonts w:ascii="仿宋_GB2312" w:hAnsi="仿宋_GB2312" w:eastAsia="仿宋_GB2312"/>
          <w:b w:val="0"/>
          <w:sz w:val="32"/>
        </w:rPr>
        <w:t>琼库什台村乌孙</w:t>
      </w:r>
      <w:r>
        <w:rPr>
          <w:rFonts w:ascii="仿宋_GB2312" w:hAnsi="仿宋_GB2312" w:eastAsia="仿宋_GB2312"/>
          <w:b w:val="0"/>
          <w:w w:val="97"/>
          <w:sz w:val="32"/>
        </w:rPr>
        <w:t>古道旅游驿站建设项目、琼库什台村民俗体验区基础设施建设项目等。</w:t>
      </w:r>
    </w:p>
    <w:p w14:paraId="0AB92B4A">
      <w:pPr>
        <w:spacing w:line="640" w:lineRule="exact"/>
        <w:ind w:firstLine="640"/>
        <w:jc w:val="both"/>
        <w:outlineLvl w:val="2"/>
      </w:pPr>
      <w:r>
        <w:rPr>
          <w:rFonts w:ascii="黑体" w:hAnsi="黑体" w:eastAsia="黑体"/>
          <w:sz w:val="32"/>
        </w:rPr>
        <w:t>二、收入决算情况说明</w:t>
      </w:r>
    </w:p>
    <w:p w14:paraId="6F23EBFB">
      <w:pPr>
        <w:spacing w:line="580" w:lineRule="exact"/>
        <w:ind w:firstLine="640"/>
        <w:jc w:val="both"/>
      </w:pPr>
      <w:r>
        <w:rPr>
          <w:rFonts w:ascii="仿宋_GB2312" w:hAnsi="仿宋_GB2312" w:eastAsia="仿宋_GB2312"/>
          <w:b/>
          <w:sz w:val="32"/>
        </w:rPr>
        <w:t>本年收入5,359.94万元，</w:t>
      </w:r>
      <w:r>
        <w:rPr>
          <w:rFonts w:ascii="仿宋_GB2312" w:hAnsi="仿宋_GB2312" w:eastAsia="仿宋_GB2312"/>
          <w:b w:val="0"/>
          <w:sz w:val="32"/>
        </w:rPr>
        <w:t>其中：财政拨款收入5,359.94万元，占100.00%；上级补助收入0.00万元，占0.00%；事业收入0.00万元，占0.00%；经营收入0.00万元，占0.00%；附属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4A86B88A">
      <w:pPr>
        <w:spacing w:line="640" w:lineRule="exact"/>
        <w:ind w:firstLine="640"/>
        <w:jc w:val="both"/>
        <w:outlineLvl w:val="2"/>
      </w:pPr>
      <w:r>
        <w:rPr>
          <w:rFonts w:ascii="黑体" w:hAnsi="黑体" w:eastAsia="黑体"/>
          <w:sz w:val="32"/>
        </w:rPr>
        <w:t>三、支出决算情况说明</w:t>
      </w:r>
    </w:p>
    <w:p w14:paraId="121C168E">
      <w:pPr>
        <w:spacing w:line="580" w:lineRule="exact"/>
        <w:ind w:firstLine="640"/>
        <w:jc w:val="both"/>
      </w:pPr>
      <w:r>
        <w:rPr>
          <w:rFonts w:ascii="仿宋_GB2312" w:hAnsi="仿宋_GB2312" w:eastAsia="仿宋_GB2312"/>
          <w:b/>
          <w:sz w:val="32"/>
        </w:rPr>
        <w:t>本年支出5,359.94万元，</w:t>
      </w:r>
      <w:r>
        <w:rPr>
          <w:rFonts w:ascii="仿宋_GB2312" w:hAnsi="仿宋_GB2312" w:eastAsia="仿宋_GB2312"/>
          <w:b w:val="0"/>
          <w:sz w:val="32"/>
        </w:rPr>
        <w:t>其中：基本支出3,391.85万元，占63.28%；项目支出1,968.09万元，占36.72%；上缴上级支出0.00万元，占0.00%；经营支出0.00万元，占0.00%；对附属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361CD69">
      <w:pPr>
        <w:spacing w:line="640" w:lineRule="exact"/>
        <w:ind w:firstLine="640"/>
        <w:jc w:val="both"/>
        <w:outlineLvl w:val="2"/>
      </w:pPr>
      <w:r>
        <w:rPr>
          <w:rFonts w:ascii="黑体" w:hAnsi="黑体" w:eastAsia="黑体"/>
          <w:sz w:val="32"/>
        </w:rPr>
        <w:t>四、财政拨款收入支出决算总体情况说明</w:t>
      </w:r>
    </w:p>
    <w:p w14:paraId="5E83F7D7">
      <w:pPr>
        <w:spacing w:line="580" w:lineRule="exact"/>
        <w:ind w:firstLine="640"/>
        <w:jc w:val="both"/>
      </w:pPr>
      <w:r>
        <w:rPr>
          <w:rFonts w:ascii="仿宋_GB2312" w:hAnsi="仿宋_GB2312" w:eastAsia="仿宋_GB2312"/>
          <w:b/>
          <w:sz w:val="32"/>
        </w:rPr>
        <w:t>2024年度财政拨款收入总计5,359.94万元，</w:t>
      </w:r>
      <w:r>
        <w:rPr>
          <w:rFonts w:ascii="仿宋_GB2312" w:hAnsi="仿宋_GB2312" w:eastAsia="仿宋_GB2312"/>
          <w:b w:val="0"/>
          <w:sz w:val="32"/>
        </w:rPr>
        <w:t>其中：年初财政拨款结转和结余0.00万元，本年财政拨款收入5,359.94万元。</w:t>
      </w:r>
      <w:r>
        <w:rPr>
          <w:rFonts w:ascii="仿宋_GB2312" w:hAnsi="仿宋_GB2312" w:eastAsia="仿宋_GB2312"/>
          <w:b/>
          <w:sz w:val="32"/>
        </w:rPr>
        <w:t>财政拨款支出总计5,359.94万元，</w:t>
      </w:r>
      <w:r>
        <w:rPr>
          <w:rFonts w:ascii="仿宋_GB2312" w:hAnsi="仿宋_GB2312" w:eastAsia="仿宋_GB2312"/>
          <w:b w:val="0"/>
          <w:sz w:val="32"/>
        </w:rPr>
        <w:t>其中：年末财政拨款结转和结余0.00万元，本年财政拨款支出5,359.94万元。</w:t>
      </w:r>
    </w:p>
    <w:p w14:paraId="5CD2475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减少1,357.96万元，下降20.21%，主要原因是：2023年支付全年村干部生活补助及工资社保，2024年只支付1-5月村干部生活补助及工资社保，2024年6-12月份由组织部支付，导致相关经费减少；</w:t>
      </w:r>
      <w:r>
        <w:rPr>
          <w:rFonts w:hint="eastAsia" w:ascii="仿宋_GB2312" w:hAnsi="仿宋_GB2312" w:eastAsia="仿宋_GB2312"/>
          <w:b w:val="0"/>
          <w:sz w:val="32"/>
          <w:lang w:eastAsia="zh-CN"/>
        </w:rPr>
        <w:t>减少</w:t>
      </w:r>
      <w:r>
        <w:rPr>
          <w:rFonts w:ascii="仿宋_GB2312" w:hAnsi="仿宋_GB2312" w:eastAsia="仿宋_GB2312"/>
          <w:b w:val="0"/>
          <w:sz w:val="32"/>
        </w:rPr>
        <w:t>琼库什台村乌孙古道旅游驿站建设项目、琼库什台村民俗体验区基础设施建设项目等。</w:t>
      </w:r>
      <w:r>
        <w:rPr>
          <w:rFonts w:ascii="仿宋_GB2312" w:hAnsi="仿宋_GB2312" w:eastAsia="仿宋_GB2312"/>
          <w:b/>
          <w:sz w:val="32"/>
        </w:rPr>
        <w:t>与年初预算相比，</w:t>
      </w:r>
      <w:r>
        <w:rPr>
          <w:rFonts w:ascii="仿宋_GB2312" w:hAnsi="仿宋_GB2312" w:eastAsia="仿宋_GB2312"/>
          <w:b w:val="0"/>
          <w:sz w:val="32"/>
        </w:rPr>
        <w:t>年初预算数3,921.05万元，决算数5,359.94万元，预决算差异率36.70%，主要原因是：年中追加城乡抗震安居工程建设民生实事资金、村干部生活补助、特克斯县喀拉达拉镇加尔阔拉村基础设施建设项目等，导致预决算产生差异。</w:t>
      </w:r>
    </w:p>
    <w:p w14:paraId="45D0FAC7">
      <w:pPr>
        <w:spacing w:line="640" w:lineRule="exact"/>
        <w:ind w:firstLine="640"/>
        <w:jc w:val="both"/>
        <w:outlineLvl w:val="2"/>
      </w:pPr>
      <w:r>
        <w:rPr>
          <w:rFonts w:ascii="黑体" w:hAnsi="黑体" w:eastAsia="黑体"/>
          <w:sz w:val="32"/>
        </w:rPr>
        <w:t>五、一般公共预算财政拨款支出决算情况说明</w:t>
      </w:r>
    </w:p>
    <w:p w14:paraId="34FD6208">
      <w:pPr>
        <w:spacing w:line="640" w:lineRule="exact"/>
        <w:ind w:firstLine="640"/>
        <w:jc w:val="both"/>
        <w:outlineLvl w:val="3"/>
      </w:pPr>
      <w:r>
        <w:rPr>
          <w:rFonts w:ascii="楷体_GB2312" w:hAnsi="楷体_GB2312" w:eastAsia="楷体_GB2312"/>
          <w:b/>
          <w:sz w:val="32"/>
        </w:rPr>
        <w:t>（一）一般公共预算财政拨款支出决算总体情况</w:t>
      </w:r>
    </w:p>
    <w:p w14:paraId="55F3BA1D">
      <w:pPr>
        <w:spacing w:line="580" w:lineRule="exact"/>
        <w:ind w:firstLine="640"/>
        <w:jc w:val="both"/>
      </w:pPr>
      <w:r>
        <w:rPr>
          <w:rFonts w:ascii="仿宋_GB2312" w:hAnsi="仿宋_GB2312" w:eastAsia="仿宋_GB2312"/>
          <w:b/>
          <w:sz w:val="32"/>
        </w:rPr>
        <w:t>2024年度一般公共预算财政拨款支出5,066.42万元，</w:t>
      </w:r>
      <w:r>
        <w:rPr>
          <w:rFonts w:ascii="仿宋_GB2312" w:hAnsi="仿宋_GB2312" w:eastAsia="仿宋_GB2312"/>
          <w:b w:val="0"/>
          <w:sz w:val="32"/>
        </w:rPr>
        <w:t>占本年支出合计的94.52%。</w:t>
      </w:r>
      <w:r>
        <w:rPr>
          <w:rFonts w:ascii="仿宋_GB2312" w:hAnsi="仿宋_GB2312" w:eastAsia="仿宋_GB2312"/>
          <w:b/>
          <w:sz w:val="32"/>
        </w:rPr>
        <w:t>与上年相比，</w:t>
      </w:r>
      <w:r>
        <w:rPr>
          <w:rFonts w:ascii="仿宋_GB2312" w:hAnsi="仿宋_GB2312" w:eastAsia="仿宋_GB2312"/>
          <w:b w:val="0"/>
          <w:sz w:val="32"/>
        </w:rPr>
        <w:t>减少1,641.48万元，下降24.47%，主要原因是：2023年支付全年村干部生活补助及工资社保，2024年只支付1-5月村干部生活补助及工资社保，2024年6-12月份由组织部支付，导致相关经费减少；</w:t>
      </w:r>
      <w:r>
        <w:rPr>
          <w:rFonts w:hint="eastAsia" w:ascii="仿宋_GB2312" w:hAnsi="仿宋_GB2312" w:eastAsia="仿宋_GB2312"/>
          <w:b w:val="0"/>
          <w:sz w:val="32"/>
          <w:lang w:eastAsia="zh-CN"/>
        </w:rPr>
        <w:t>减少</w:t>
      </w:r>
      <w:r>
        <w:rPr>
          <w:rFonts w:ascii="仿宋_GB2312" w:hAnsi="仿宋_GB2312" w:eastAsia="仿宋_GB2312"/>
          <w:b w:val="0"/>
          <w:sz w:val="32"/>
        </w:rPr>
        <w:t>琼库什台村乌孙古道旅游驿站建设项目、琼库什台村民俗体验区基础设施建设项目等。</w:t>
      </w:r>
      <w:r>
        <w:rPr>
          <w:rFonts w:ascii="仿宋_GB2312" w:hAnsi="仿宋_GB2312" w:eastAsia="仿宋_GB2312"/>
          <w:b/>
          <w:sz w:val="32"/>
        </w:rPr>
        <w:t>与年初预算相比,</w:t>
      </w:r>
      <w:r>
        <w:rPr>
          <w:rFonts w:ascii="仿宋_GB2312" w:hAnsi="仿宋_GB2312" w:eastAsia="仿宋_GB2312"/>
          <w:b w:val="0"/>
          <w:sz w:val="32"/>
        </w:rPr>
        <w:t>年初预算数3,731.65万元，决算数5,066.42万元，预决算差异率35.77%，主要原因是：年中追加城乡抗震安居工程建设民生实事资金、村干部生活补助等，导致预决算产生差异。</w:t>
      </w:r>
    </w:p>
    <w:p w14:paraId="018F8F0A">
      <w:pPr>
        <w:spacing w:line="640" w:lineRule="exact"/>
        <w:ind w:firstLine="640"/>
        <w:jc w:val="both"/>
        <w:outlineLvl w:val="3"/>
      </w:pPr>
      <w:r>
        <w:rPr>
          <w:rFonts w:ascii="楷体_GB2312" w:hAnsi="楷体_GB2312" w:eastAsia="楷体_GB2312"/>
          <w:b/>
          <w:sz w:val="32"/>
        </w:rPr>
        <w:t>（二）一般公共预算财政拨款支出决算结构情况</w:t>
      </w:r>
    </w:p>
    <w:p w14:paraId="7E0B2194">
      <w:pPr>
        <w:spacing w:line="580" w:lineRule="exact"/>
        <w:ind w:firstLine="640"/>
        <w:jc w:val="both"/>
      </w:pPr>
      <w:r>
        <w:rPr>
          <w:rFonts w:ascii="仿宋_GB2312" w:hAnsi="仿宋_GB2312" w:eastAsia="仿宋_GB2312"/>
          <w:b w:val="0"/>
          <w:sz w:val="32"/>
        </w:rPr>
        <w:t>1.一般公共服务支出(类)2,099.88万元,占41.45%。</w:t>
      </w:r>
    </w:p>
    <w:p w14:paraId="218990E4">
      <w:pPr>
        <w:spacing w:line="580" w:lineRule="exact"/>
        <w:ind w:firstLine="640"/>
        <w:jc w:val="both"/>
      </w:pPr>
      <w:r>
        <w:rPr>
          <w:rFonts w:ascii="仿宋_GB2312" w:hAnsi="仿宋_GB2312" w:eastAsia="仿宋_GB2312"/>
          <w:b w:val="0"/>
          <w:sz w:val="32"/>
        </w:rPr>
        <w:t>2.文化旅游体育与传媒支出(类)132.33万元,占2.61%。</w:t>
      </w:r>
    </w:p>
    <w:p w14:paraId="2362C045">
      <w:pPr>
        <w:spacing w:line="580" w:lineRule="exact"/>
        <w:ind w:firstLine="640"/>
        <w:jc w:val="both"/>
      </w:pPr>
      <w:r>
        <w:rPr>
          <w:rFonts w:ascii="仿宋_GB2312" w:hAnsi="仿宋_GB2312" w:eastAsia="仿宋_GB2312"/>
          <w:b w:val="0"/>
          <w:sz w:val="32"/>
        </w:rPr>
        <w:t>3.社会保障和就业支出(类)296.74万元,占5.86%。</w:t>
      </w:r>
    </w:p>
    <w:p w14:paraId="77AE0D1F">
      <w:pPr>
        <w:spacing w:line="580" w:lineRule="exact"/>
        <w:ind w:firstLine="640"/>
        <w:jc w:val="both"/>
      </w:pPr>
      <w:r>
        <w:rPr>
          <w:rFonts w:ascii="仿宋_GB2312" w:hAnsi="仿宋_GB2312" w:eastAsia="仿宋_GB2312"/>
          <w:b w:val="0"/>
          <w:sz w:val="32"/>
        </w:rPr>
        <w:t>4.卫生健康支出(类)205.43万元,占4.05%。</w:t>
      </w:r>
    </w:p>
    <w:p w14:paraId="3036FE6A">
      <w:pPr>
        <w:spacing w:line="580" w:lineRule="exact"/>
        <w:ind w:firstLine="640"/>
        <w:jc w:val="both"/>
      </w:pPr>
      <w:r>
        <w:rPr>
          <w:rFonts w:ascii="仿宋_GB2312" w:hAnsi="仿宋_GB2312" w:eastAsia="仿宋_GB2312"/>
          <w:b w:val="0"/>
          <w:sz w:val="32"/>
        </w:rPr>
        <w:t>5.城乡社区支出(类)416.36万元,占8.22%。</w:t>
      </w:r>
    </w:p>
    <w:p w14:paraId="1A9C7050">
      <w:pPr>
        <w:spacing w:line="580" w:lineRule="exact"/>
        <w:ind w:firstLine="640"/>
        <w:jc w:val="both"/>
      </w:pPr>
      <w:r>
        <w:rPr>
          <w:rFonts w:ascii="仿宋_GB2312" w:hAnsi="仿宋_GB2312" w:eastAsia="仿宋_GB2312"/>
          <w:b w:val="0"/>
          <w:sz w:val="32"/>
        </w:rPr>
        <w:t>6.农林水支出(类)1,454.99万元,占28.72%。</w:t>
      </w:r>
    </w:p>
    <w:p w14:paraId="1CA383D9">
      <w:pPr>
        <w:spacing w:line="580" w:lineRule="exact"/>
        <w:ind w:firstLine="640"/>
        <w:jc w:val="both"/>
      </w:pPr>
      <w:r>
        <w:rPr>
          <w:rFonts w:ascii="仿宋_GB2312" w:hAnsi="仿宋_GB2312" w:eastAsia="仿宋_GB2312"/>
          <w:b w:val="0"/>
          <w:sz w:val="32"/>
        </w:rPr>
        <w:t>7.住房保障支出(类)460.70万元,占9.09%。</w:t>
      </w:r>
    </w:p>
    <w:p w14:paraId="5F5F564E">
      <w:pPr>
        <w:spacing w:line="640" w:lineRule="exact"/>
        <w:ind w:firstLine="640"/>
        <w:jc w:val="both"/>
        <w:outlineLvl w:val="3"/>
      </w:pPr>
      <w:r>
        <w:rPr>
          <w:rFonts w:ascii="楷体_GB2312" w:hAnsi="楷体_GB2312" w:eastAsia="楷体_GB2312"/>
          <w:b/>
          <w:sz w:val="32"/>
        </w:rPr>
        <w:t>（三）一般公共预算财政拨款支出决算具体情况</w:t>
      </w:r>
    </w:p>
    <w:p w14:paraId="31683225">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1,860.03万元，比上年决算增加128.07万元，增长7.39%,主要原因是：本年在职人员工资调增，导致相关人员经费较上年有所增加。</w:t>
      </w:r>
    </w:p>
    <w:p w14:paraId="104B25BD">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2.一般公共服务支出(类)纪检监察事务(款)其他纪检监察事务支出(项):支出决算数为2.00万元，比上年决算增加2.00万元，增长100.00%,主要原因是：本年增加上级拨付纪检监察转移支付办案经费、装备经费。</w:t>
      </w:r>
    </w:p>
    <w:p w14:paraId="14EA7589">
      <w:pPr>
        <w:spacing w:line="580" w:lineRule="exact"/>
        <w:ind w:firstLine="640"/>
        <w:jc w:val="both"/>
      </w:pPr>
      <w:r>
        <w:rPr>
          <w:rFonts w:ascii="仿宋_GB2312" w:hAnsi="仿宋_GB2312" w:eastAsia="仿宋_GB2312"/>
          <w:b w:val="0"/>
          <w:sz w:val="32"/>
        </w:rPr>
        <w:t>3.一般公共服务支出(类)组织事务(款)其他组织事务支出(项):支出决算数为237.85万元，比上年决算减少238.50万元，下降50.07%,主要原因是：2023年支付全年村干部生活补助，2024年只支付1-5月村干部生活补助，2024年6-12月份由组织部支付，导致相关经费减少。</w:t>
      </w:r>
    </w:p>
    <w:p w14:paraId="7A5FB9DD">
      <w:pPr>
        <w:spacing w:line="580" w:lineRule="exact"/>
        <w:ind w:firstLine="640"/>
        <w:jc w:val="both"/>
      </w:pPr>
      <w:r>
        <w:rPr>
          <w:rFonts w:ascii="仿宋_GB2312" w:hAnsi="仿宋_GB2312" w:eastAsia="仿宋_GB2312"/>
          <w:b w:val="0"/>
          <w:sz w:val="32"/>
        </w:rPr>
        <w:t>4.文化旅游体育与传媒支出(类)文化和旅游(款)群众文化(项):支出决算数为132.33万元，比上年决算减少0.84万元，下降0.63%,主要原因是：本年公共文化服务中心人员调离，人员经费减少。</w:t>
      </w:r>
    </w:p>
    <w:p w14:paraId="29C9F619">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0.00万元，比上年决算减少5.00万元，下降100.00%,主要原因是：本年减少2023年中央支持地方公共文化服务体系建设资金（喀拉达拉镇喀英德库什台村）。</w:t>
      </w:r>
    </w:p>
    <w:p w14:paraId="15297E9A">
      <w:pPr>
        <w:spacing w:line="580" w:lineRule="exact"/>
        <w:ind w:firstLine="640"/>
        <w:jc w:val="both"/>
      </w:pPr>
      <w:r>
        <w:rPr>
          <w:rFonts w:ascii="仿宋_GB2312" w:hAnsi="仿宋_GB2312" w:eastAsia="仿宋_GB2312"/>
          <w:b w:val="0"/>
          <w:sz w:val="32"/>
        </w:rPr>
        <w:t>6.社会保障和就业支出(类)人力资源和社会保障管理事务(款)其他人力资源和社会保障管理事务支出(项):支出决算数为0.00万元，比上年决算减少7.65万元，下降100.00%,主要原因是：本年减少公益性岗位人员，相关经费减少。</w:t>
      </w:r>
    </w:p>
    <w:p w14:paraId="35C6D3AD">
      <w:pPr>
        <w:spacing w:line="580" w:lineRule="exact"/>
        <w:ind w:firstLine="640"/>
        <w:jc w:val="both"/>
      </w:pPr>
      <w:r>
        <w:rPr>
          <w:rFonts w:ascii="仿宋_GB2312" w:hAnsi="仿宋_GB2312" w:eastAsia="仿宋_GB2312"/>
          <w:b w:val="0"/>
          <w:sz w:val="32"/>
        </w:rPr>
        <w:t>7.社会保障和就业支出(类)行政事业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基本养老保险缴费支出(项):支出决算数为246.60万元，比上年决算增加48.43万元，增长24.44%,主要原因是：本年在职人员工资基数调增，养老缴费基数上涨，相应支出增加。</w:t>
      </w:r>
    </w:p>
    <w:p w14:paraId="76F2CAC6">
      <w:pPr>
        <w:spacing w:line="580" w:lineRule="exact"/>
        <w:ind w:firstLine="640"/>
        <w:jc w:val="both"/>
      </w:pPr>
      <w:r>
        <w:rPr>
          <w:rFonts w:ascii="仿宋_GB2312" w:hAnsi="仿宋_GB2312" w:eastAsia="仿宋_GB2312"/>
          <w:b w:val="0"/>
          <w:sz w:val="32"/>
        </w:rPr>
        <w:t>8.社会保障和就业支出(类)行政事业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职业年金缴费支出(项):支出决算数为12.43万元，比上年决算减少0.11万元，下降0.88%,主要原因是：本年新增退休人员较上年减少，职业年金缴费支出减少。</w:t>
      </w:r>
    </w:p>
    <w:p w14:paraId="1D59FF81">
      <w:pPr>
        <w:spacing w:line="580" w:lineRule="exact"/>
        <w:ind w:firstLine="640"/>
        <w:jc w:val="both"/>
      </w:pPr>
      <w:r>
        <w:rPr>
          <w:rFonts w:ascii="仿宋_GB2312" w:hAnsi="仿宋_GB2312" w:eastAsia="仿宋_GB2312"/>
          <w:b w:val="0"/>
          <w:sz w:val="32"/>
        </w:rPr>
        <w:t>9.社会保障和就业支出(类)抚恤(款)死亡抚恤(项):支出决算数为17.02万元，比上年决算减少24.18万元，下降58.69%,主要原因是：本年退休死亡人员较上年减少，减少一次性丧葬费及抚恤金。</w:t>
      </w:r>
    </w:p>
    <w:p w14:paraId="72C5E8C2">
      <w:pPr>
        <w:spacing w:line="580" w:lineRule="exact"/>
        <w:ind w:firstLine="640"/>
        <w:jc w:val="both"/>
      </w:pPr>
      <w:r>
        <w:rPr>
          <w:rFonts w:ascii="仿宋_GB2312" w:hAnsi="仿宋_GB2312" w:eastAsia="仿宋_GB2312"/>
          <w:b w:val="0"/>
          <w:sz w:val="32"/>
        </w:rPr>
        <w:t>10.社会保障和就业支出(类)临时救助(款)临时救助支出(项):支出决算数为20.68万元，比上年决算增加10.68万元，增长106.80%,主要原因是：本年增加冬季困难群众生活物资采购费用。</w:t>
      </w:r>
    </w:p>
    <w:p w14:paraId="20ACCC57">
      <w:pPr>
        <w:spacing w:line="580" w:lineRule="exact"/>
        <w:ind w:firstLine="640"/>
        <w:jc w:val="both"/>
      </w:pPr>
      <w:r>
        <w:rPr>
          <w:rFonts w:ascii="仿宋_GB2312" w:hAnsi="仿宋_GB2312" w:eastAsia="仿宋_GB2312"/>
          <w:b w:val="0"/>
          <w:sz w:val="32"/>
        </w:rPr>
        <w:t>11.卫生健康支出(类)计划生育事务(款)其他计划生育事务支出(项):支出决算数为101.35万元，比上年决算增加7.86万元，增长8.41%,主要原因是：本年人口和计划生育生殖健康服务站人员正常晋升，工资调增，人员经费增加。</w:t>
      </w:r>
    </w:p>
    <w:p w14:paraId="1092CE70">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医疗(项):支出决算数为21.20万元，比上年决算增加5.11万元，增长31.76%,主要原因是：本年在职人员工资基数调增，医疗缴费基数上涨，相应支出增加。</w:t>
      </w:r>
    </w:p>
    <w:p w14:paraId="5DA1B952">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医疗(项):支出决算数为80.33万元，比上年决算增加21.48万元，增长36.50%,主要原因是：本年在职人员工资基数调增，医疗缴费基数上涨，相应支出增加。</w:t>
      </w:r>
    </w:p>
    <w:p w14:paraId="26D77727">
      <w:pPr>
        <w:spacing w:line="580" w:lineRule="exact"/>
        <w:ind w:firstLine="640"/>
        <w:jc w:val="both"/>
      </w:pPr>
      <w:r>
        <w:rPr>
          <w:rFonts w:ascii="仿宋_GB2312" w:hAnsi="仿宋_GB2312" w:eastAsia="仿宋_GB2312"/>
          <w:b w:val="0"/>
          <w:sz w:val="32"/>
        </w:rPr>
        <w:t>14.卫生健康支出(类)行政事业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医疗(款)公务员医疗补助(项):支出决算数为0.57万元，比上年决算增加0.01万元，增长1.79%,主要原因是：本年在职人员工资基数调增，公务员医疗补助上涨，相应支出增加。</w:t>
      </w:r>
    </w:p>
    <w:p w14:paraId="6E9B4D7E">
      <w:pPr>
        <w:spacing w:line="580" w:lineRule="exact"/>
        <w:ind w:firstLine="640"/>
        <w:jc w:val="both"/>
      </w:pPr>
      <w:r>
        <w:rPr>
          <w:rFonts w:ascii="仿宋_GB2312" w:hAnsi="仿宋_GB2312" w:eastAsia="仿宋_GB2312"/>
          <w:b w:val="0"/>
          <w:sz w:val="32"/>
        </w:rPr>
        <w:t>15.卫生健康支出(类)行政事业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医疗支出(项):支出决算数为1.98万元，比上年决算减少0.59万元，下降22.96%,主要原因是：本年在职人员减少，大病医疗缴费较上年减少。</w:t>
      </w:r>
    </w:p>
    <w:p w14:paraId="73291417">
      <w:pPr>
        <w:spacing w:line="580" w:lineRule="exact"/>
        <w:ind w:firstLine="640"/>
        <w:jc w:val="both"/>
      </w:pPr>
      <w:r>
        <w:rPr>
          <w:rFonts w:ascii="仿宋_GB2312" w:hAnsi="仿宋_GB2312" w:eastAsia="仿宋_GB2312"/>
          <w:b w:val="0"/>
          <w:sz w:val="32"/>
        </w:rPr>
        <w:t>16.节能环保支出(类)天然林保护(款)森林管护(项):支出决算数为0.00万元，比上年决算减少60.00万元，下降100.00%,主要原因是：本年未拨付乡村绿化美丽建设项目。</w:t>
      </w:r>
    </w:p>
    <w:p w14:paraId="70549D01">
      <w:pPr>
        <w:spacing w:line="580" w:lineRule="exact"/>
        <w:ind w:firstLine="640"/>
        <w:jc w:val="both"/>
      </w:pPr>
      <w:r>
        <w:rPr>
          <w:rFonts w:ascii="仿宋_GB2312" w:hAnsi="仿宋_GB2312" w:eastAsia="仿宋_GB2312"/>
          <w:b w:val="0"/>
          <w:sz w:val="32"/>
        </w:rPr>
        <w:t>17.城乡社区支出(类)城乡社区公共设施(款)其他城乡社区公共设施支出(项):支出决算数为416.36万元，比上年决算增加171.76万元，增长70.22%,主要原因是：本年增加2021年村级组织活动场所建设项目、2021年干部周转房建设项目、2022年村民服务中心建设项目（四标段）、2023年村级组织活动场所建设项目、2023年村民服务中心建设项目。</w:t>
      </w:r>
    </w:p>
    <w:p w14:paraId="1C358A3F">
      <w:pPr>
        <w:spacing w:line="580" w:lineRule="exact"/>
        <w:ind w:firstLine="640"/>
        <w:jc w:val="both"/>
      </w:pPr>
      <w:r>
        <w:rPr>
          <w:rFonts w:ascii="仿宋_GB2312" w:hAnsi="仿宋_GB2312" w:eastAsia="仿宋_GB2312"/>
          <w:b w:val="0"/>
          <w:sz w:val="32"/>
        </w:rPr>
        <w:t>18.城乡社区支出(类)城乡社区环境卫生(款)城乡社区环境卫生(项):支出决算数为0.00万元，比上年决算减少29.60万元，下降100.00%,主要原因是：本年减少琼库什台村传统村落环境保护建设项目。</w:t>
      </w:r>
    </w:p>
    <w:p w14:paraId="73C8ECBE">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992.17万元，比上年决算减少1,179.70万元，下降54.32%,主要原因是：本年减少琼库什台村乌孙古道旅游驿站建设项目、琼库什台村民俗体验区基础设施建设项目等。</w:t>
      </w:r>
    </w:p>
    <w:p w14:paraId="6EECAC14">
      <w:pPr>
        <w:spacing w:line="580" w:lineRule="exact"/>
        <w:ind w:firstLine="640"/>
        <w:jc w:val="both"/>
      </w:pPr>
      <w:r>
        <w:rPr>
          <w:rFonts w:ascii="仿宋_GB2312" w:hAnsi="仿宋_GB2312" w:eastAsia="仿宋_GB2312"/>
          <w:b w:val="0"/>
          <w:sz w:val="32"/>
        </w:rPr>
        <w:t>20.农林水支出(类)巩固脱贫攻坚成果衔接乡村振兴(款)其他巩固脱贫攻坚成果衔接乡村振兴支出(项):支出决算数为7.48万元，比上年决算减少22.90万元，下降75.38%,主要原因是：本年减少改厕资金，相应经费减少。</w:t>
      </w:r>
    </w:p>
    <w:p w14:paraId="6B1BB7E4">
      <w:pPr>
        <w:spacing w:line="580" w:lineRule="exact"/>
        <w:ind w:firstLine="640"/>
        <w:jc w:val="both"/>
      </w:pPr>
      <w:r>
        <w:rPr>
          <w:rFonts w:ascii="仿宋_GB2312" w:hAnsi="仿宋_GB2312" w:eastAsia="仿宋_GB2312"/>
          <w:b w:val="0"/>
          <w:sz w:val="32"/>
        </w:rPr>
        <w:t>21.农林水支出(类)农村综合改革(款)对村级公益事业建设的补助(项):支出决算数为0.00万元，比上年决算减少30.00万元，下降100.00%,主要原因是：本年未拨付一事一议项目资金。</w:t>
      </w:r>
    </w:p>
    <w:p w14:paraId="6FD4FD3B">
      <w:pPr>
        <w:spacing w:line="580" w:lineRule="exact"/>
        <w:ind w:firstLine="640"/>
        <w:jc w:val="both"/>
      </w:pPr>
      <w:r>
        <w:rPr>
          <w:rFonts w:ascii="仿宋_GB2312" w:hAnsi="仿宋_GB2312" w:eastAsia="仿宋_GB2312"/>
          <w:b w:val="0"/>
          <w:sz w:val="32"/>
        </w:rPr>
        <w:t>22.农林水支出(类)农村综合改革(款)对村民委员会和村党支部的补助(项):支出决算数为455.34万元，比上年决算减少404.99万元，下降47.07%,主要原因是：2023年支付全年村干部工资及社保，2024年只支付1-5月村干部工资及社保，2024年6-12月份由组织部支付，导致相关经费减少。</w:t>
      </w:r>
    </w:p>
    <w:p w14:paraId="3E8CA365">
      <w:pPr>
        <w:spacing w:line="580" w:lineRule="exact"/>
        <w:ind w:firstLine="640"/>
        <w:jc w:val="both"/>
      </w:pPr>
      <w:r>
        <w:rPr>
          <w:rFonts w:ascii="仿宋_GB2312" w:hAnsi="仿宋_GB2312" w:eastAsia="仿宋_GB2312"/>
          <w:b w:val="0"/>
          <w:sz w:val="32"/>
        </w:rPr>
        <w:t>23.农林水支出(类)其他农林水支出(款)其他农林水支出(项):支出决算数为0.00万元，比上年决算减少198.22万元，下降100.00%,主要原因是：本年减少喀拉达拉镇加尔阔拉村、希勒吐别克村污水建设项目。</w:t>
      </w:r>
    </w:p>
    <w:p w14:paraId="51AE376A">
      <w:pPr>
        <w:spacing w:line="580" w:lineRule="exact"/>
        <w:ind w:firstLine="640"/>
        <w:jc w:val="both"/>
      </w:pPr>
      <w:r>
        <w:rPr>
          <w:rFonts w:ascii="仿宋_GB2312" w:hAnsi="仿宋_GB2312" w:eastAsia="仿宋_GB2312"/>
          <w:b w:val="0"/>
          <w:sz w:val="32"/>
        </w:rPr>
        <w:t>24.住房保障支出(类)保障性安居工程支出(款)少数民族地区游牧民定居工程(项):支出决算数为206.04万元，比上年决算增加206.04万元，增长100.00%,主要原因是：本年增加2024年城乡抗震安居工程建设民生实事资金。</w:t>
      </w:r>
    </w:p>
    <w:p w14:paraId="6C662C5D">
      <w:pPr>
        <w:spacing w:line="580" w:lineRule="exact"/>
        <w:ind w:firstLine="640"/>
        <w:jc w:val="both"/>
      </w:pPr>
      <w:r>
        <w:rPr>
          <w:rFonts w:ascii="仿宋_GB2312" w:hAnsi="仿宋_GB2312" w:eastAsia="仿宋_GB2312"/>
          <w:b w:val="0"/>
          <w:sz w:val="32"/>
        </w:rPr>
        <w:t>25.住房保障支出(类)保障性安居工程支出(款)农村危房改造(项):支出决算数为0.00万元，比上年决算减少120.00万元，下降100.00%,主要原因是：本年减少喀拉达拉镇泊勒坎片区受灾房屋补助资金。</w:t>
      </w:r>
    </w:p>
    <w:p w14:paraId="096EE95F">
      <w:pPr>
        <w:spacing w:line="580" w:lineRule="exact"/>
        <w:ind w:firstLine="640"/>
        <w:jc w:val="both"/>
      </w:pPr>
      <w:r>
        <w:rPr>
          <w:rFonts w:ascii="仿宋_GB2312" w:hAnsi="仿宋_GB2312" w:eastAsia="仿宋_GB2312"/>
          <w:b w:val="0"/>
          <w:sz w:val="32"/>
        </w:rPr>
        <w:t>26.住房保障支出(类)住房改革支出(款)住房公积金(项):支出决算数为194.66万元，比上年决算增加19.35万元，增长11.04%,主要原因是：本年在职人员工资基数调增，公积金缴费基数上涨，相应支出增加。</w:t>
      </w:r>
    </w:p>
    <w:p w14:paraId="767435F1">
      <w:pPr>
        <w:spacing w:line="580" w:lineRule="exact"/>
        <w:ind w:firstLine="640"/>
        <w:jc w:val="both"/>
      </w:pPr>
      <w:r>
        <w:rPr>
          <w:rFonts w:ascii="仿宋_GB2312" w:hAnsi="仿宋_GB2312" w:eastAsia="仿宋_GB2312"/>
          <w:b w:val="0"/>
          <w:sz w:val="32"/>
        </w:rPr>
        <w:t>27.住房保障支出(类)城乡社区住宅(款)公有住房建设和维修改造支出(项):支出决算数为60.00万元，比上年决算增加60.00万元，增长100.00%,主要原因是：本年增加特克斯县喀拉达拉镇2023年乡镇干部周转宿舍建设项目、特克斯县2021年乡镇干部周转宿舍建设项目（四标段）。</w:t>
      </w:r>
    </w:p>
    <w:p w14:paraId="57F2C188">
      <w:pPr>
        <w:spacing w:line="640" w:lineRule="exact"/>
        <w:ind w:firstLine="640"/>
        <w:jc w:val="both"/>
        <w:outlineLvl w:val="2"/>
      </w:pPr>
      <w:r>
        <w:rPr>
          <w:rFonts w:ascii="黑体" w:hAnsi="黑体" w:eastAsia="黑体"/>
          <w:sz w:val="32"/>
        </w:rPr>
        <w:t>六、一般公共预算财政拨款基本支出决算情况说明</w:t>
      </w:r>
    </w:p>
    <w:p w14:paraId="0072EF91">
      <w:pPr>
        <w:spacing w:line="580" w:lineRule="exact"/>
        <w:ind w:firstLine="640"/>
        <w:jc w:val="both"/>
      </w:pPr>
      <w:r>
        <w:rPr>
          <w:rFonts w:ascii="仿宋_GB2312" w:hAnsi="仿宋_GB2312" w:eastAsia="仿宋_GB2312"/>
          <w:b w:val="0"/>
          <w:sz w:val="32"/>
        </w:rPr>
        <w:t>2024年度一般公共预算财政拨款基本支出3,391.85万元，其中：</w:t>
      </w:r>
      <w:r>
        <w:rPr>
          <w:rFonts w:ascii="仿宋_GB2312" w:hAnsi="仿宋_GB2312" w:eastAsia="仿宋_GB2312"/>
          <w:b/>
          <w:sz w:val="32"/>
        </w:rPr>
        <w:t>人员经费3,111.07万元，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基本养老保险缴费、职业年金缴费、职工基本医疗保险缴费、公务员医疗补助缴费、其他社会保障缴费、住房公积金、其他工资福利支出、退休费、抚恤金、生活补助。</w:t>
      </w:r>
    </w:p>
    <w:p w14:paraId="27581E09">
      <w:pPr>
        <w:spacing w:line="580" w:lineRule="exact"/>
        <w:ind w:firstLine="640"/>
        <w:jc w:val="both"/>
      </w:pPr>
      <w:r>
        <w:rPr>
          <w:rFonts w:ascii="仿宋_GB2312" w:hAnsi="仿宋_GB2312" w:eastAsia="仿宋_GB2312"/>
          <w:b/>
          <w:sz w:val="32"/>
        </w:rPr>
        <w:t>公用经费280.78万元，</w:t>
      </w:r>
      <w:r>
        <w:rPr>
          <w:rFonts w:ascii="仿宋_GB2312" w:hAnsi="仿宋_GB2312" w:eastAsia="仿宋_GB2312"/>
          <w:b w:val="0"/>
          <w:sz w:val="32"/>
        </w:rPr>
        <w:t>包括：办公费、电费、邮电费、取暖费、差旅费、租赁费、工会经费、公务用车运行维护费、税金及附加费用。</w:t>
      </w:r>
    </w:p>
    <w:p w14:paraId="43A6781C">
      <w:pPr>
        <w:spacing w:line="640" w:lineRule="exact"/>
        <w:ind w:firstLine="640"/>
        <w:jc w:val="both"/>
        <w:outlineLvl w:val="2"/>
      </w:pPr>
      <w:r>
        <w:rPr>
          <w:rFonts w:ascii="黑体" w:hAnsi="黑体" w:eastAsia="黑体"/>
          <w:sz w:val="32"/>
        </w:rPr>
        <w:t>七、政府性基金预算财政拨款收入支出决算情况说明</w:t>
      </w:r>
    </w:p>
    <w:p w14:paraId="2E57FE96">
      <w:pPr>
        <w:spacing w:line="580" w:lineRule="exact"/>
        <w:ind w:firstLine="640"/>
        <w:jc w:val="both"/>
      </w:pPr>
      <w:r>
        <w:rPr>
          <w:rFonts w:ascii="仿宋_GB2312" w:hAnsi="仿宋_GB2312" w:eastAsia="仿宋_GB2312"/>
          <w:b/>
          <w:sz w:val="32"/>
        </w:rPr>
        <w:t>2024年度政府性基金预算财政拨款收入总计293.52万元，</w:t>
      </w:r>
      <w:r>
        <w:rPr>
          <w:rFonts w:ascii="仿宋_GB2312" w:hAnsi="仿宋_GB2312" w:eastAsia="仿宋_GB2312"/>
          <w:b w:val="0"/>
          <w:sz w:val="32"/>
        </w:rPr>
        <w:t>其中：年初结转和结余0.00万元，本年收入293.52万元。</w:t>
      </w:r>
      <w:r>
        <w:rPr>
          <w:rFonts w:ascii="仿宋_GB2312" w:hAnsi="仿宋_GB2312" w:eastAsia="仿宋_GB2312"/>
          <w:b/>
          <w:sz w:val="32"/>
        </w:rPr>
        <w:t>政府性基金预算财政拨款支出总计293.52万元，</w:t>
      </w:r>
      <w:r>
        <w:rPr>
          <w:rFonts w:ascii="仿宋_GB2312" w:hAnsi="仿宋_GB2312" w:eastAsia="仿宋_GB2312"/>
          <w:b w:val="0"/>
          <w:sz w:val="32"/>
        </w:rPr>
        <w:t>其中：年末结转和结余0.00万元，本年支出293.52万元。</w:t>
      </w:r>
    </w:p>
    <w:p w14:paraId="0331FA4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增加283.52万元，增长2,835.20%，主要原因是：本年较上年增加特克斯县喀拉达拉镇玉米加工厂建设项目、特克斯县喀拉达拉镇加尔阔拉村基础设施建设项目。</w:t>
      </w:r>
      <w:r>
        <w:rPr>
          <w:rFonts w:ascii="仿宋_GB2312" w:hAnsi="仿宋_GB2312" w:eastAsia="仿宋_GB2312"/>
          <w:b/>
          <w:sz w:val="32"/>
        </w:rPr>
        <w:t>与年初预算相比，</w:t>
      </w:r>
      <w:r>
        <w:rPr>
          <w:rFonts w:ascii="仿宋_GB2312" w:hAnsi="仿宋_GB2312" w:eastAsia="仿宋_GB2312"/>
          <w:b w:val="0"/>
          <w:sz w:val="32"/>
        </w:rPr>
        <w:t>年初预算数189.40万元，决算数293.52万元，预决算差异率54.97%，主要原因是：年中追加特克斯县喀拉达拉镇加尔阔拉村基础设施建设项目，导致预决算存在差异。</w:t>
      </w:r>
    </w:p>
    <w:p w14:paraId="24087836">
      <w:pPr>
        <w:spacing w:line="580" w:lineRule="exact"/>
        <w:ind w:firstLine="640"/>
        <w:jc w:val="both"/>
      </w:pPr>
      <w:r>
        <w:rPr>
          <w:rFonts w:ascii="仿宋_GB2312" w:hAnsi="仿宋_GB2312" w:eastAsia="仿宋_GB2312"/>
          <w:b w:val="0"/>
          <w:sz w:val="32"/>
        </w:rPr>
        <w:t>政府性基金预算财政拨款支出293.52万元。</w:t>
      </w:r>
    </w:p>
    <w:p w14:paraId="7CD1D557">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0.00万元，比上年决算减少10.00万元，下降100.00%,主要原因是：本年未拨付特克斯县改善人居环境项目（特克斯河喀拉达拉镇段南岸防洪堤及3个村排水渠工程）。</w:t>
      </w:r>
    </w:p>
    <w:p w14:paraId="695312AE">
      <w:pPr>
        <w:spacing w:line="580" w:lineRule="exact"/>
        <w:ind w:firstLine="640"/>
        <w:jc w:val="both"/>
      </w:pPr>
      <w:r>
        <w:rPr>
          <w:rFonts w:ascii="仿宋_GB2312" w:hAnsi="仿宋_GB2312" w:eastAsia="仿宋_GB2312"/>
          <w:b w:val="0"/>
          <w:sz w:val="32"/>
        </w:rPr>
        <w:t>2.农林水支出(类)大中型水库移民后期扶持基金支出(款)基础设施建设和经济发展(项):支出决算数为293.52万元，比上年决算增加293.52万元，增长100.00%,主要原因是：本年增加特克斯县喀拉达拉镇玉米加工厂建设项目、特克斯县喀拉达拉镇加尔阔拉村基础设施建设项目。</w:t>
      </w:r>
    </w:p>
    <w:p w14:paraId="6EB33D72">
      <w:pPr>
        <w:spacing w:line="640" w:lineRule="exact"/>
        <w:ind w:firstLine="640"/>
        <w:jc w:val="both"/>
        <w:outlineLvl w:val="2"/>
      </w:pPr>
      <w:r>
        <w:rPr>
          <w:rFonts w:ascii="黑体" w:hAnsi="黑体" w:eastAsia="黑体"/>
          <w:sz w:val="32"/>
        </w:rPr>
        <w:t>八、国有资本经营预算财政拨款收入支出决算情况说明</w:t>
      </w:r>
    </w:p>
    <w:p w14:paraId="44716CD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8B7413F">
      <w:pPr>
        <w:spacing w:line="640" w:lineRule="exact"/>
        <w:ind w:firstLine="640"/>
        <w:jc w:val="both"/>
        <w:outlineLvl w:val="2"/>
      </w:pPr>
      <w:r>
        <w:rPr>
          <w:rFonts w:ascii="黑体" w:hAnsi="黑体" w:eastAsia="黑体"/>
          <w:sz w:val="32"/>
        </w:rPr>
        <w:t>九、财政拨款“三公”经费支出决算情况说明</w:t>
      </w:r>
    </w:p>
    <w:p w14:paraId="66DC6751">
      <w:pPr>
        <w:spacing w:line="580" w:lineRule="exact"/>
        <w:ind w:firstLine="640"/>
        <w:jc w:val="both"/>
      </w:pPr>
      <w:r>
        <w:rPr>
          <w:rFonts w:ascii="仿宋_GB2312" w:hAnsi="仿宋_GB2312" w:eastAsia="仿宋_GB2312"/>
          <w:b/>
          <w:sz w:val="32"/>
        </w:rPr>
        <w:t>2024年度财政拨款“三公”经费支出6.40万元，</w:t>
      </w:r>
      <w:r>
        <w:rPr>
          <w:rFonts w:ascii="仿宋_GB2312" w:hAnsi="仿宋_GB2312" w:eastAsia="仿宋_GB2312"/>
          <w:b w:val="0"/>
          <w:sz w:val="32"/>
        </w:rPr>
        <w:t>比上年减少0.06万元，下降0.93%，主要原因是：严格落实中央八项规定精神，厉行节约，公务用车维护费减少。其中：因公出国（境）费支出0.00万元，占0.00%，比上年增加0.00万元，增长0.00%，主要原因是：2023年与2024年均未安排因公出国（境）费支出。公务用车购置及运行维护费支出6.40万元，占100.00%，比上年减少0.06万元，下降0.93%，主要原因是：严格落实中央八项规定精神，厉行节约，公务用车维护费减少。公务接待费支出0.00万元，占0.00%，比上年增加0.00万元，增长0.00%，主要原因是：2023年与2024年均未安排公务接待费支出。</w:t>
      </w:r>
    </w:p>
    <w:p w14:paraId="43DABA96">
      <w:pPr>
        <w:spacing w:line="580" w:lineRule="exact"/>
        <w:ind w:firstLine="640"/>
        <w:jc w:val="both"/>
      </w:pPr>
      <w:r>
        <w:rPr>
          <w:rFonts w:ascii="仿宋_GB2312" w:hAnsi="仿宋_GB2312" w:eastAsia="仿宋_GB2312"/>
          <w:b/>
          <w:sz w:val="32"/>
        </w:rPr>
        <w:t>具体情况如下：</w:t>
      </w:r>
    </w:p>
    <w:p w14:paraId="3DE7C4A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B19C63B">
      <w:pPr>
        <w:spacing w:line="580" w:lineRule="exact"/>
        <w:ind w:firstLine="640"/>
        <w:jc w:val="both"/>
      </w:pPr>
      <w:r>
        <w:rPr>
          <w:rFonts w:ascii="仿宋_GB2312" w:hAnsi="仿宋_GB2312" w:eastAsia="仿宋_GB2312"/>
          <w:b w:val="0"/>
          <w:sz w:val="32"/>
        </w:rPr>
        <w:t>公务用车购置及运行维护费6.40万元，其中：公务用车购置费0.00万元，公务用车运行维护费6.40万元。公务用车运行维护费开支内容包括车辆加油费、维修费、保险费、审车费。公务用车购置数0辆，公务用车保有量6辆。国有资产占用情况中固定资产车辆6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65EC82CA">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FB9356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6.40万元，决算数6.40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6.40万元，决算数6.40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1359EE8">
      <w:pPr>
        <w:spacing w:line="640" w:lineRule="exact"/>
        <w:ind w:firstLine="640"/>
        <w:jc w:val="both"/>
        <w:outlineLvl w:val="2"/>
      </w:pPr>
      <w:r>
        <w:rPr>
          <w:rFonts w:ascii="黑体" w:hAnsi="黑体" w:eastAsia="黑体"/>
          <w:sz w:val="32"/>
        </w:rPr>
        <w:t>十、其他重要事项的情况说明</w:t>
      </w:r>
    </w:p>
    <w:p w14:paraId="3E308F91">
      <w:pPr>
        <w:spacing w:line="640" w:lineRule="exact"/>
        <w:ind w:firstLine="640"/>
        <w:jc w:val="both"/>
        <w:outlineLvl w:val="3"/>
      </w:pPr>
      <w:r>
        <w:rPr>
          <w:rFonts w:ascii="楷体_GB2312" w:hAnsi="楷体_GB2312" w:eastAsia="楷体_GB2312"/>
          <w:b/>
          <w:sz w:val="32"/>
        </w:rPr>
        <w:t>（一）机关运行经费及公用经费支出情况</w:t>
      </w:r>
    </w:p>
    <w:p w14:paraId="37BB5DB2">
      <w:pPr>
        <w:spacing w:line="580" w:lineRule="exact"/>
        <w:ind w:firstLine="640"/>
        <w:jc w:val="both"/>
      </w:pPr>
      <w:r>
        <w:rPr>
          <w:rFonts w:ascii="仿宋_GB2312" w:hAnsi="仿宋_GB2312" w:eastAsia="仿宋_GB2312"/>
          <w:b w:val="0"/>
          <w:sz w:val="32"/>
        </w:rPr>
        <w:t>2024年度特克斯县喀拉达拉镇人民政府（行政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）机关运行经费支出280.78万元，比上年减少283.45万元，下降50.24%，主要原因是：本年减少办公费（村级运转经费）、维修（护）费、劳务费等，导致机关运行经费减少。</w:t>
      </w:r>
    </w:p>
    <w:p w14:paraId="6B1303B0">
      <w:pPr>
        <w:spacing w:line="640" w:lineRule="exact"/>
        <w:ind w:firstLine="640"/>
        <w:jc w:val="both"/>
        <w:outlineLvl w:val="3"/>
      </w:pPr>
      <w:r>
        <w:rPr>
          <w:rFonts w:ascii="楷体_GB2312" w:hAnsi="楷体_GB2312" w:eastAsia="楷体_GB2312"/>
          <w:b/>
          <w:sz w:val="32"/>
        </w:rPr>
        <w:t>（二）政府采购情况</w:t>
      </w:r>
    </w:p>
    <w:p w14:paraId="16BAFAE8">
      <w:pPr>
        <w:spacing w:line="580" w:lineRule="exact"/>
        <w:ind w:firstLine="640"/>
        <w:jc w:val="both"/>
      </w:pPr>
      <w:r>
        <w:rPr>
          <w:rFonts w:ascii="仿宋_GB2312" w:hAnsi="仿宋_GB2312" w:eastAsia="仿宋_GB2312"/>
          <w:b w:val="0"/>
          <w:sz w:val="32"/>
        </w:rPr>
        <w:t>2024年度政府采购支出总额14.02万元，其中：政府采购货物支出10.27万元、政府采购工程支出0.00万元、政府采购服务支出3.75万元。</w:t>
      </w:r>
    </w:p>
    <w:p w14:paraId="489F783D">
      <w:pPr>
        <w:spacing w:line="580" w:lineRule="exact"/>
        <w:ind w:firstLine="640"/>
        <w:jc w:val="both"/>
      </w:pPr>
      <w:r>
        <w:rPr>
          <w:rFonts w:ascii="仿宋_GB2312" w:hAnsi="仿宋_GB2312" w:eastAsia="仿宋_GB2312"/>
          <w:b w:val="0"/>
          <w:sz w:val="32"/>
        </w:rPr>
        <w:t>授予中小企业合同金额12.22万元，占政府采购支出总额的87.16%，其中：授予小微企业合同金额7.25万元，占政府采购支出总额的51.71%。</w:t>
      </w:r>
    </w:p>
    <w:p w14:paraId="1F05949E">
      <w:pPr>
        <w:spacing w:line="640" w:lineRule="exact"/>
        <w:ind w:firstLine="640"/>
        <w:jc w:val="both"/>
        <w:outlineLvl w:val="3"/>
      </w:pPr>
      <w:r>
        <w:rPr>
          <w:rFonts w:ascii="楷体_GB2312" w:hAnsi="楷体_GB2312" w:eastAsia="楷体_GB2312"/>
          <w:b/>
          <w:sz w:val="32"/>
        </w:rPr>
        <w:t>（三）国有资产占用情况说明</w:t>
      </w:r>
    </w:p>
    <w:p w14:paraId="0082DF60">
      <w:pPr>
        <w:spacing w:line="580" w:lineRule="exact"/>
        <w:ind w:firstLine="640"/>
        <w:jc w:val="both"/>
      </w:pPr>
      <w:r>
        <w:rPr>
          <w:rFonts w:ascii="仿宋_GB2312" w:hAnsi="仿宋_GB2312" w:eastAsia="仿宋_GB2312"/>
          <w:b w:val="0"/>
          <w:sz w:val="32"/>
        </w:rPr>
        <w:t>截至2024年12月31日，房屋6,781.30平方米，价值1,076.97万元。车辆6辆，价值65.33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758BCEA7">
      <w:pPr>
        <w:spacing w:line="640" w:lineRule="exact"/>
        <w:ind w:firstLine="640"/>
        <w:jc w:val="both"/>
        <w:outlineLvl w:val="2"/>
      </w:pPr>
      <w:r>
        <w:rPr>
          <w:rFonts w:ascii="黑体" w:hAnsi="黑体" w:eastAsia="黑体"/>
          <w:sz w:val="32"/>
        </w:rPr>
        <w:t>十一、预算绩效的情况说明</w:t>
      </w:r>
    </w:p>
    <w:p w14:paraId="231AA1C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5,359.94万元，实际执行总额5,359.94万元；预算绩效评价项目1个，全年预算数243.00万元，全年执行数206.00万元。预算绩效管理取得的成效：一是实现了预算绩效目标与部门预算“四同步”；二是预算绩效信息公开程度不断提高。发现的问题及原因：一是评价指标体系不健全，实际操作有困难；二是预算绩效观念不强，工作质</w:t>
      </w:r>
      <w:r>
        <w:rPr>
          <w:rFonts w:hint="eastAsia" w:ascii="仿宋_GB2312" w:hAnsi="仿宋_GB2312" w:eastAsia="仿宋_GB2312"/>
          <w:b w:val="0"/>
          <w:sz w:val="32"/>
          <w:lang w:eastAsia="zh-CN"/>
        </w:rPr>
        <w:t>量有</w:t>
      </w:r>
      <w:r>
        <w:rPr>
          <w:rFonts w:ascii="仿宋_GB2312" w:hAnsi="仿宋_GB2312" w:eastAsia="仿宋_GB2312"/>
          <w:b w:val="0"/>
          <w:sz w:val="32"/>
        </w:rPr>
        <w:t>待提高。下一步改进措施：一是不断提升预算绩效管理意识；二是继续完善预算绩效管理基础工作。具体附整体支出绩效自评表，项目支出绩效自评表和评价报告。</w:t>
      </w:r>
    </w:p>
    <w:p w14:paraId="7A78083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EDCAE74">
        <w:tblPrEx>
          <w:tblCellMar>
            <w:top w:w="0" w:type="dxa"/>
            <w:left w:w="108" w:type="dxa"/>
            <w:bottom w:w="0" w:type="dxa"/>
            <w:right w:w="108" w:type="dxa"/>
          </w:tblCellMar>
        </w:tblPrEx>
        <w:tc>
          <w:tcPr>
            <w:tcW w:w="8840" w:type="dxa"/>
            <w:gridSpan w:val="8"/>
            <w:vAlign w:val="center"/>
          </w:tcPr>
          <w:p w14:paraId="5078DADD">
            <w:pPr>
              <w:jc w:val="center"/>
            </w:pPr>
            <w:r>
              <w:rPr>
                <w:rFonts w:hint="eastAsia" w:ascii="宋体" w:hAnsi="宋体"/>
                <w:sz w:val="24"/>
                <w:lang w:eastAsia="zh-CN"/>
              </w:rPr>
              <w:t>单位</w:t>
            </w:r>
            <w:r>
              <w:rPr>
                <w:rFonts w:ascii="宋体" w:hAnsi="宋体" w:eastAsia="宋体"/>
                <w:sz w:val="24"/>
              </w:rPr>
              <w:t>整体支出绩效自评表</w:t>
            </w:r>
          </w:p>
        </w:tc>
      </w:tr>
      <w:tr w14:paraId="6BEE528F">
        <w:tblPrEx>
          <w:tblCellMar>
            <w:top w:w="0" w:type="dxa"/>
            <w:left w:w="108" w:type="dxa"/>
            <w:bottom w:w="0" w:type="dxa"/>
            <w:right w:w="108" w:type="dxa"/>
          </w:tblCellMar>
        </w:tblPrEx>
        <w:tc>
          <w:tcPr>
            <w:tcW w:w="8840" w:type="dxa"/>
            <w:gridSpan w:val="8"/>
            <w:vAlign w:val="center"/>
          </w:tcPr>
          <w:p w14:paraId="2CAF0368">
            <w:pPr>
              <w:jc w:val="center"/>
            </w:pPr>
            <w:r>
              <w:rPr>
                <w:rFonts w:ascii="宋体" w:hAnsi="宋体" w:eastAsia="宋体"/>
                <w:sz w:val="24"/>
              </w:rPr>
              <w:t>（2024年度）</w:t>
            </w:r>
          </w:p>
        </w:tc>
      </w:tr>
      <w:tr w14:paraId="207A9B9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16884">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029D1">
            <w:pPr>
              <w:jc w:val="center"/>
            </w:pPr>
            <w:r>
              <w:rPr>
                <w:rFonts w:ascii="宋体" w:hAnsi="宋体" w:eastAsia="宋体"/>
                <w:sz w:val="16"/>
              </w:rPr>
              <w:t>特克斯县喀拉达拉镇人民政府</w:t>
            </w:r>
          </w:p>
        </w:tc>
      </w:tr>
      <w:tr w14:paraId="28B11BE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50F9A">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4248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69D8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9C72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3866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12DD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1A58D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04FFF">
            <w:pPr>
              <w:jc w:val="center"/>
            </w:pPr>
            <w:r>
              <w:rPr>
                <w:rFonts w:ascii="宋体" w:hAnsi="宋体" w:eastAsia="宋体"/>
                <w:sz w:val="16"/>
              </w:rPr>
              <w:t>得分</w:t>
            </w:r>
          </w:p>
        </w:tc>
      </w:tr>
      <w:tr w14:paraId="40E476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F0DD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2C39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9E89C">
            <w:pPr>
              <w:jc w:val="center"/>
            </w:pPr>
            <w:r>
              <w:rPr>
                <w:rFonts w:ascii="宋体" w:hAnsi="宋体" w:eastAsia="宋体"/>
                <w:sz w:val="16"/>
              </w:rPr>
              <w:t>3,456.28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898BC">
            <w:pPr>
              <w:jc w:val="center"/>
            </w:pPr>
            <w:r>
              <w:rPr>
                <w:rFonts w:ascii="宋体" w:hAnsi="宋体" w:eastAsia="宋体"/>
                <w:sz w:val="16"/>
              </w:rPr>
              <w:t>5,359.94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47642">
            <w:pPr>
              <w:jc w:val="center"/>
            </w:pPr>
            <w:r>
              <w:rPr>
                <w:rFonts w:ascii="宋体" w:hAnsi="宋体" w:eastAsia="宋体"/>
                <w:sz w:val="16"/>
              </w:rPr>
              <w:t>5,359.94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CECE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2BE4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83188C">
            <w:pPr>
              <w:jc w:val="center"/>
            </w:pPr>
            <w:r>
              <w:rPr>
                <w:rFonts w:ascii="宋体" w:hAnsi="宋体" w:eastAsia="宋体"/>
                <w:sz w:val="16"/>
              </w:rPr>
              <w:t>10</w:t>
            </w:r>
          </w:p>
        </w:tc>
      </w:tr>
      <w:tr w14:paraId="2CF88F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67EA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A2C68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11023">
            <w:pPr>
              <w:jc w:val="center"/>
            </w:pPr>
            <w:r>
              <w:rPr>
                <w:rFonts w:ascii="宋体" w:hAnsi="宋体" w:eastAsia="宋体"/>
                <w:sz w:val="16"/>
              </w:rPr>
              <w:t>700.00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B56CD">
            <w:pPr>
              <w:jc w:val="center"/>
            </w:pPr>
            <w:r>
              <w:rPr>
                <w:rFonts w:ascii="宋体" w:hAnsi="宋体" w:eastAsia="宋体"/>
                <w:sz w:val="16"/>
              </w:rPr>
              <w:t>1,686.93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F35D2">
            <w:pPr>
              <w:jc w:val="center"/>
            </w:pPr>
            <w:r>
              <w:rPr>
                <w:rFonts w:ascii="宋体" w:hAnsi="宋体" w:eastAsia="宋体"/>
                <w:sz w:val="16"/>
              </w:rPr>
              <w:t>1,686.93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5D64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9E15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5F81CD">
            <w:pPr>
              <w:jc w:val="center"/>
            </w:pPr>
            <w:r>
              <w:rPr>
                <w:rFonts w:ascii="宋体" w:hAnsi="宋体" w:eastAsia="宋体"/>
                <w:sz w:val="16"/>
              </w:rPr>
              <w:t>-</w:t>
            </w:r>
          </w:p>
        </w:tc>
      </w:tr>
      <w:tr w14:paraId="5BC83E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FCC1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B8B1F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32646">
            <w:pPr>
              <w:jc w:val="center"/>
            </w:pPr>
            <w:r>
              <w:rPr>
                <w:rFonts w:ascii="宋体" w:hAnsi="宋体" w:eastAsia="宋体"/>
                <w:sz w:val="16"/>
              </w:rPr>
              <w:t>2,756.28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883BD">
            <w:pPr>
              <w:jc w:val="center"/>
            </w:pPr>
            <w:r>
              <w:rPr>
                <w:rFonts w:ascii="宋体" w:hAnsi="宋体" w:eastAsia="宋体"/>
                <w:sz w:val="16"/>
              </w:rPr>
              <w:t>3,673.01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D91DC">
            <w:pPr>
              <w:jc w:val="center"/>
            </w:pPr>
            <w:r>
              <w:rPr>
                <w:rFonts w:ascii="宋体" w:hAnsi="宋体" w:eastAsia="宋体"/>
                <w:sz w:val="16"/>
              </w:rPr>
              <w:t>3,673.01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2378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8046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3364F">
            <w:pPr>
              <w:jc w:val="center"/>
            </w:pPr>
            <w:r>
              <w:rPr>
                <w:rFonts w:ascii="宋体" w:hAnsi="宋体" w:eastAsia="宋体"/>
                <w:sz w:val="16"/>
              </w:rPr>
              <w:t>-</w:t>
            </w:r>
          </w:p>
        </w:tc>
      </w:tr>
      <w:tr w14:paraId="08BEC37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8BEB5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535D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EBBF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8AED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82BE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D4A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898C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F5B8A6">
            <w:pPr>
              <w:jc w:val="center"/>
            </w:pPr>
            <w:r>
              <w:rPr>
                <w:rFonts w:ascii="宋体" w:hAnsi="宋体" w:eastAsia="宋体"/>
                <w:sz w:val="16"/>
              </w:rPr>
              <w:t>-</w:t>
            </w:r>
          </w:p>
        </w:tc>
      </w:tr>
      <w:tr w14:paraId="63EE243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6D979">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6A879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A6E689">
            <w:pPr>
              <w:jc w:val="center"/>
            </w:pPr>
            <w:r>
              <w:rPr>
                <w:rFonts w:ascii="宋体" w:hAnsi="宋体" w:eastAsia="宋体"/>
                <w:sz w:val="16"/>
              </w:rPr>
              <w:t>实际完成情况</w:t>
            </w:r>
          </w:p>
        </w:tc>
      </w:tr>
      <w:tr w14:paraId="2748E0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DA99D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AF0368">
            <w:pPr>
              <w:jc w:val="both"/>
            </w:pPr>
            <w:r>
              <w:rPr>
                <w:rFonts w:ascii="宋体" w:hAnsi="宋体" w:eastAsia="宋体"/>
                <w:sz w:val="16"/>
              </w:rPr>
              <w:t>以习近平新时代中国特色社会主义思想为指导，全面贯彻党的二十大和二十届二中全会精神，贯彻落实中央经济工作会议、农村工作会议和金融工作会议精神，贯彻落实习近平总书记听取自治区和兵团工作汇报时的重要讲话精神，全面落实自治区党委第十届委员会第十次全体会议和自治州党委工作会议精神及县委第十三届委员会第七次全体会议精神，完整准确全面贯彻新时代党的治疆方略，牢牢把握铸牢中华民族共同体意识这条主线，聚焦高质量发展这一首要任务，更好统筹发展和安全，统筹开放和稳定，围绕州党委“16661”重点举措、县委“14661”具体措施，抓实稳定这一基础，紧盯四个关键性工作，夯实四大发展举措，实施六大民生工程，抓牢党建这一保证。</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033645">
            <w:pPr>
              <w:jc w:val="both"/>
            </w:pPr>
            <w:r>
              <w:rPr>
                <w:rFonts w:ascii="宋体" w:hAnsi="宋体" w:eastAsia="宋体"/>
                <w:sz w:val="16"/>
              </w:rPr>
              <w:t>2024年，喀拉达拉镇在县委、县政府坚强领导下，紧紧围绕年初制定各项工作目标，团结带领全镇干部群众砥砺奋进，攻坚克难，坚持稳中求进工作总基调，全力以赴推动经济社会高质量发展，各项工作有序推进。（一）和谐稳定，筑牢防线。一是法治建设稳步迈进。深入开展法治宣传教育，全年共开展47次场次。二是社会治理巩固提升。加强社会治安综合治理，建立了镇、村、组三级治安防控体系。三是安全底线坚决守牢。严格落实安全生产责任制，加强对重点行业、重点领域的安全监管，全年共开展安全生产检查12次，发现并整改安全隐患36处。四是不断铸牢中华民族共同体意识。完成了2024年国家民委考核复验工作，100%村创建成为县级民族团结进步示范</w:t>
            </w:r>
            <w:r>
              <w:rPr>
                <w:rFonts w:hint="eastAsia" w:ascii="宋体" w:hAnsi="宋体"/>
                <w:sz w:val="16"/>
                <w:lang w:eastAsia="zh-CN"/>
              </w:rPr>
              <w:t>单位</w:t>
            </w:r>
            <w:r>
              <w:rPr>
                <w:rFonts w:ascii="宋体" w:hAnsi="宋体" w:eastAsia="宋体"/>
                <w:sz w:val="16"/>
              </w:rPr>
              <w:t>，70%村创建成为自治州级民族团结进步示范</w:t>
            </w:r>
            <w:r>
              <w:rPr>
                <w:rFonts w:hint="eastAsia" w:ascii="宋体" w:hAnsi="宋体"/>
                <w:sz w:val="16"/>
                <w:lang w:eastAsia="zh-CN"/>
              </w:rPr>
              <w:t>单位</w:t>
            </w:r>
            <w:r>
              <w:rPr>
                <w:rFonts w:ascii="宋体" w:hAnsi="宋体" w:eastAsia="宋体"/>
                <w:sz w:val="16"/>
              </w:rPr>
              <w:t>，30%村创建成为自治区级民族团结进步示范</w:t>
            </w:r>
            <w:r>
              <w:rPr>
                <w:rFonts w:hint="eastAsia" w:ascii="宋体" w:hAnsi="宋体"/>
                <w:sz w:val="16"/>
                <w:lang w:eastAsia="zh-CN"/>
              </w:rPr>
              <w:t>单位</w:t>
            </w:r>
            <w:r>
              <w:rPr>
                <w:rFonts w:ascii="宋体" w:hAnsi="宋体" w:eastAsia="宋体"/>
                <w:sz w:val="16"/>
              </w:rPr>
              <w:t>。（二）兴产强农，夯实基础。一是农业指标完成情况。完成播种面积50200亩，其中玉米48300亩、青储玉米500亩，土地流转1.51万亩，建设高产玉米示范田1.55万亩，亩产1250公斤创历史新高，采用“企业+合作社+农户”产业链模式，持续打造“糯香喀镇”。（三）旅游产业发展情况。建立了新发展模式，坚持“以商招商、以大带小”协同发展机制，与携程丽呈可风公司达成合作意向，带动隆佑、花非花、浪山营地等跟随投资，形成了“1+X”发展模式，促进了旅游产业健康、多元素、全要素发展。</w:t>
            </w:r>
          </w:p>
        </w:tc>
      </w:tr>
      <w:tr w14:paraId="32E135E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C88C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9446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3A02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35D4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ACFA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03C72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C7E7A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7884A">
            <w:pPr>
              <w:jc w:val="center"/>
            </w:pPr>
            <w:r>
              <w:rPr>
                <w:rFonts w:ascii="宋体" w:hAnsi="宋体" w:eastAsia="宋体"/>
                <w:sz w:val="16"/>
              </w:rPr>
              <w:t>得分</w:t>
            </w:r>
          </w:p>
        </w:tc>
      </w:tr>
      <w:tr w14:paraId="297EF09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640D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77EF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B4491">
            <w:pPr>
              <w:jc w:val="center"/>
            </w:pPr>
            <w:r>
              <w:rPr>
                <w:rFonts w:ascii="宋体" w:hAnsi="宋体" w:eastAsia="宋体"/>
                <w:sz w:val="16"/>
              </w:rPr>
              <w:t>大宗作物种植面积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5C009">
            <w:pPr>
              <w:jc w:val="center"/>
            </w:pPr>
            <w:r>
              <w:rPr>
                <w:rFonts w:ascii="宋体" w:hAnsi="宋体" w:eastAsia="宋体"/>
                <w:sz w:val="16"/>
              </w:rPr>
              <w:t>=50200亩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28AF3">
            <w:pPr>
              <w:jc w:val="center"/>
            </w:pPr>
            <w:r>
              <w:rPr>
                <w:rFonts w:ascii="宋体" w:hAnsi="宋体" w:eastAsia="宋体"/>
                <w:sz w:val="16"/>
              </w:rPr>
              <w:t>中共喀拉达拉镇第二届委员会第四次全体会议上的报告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A2262">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89C1A">
            <w:pPr>
              <w:jc w:val="center"/>
            </w:pPr>
            <w:r>
              <w:rPr>
                <w:rFonts w:ascii="宋体" w:hAnsi="宋体" w:eastAsia="宋体"/>
                <w:sz w:val="16"/>
              </w:rPr>
              <w:t>50200亩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F1FF4">
            <w:pPr>
              <w:jc w:val="center"/>
            </w:pPr>
            <w:r>
              <w:rPr>
                <w:rFonts w:ascii="宋体" w:hAnsi="宋体" w:eastAsia="宋体"/>
                <w:sz w:val="16"/>
              </w:rPr>
              <w:t>18</w:t>
            </w:r>
          </w:p>
        </w:tc>
      </w:tr>
      <w:tr w14:paraId="7A2E184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C4373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7D37E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D708BE">
            <w:pPr>
              <w:jc w:val="center"/>
            </w:pPr>
            <w:r>
              <w:rPr>
                <w:rFonts w:ascii="宋体" w:hAnsi="宋体" w:eastAsia="宋体"/>
                <w:sz w:val="16"/>
              </w:rPr>
              <w:t>林果产量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C3041">
            <w:pPr>
              <w:jc w:val="center"/>
            </w:pPr>
            <w:r>
              <w:rPr>
                <w:rFonts w:ascii="宋体" w:hAnsi="宋体" w:eastAsia="宋体"/>
                <w:sz w:val="16"/>
              </w:rPr>
              <w:t>&gt;=1500吨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764AE9">
            <w:pPr>
              <w:jc w:val="center"/>
            </w:pPr>
            <w:r>
              <w:rPr>
                <w:rFonts w:ascii="宋体" w:hAnsi="宋体" w:eastAsia="宋体"/>
                <w:sz w:val="16"/>
              </w:rPr>
              <w:t>中共喀拉达拉镇第二届委员会第四次全体会议上的报告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F224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51250">
            <w:pPr>
              <w:jc w:val="center"/>
            </w:pPr>
            <w:r>
              <w:rPr>
                <w:rFonts w:ascii="宋体" w:hAnsi="宋体" w:eastAsia="宋体"/>
                <w:sz w:val="16"/>
              </w:rPr>
              <w:t>2156吨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4496A">
            <w:pPr>
              <w:jc w:val="center"/>
            </w:pPr>
            <w:r>
              <w:rPr>
                <w:rFonts w:ascii="宋体" w:hAnsi="宋体" w:eastAsia="宋体"/>
                <w:sz w:val="16"/>
              </w:rPr>
              <w:t>18</w:t>
            </w:r>
          </w:p>
        </w:tc>
      </w:tr>
      <w:tr w14:paraId="26AC291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25920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DD7D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0DE948">
            <w:pPr>
              <w:jc w:val="center"/>
            </w:pPr>
            <w:r>
              <w:rPr>
                <w:rFonts w:ascii="宋体" w:hAnsi="宋体" w:eastAsia="宋体"/>
                <w:sz w:val="16"/>
              </w:rPr>
              <w:t>接待游客</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92DBB">
            <w:pPr>
              <w:jc w:val="center"/>
            </w:pPr>
            <w:r>
              <w:rPr>
                <w:rFonts w:ascii="宋体" w:hAnsi="宋体" w:eastAsia="宋体"/>
                <w:sz w:val="16"/>
              </w:rPr>
              <w:t>&gt;=70万人次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AAF30">
            <w:pPr>
              <w:jc w:val="center"/>
            </w:pPr>
            <w:r>
              <w:rPr>
                <w:rFonts w:ascii="宋体" w:hAnsi="宋体" w:eastAsia="宋体"/>
                <w:sz w:val="16"/>
              </w:rPr>
              <w:t>中共喀拉达拉镇第二届委员会第四次全体会议上的报告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DE59E">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FD9F2">
            <w:pPr>
              <w:jc w:val="center"/>
            </w:pPr>
            <w:r>
              <w:rPr>
                <w:rFonts w:ascii="宋体" w:hAnsi="宋体" w:eastAsia="宋体"/>
                <w:sz w:val="16"/>
              </w:rPr>
              <w:t>102万人次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AC2918">
            <w:pPr>
              <w:jc w:val="center"/>
            </w:pPr>
            <w:r>
              <w:rPr>
                <w:rFonts w:ascii="宋体" w:hAnsi="宋体" w:eastAsia="宋体"/>
                <w:sz w:val="16"/>
              </w:rPr>
              <w:t>18</w:t>
            </w:r>
          </w:p>
        </w:tc>
      </w:tr>
      <w:tr w14:paraId="536C18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60BE15"/>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5946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7AF84">
            <w:pPr>
              <w:jc w:val="center"/>
              <w:rPr>
                <w:rFonts w:hint="eastAsia" w:eastAsia="宋体"/>
                <w:lang w:eastAsia="zh-CN"/>
              </w:rPr>
            </w:pPr>
            <w:r>
              <w:rPr>
                <w:rFonts w:ascii="宋体" w:hAnsi="宋体" w:eastAsia="宋体"/>
                <w:sz w:val="16"/>
              </w:rPr>
              <w:t>创建县级民族团结进步示范</w:t>
            </w:r>
            <w:r>
              <w:rPr>
                <w:rFonts w:hint="eastAsia" w:ascii="宋体" w:hAnsi="宋体"/>
                <w:sz w:val="16"/>
                <w:lang w:eastAsia="zh-CN"/>
              </w:rPr>
              <w:t>单位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1AB56">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30F74">
            <w:pPr>
              <w:jc w:val="center"/>
            </w:pPr>
            <w:r>
              <w:rPr>
                <w:rFonts w:ascii="宋体" w:hAnsi="宋体" w:eastAsia="宋体"/>
                <w:sz w:val="16"/>
              </w:rPr>
              <w:t>中共喀拉达拉镇第二届委员会第四次全体会议上的报告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C259E">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5B75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7A393">
            <w:pPr>
              <w:jc w:val="center"/>
            </w:pPr>
            <w:r>
              <w:rPr>
                <w:rFonts w:ascii="宋体" w:hAnsi="宋体" w:eastAsia="宋体"/>
                <w:sz w:val="16"/>
              </w:rPr>
              <w:t>18</w:t>
            </w:r>
          </w:p>
        </w:tc>
      </w:tr>
      <w:tr w14:paraId="2469ABF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2582A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A12FD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72417">
            <w:pPr>
              <w:jc w:val="center"/>
            </w:pPr>
            <w:r>
              <w:rPr>
                <w:rFonts w:ascii="宋体" w:hAnsi="宋体" w:eastAsia="宋体"/>
                <w:sz w:val="16"/>
              </w:rPr>
              <w:t>形成“1+x”发展模式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CBCD3">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0487D">
            <w:pPr>
              <w:jc w:val="center"/>
            </w:pPr>
            <w:r>
              <w:rPr>
                <w:rFonts w:ascii="宋体" w:hAnsi="宋体" w:eastAsia="宋体"/>
                <w:sz w:val="16"/>
              </w:rPr>
              <w:t>中共喀拉达拉镇第二届委员会第四次会议上的报告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C8A82">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00F2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EEC06">
            <w:pPr>
              <w:jc w:val="center"/>
            </w:pPr>
            <w:r>
              <w:rPr>
                <w:rFonts w:ascii="宋体" w:hAnsi="宋体" w:eastAsia="宋体"/>
                <w:sz w:val="16"/>
              </w:rPr>
              <w:t>18</w:t>
            </w:r>
          </w:p>
        </w:tc>
      </w:tr>
    </w:tbl>
    <w:p w14:paraId="3E3C6563">
      <w:r>
        <w:br w:type="page"/>
      </w:r>
    </w:p>
    <w:tbl>
      <w:tblPr>
        <w:tblStyle w:val="9"/>
        <w:tblW w:w="9007" w:type="dxa"/>
        <w:tblInd w:w="0" w:type="dxa"/>
        <w:tblLayout w:type="autofit"/>
        <w:tblCellMar>
          <w:top w:w="0" w:type="dxa"/>
          <w:left w:w="108" w:type="dxa"/>
          <w:bottom w:w="0" w:type="dxa"/>
          <w:right w:w="108" w:type="dxa"/>
        </w:tblCellMar>
      </w:tblPr>
      <w:tblGrid>
        <w:gridCol w:w="632"/>
        <w:gridCol w:w="632"/>
        <w:gridCol w:w="632"/>
        <w:gridCol w:w="735"/>
        <w:gridCol w:w="529"/>
        <w:gridCol w:w="632"/>
        <w:gridCol w:w="632"/>
        <w:gridCol w:w="632"/>
        <w:gridCol w:w="632"/>
        <w:gridCol w:w="632"/>
        <w:gridCol w:w="632"/>
        <w:gridCol w:w="632"/>
        <w:gridCol w:w="632"/>
        <w:gridCol w:w="791"/>
      </w:tblGrid>
      <w:tr w14:paraId="4A617BC2">
        <w:tblPrEx>
          <w:tblCellMar>
            <w:top w:w="0" w:type="dxa"/>
            <w:left w:w="108" w:type="dxa"/>
            <w:bottom w:w="0" w:type="dxa"/>
            <w:right w:w="108" w:type="dxa"/>
          </w:tblCellMar>
        </w:tblPrEx>
        <w:tc>
          <w:tcPr>
            <w:tcW w:w="9007" w:type="dxa"/>
            <w:gridSpan w:val="14"/>
            <w:vAlign w:val="center"/>
          </w:tcPr>
          <w:p w14:paraId="6304499A">
            <w:pPr>
              <w:jc w:val="center"/>
            </w:pPr>
            <w:r>
              <w:rPr>
                <w:rFonts w:ascii="宋体" w:hAnsi="宋体" w:eastAsia="宋体"/>
                <w:sz w:val="24"/>
              </w:rPr>
              <w:t>项目支出绩效自评表</w:t>
            </w:r>
          </w:p>
        </w:tc>
      </w:tr>
      <w:tr w14:paraId="03DBB239">
        <w:tblPrEx>
          <w:tblCellMar>
            <w:top w:w="0" w:type="dxa"/>
            <w:left w:w="108" w:type="dxa"/>
            <w:bottom w:w="0" w:type="dxa"/>
            <w:right w:w="108" w:type="dxa"/>
          </w:tblCellMar>
        </w:tblPrEx>
        <w:tc>
          <w:tcPr>
            <w:tcW w:w="9007" w:type="dxa"/>
            <w:gridSpan w:val="14"/>
            <w:vAlign w:val="center"/>
          </w:tcPr>
          <w:p w14:paraId="1470F125">
            <w:pPr>
              <w:jc w:val="center"/>
            </w:pPr>
            <w:r>
              <w:rPr>
                <w:rFonts w:ascii="宋体" w:hAnsi="宋体" w:eastAsia="宋体"/>
                <w:sz w:val="24"/>
              </w:rPr>
              <w:t>(2024年度)</w:t>
            </w:r>
          </w:p>
        </w:tc>
      </w:tr>
      <w:tr w14:paraId="5C92B3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91FB">
            <w:pPr>
              <w:jc w:val="center"/>
            </w:pPr>
            <w:r>
              <w:rPr>
                <w:rFonts w:ascii="宋体" w:hAnsi="宋体" w:eastAsia="宋体"/>
                <w:sz w:val="16"/>
              </w:rPr>
              <w:t>项目名称</w:t>
            </w:r>
          </w:p>
        </w:tc>
        <w:tc>
          <w:tcPr>
            <w:tcW w:w="837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CCD9C4">
            <w:pPr>
              <w:jc w:val="center"/>
            </w:pPr>
            <w:r>
              <w:rPr>
                <w:rFonts w:ascii="宋体" w:hAnsi="宋体" w:eastAsia="宋体"/>
                <w:sz w:val="16"/>
              </w:rPr>
              <w:t>伊犁州特克斯县喀拉达拉镇牧民越冬放牧点生产用房（居住）建设项目</w:t>
            </w:r>
          </w:p>
        </w:tc>
      </w:tr>
      <w:tr w14:paraId="668AB5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84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D6A6D">
            <w:pPr>
              <w:jc w:val="center"/>
            </w:pPr>
            <w:r>
              <w:rPr>
                <w:rFonts w:ascii="宋体" w:hAnsi="宋体" w:eastAsia="宋体"/>
                <w:sz w:val="16"/>
              </w:rPr>
              <w:t>特克斯县喀拉达拉镇人民政府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F5C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1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6FC09">
            <w:pPr>
              <w:jc w:val="center"/>
            </w:pPr>
            <w:r>
              <w:rPr>
                <w:rFonts w:ascii="宋体" w:hAnsi="宋体" w:eastAsia="宋体"/>
                <w:sz w:val="16"/>
              </w:rPr>
              <w:t>特克斯县喀拉达拉镇人民政府</w:t>
            </w:r>
          </w:p>
        </w:tc>
      </w:tr>
      <w:tr w14:paraId="6E3CD2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1B7D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6A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71E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824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72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77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8E1EC">
            <w:pPr>
              <w:jc w:val="center"/>
            </w:pPr>
            <w:r>
              <w:rPr>
                <w:rFonts w:ascii="宋体" w:hAnsi="宋体" w:eastAsia="宋体"/>
                <w:sz w:val="16"/>
              </w:rPr>
              <w:t>执行率</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1F08541E">
            <w:pPr>
              <w:jc w:val="center"/>
            </w:pPr>
            <w:r>
              <w:rPr>
                <w:rFonts w:ascii="宋体" w:hAnsi="宋体" w:eastAsia="宋体"/>
                <w:sz w:val="16"/>
              </w:rPr>
              <w:t>得分</w:t>
            </w:r>
          </w:p>
        </w:tc>
      </w:tr>
      <w:tr w14:paraId="5D215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AAA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193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289E6">
            <w:pPr>
              <w:jc w:val="center"/>
            </w:pPr>
            <w:r>
              <w:rPr>
                <w:rFonts w:ascii="宋体" w:hAnsi="宋体" w:eastAsia="宋体"/>
                <w:sz w:val="16"/>
              </w:rPr>
              <w:t>243.00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05314">
            <w:pPr>
              <w:jc w:val="center"/>
            </w:pPr>
            <w:r>
              <w:rPr>
                <w:rFonts w:ascii="宋体" w:hAnsi="宋体" w:eastAsia="宋体"/>
                <w:sz w:val="16"/>
              </w:rPr>
              <w:t>243.00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3FDAA">
            <w:pPr>
              <w:jc w:val="center"/>
            </w:pPr>
            <w:r>
              <w:rPr>
                <w:rFonts w:ascii="宋体" w:hAnsi="宋体" w:eastAsia="宋体"/>
                <w:sz w:val="16"/>
              </w:rPr>
              <w:t>206.00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B2F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94A43">
            <w:pPr>
              <w:jc w:val="center"/>
            </w:pPr>
            <w:r>
              <w:rPr>
                <w:rFonts w:ascii="宋体" w:hAnsi="宋体" w:eastAsia="宋体"/>
                <w:sz w:val="16"/>
              </w:rPr>
              <w:t>84.77%</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787733BA">
            <w:pPr>
              <w:jc w:val="center"/>
            </w:pPr>
            <w:r>
              <w:rPr>
                <w:rFonts w:ascii="宋体" w:hAnsi="宋体" w:eastAsia="宋体"/>
                <w:sz w:val="16"/>
              </w:rPr>
              <w:t>6.19</w:t>
            </w:r>
          </w:p>
        </w:tc>
      </w:tr>
      <w:tr w14:paraId="1E03D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8B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B8A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2B995">
            <w:pPr>
              <w:jc w:val="center"/>
            </w:pPr>
            <w:r>
              <w:rPr>
                <w:rFonts w:ascii="宋体" w:hAnsi="宋体" w:eastAsia="宋体"/>
                <w:sz w:val="16"/>
              </w:rPr>
              <w:t>243.00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58870">
            <w:pPr>
              <w:jc w:val="center"/>
            </w:pPr>
            <w:r>
              <w:rPr>
                <w:rFonts w:ascii="宋体" w:hAnsi="宋体" w:eastAsia="宋体"/>
                <w:sz w:val="16"/>
              </w:rPr>
              <w:t>243.00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02B76">
            <w:pPr>
              <w:jc w:val="center"/>
            </w:pPr>
            <w:r>
              <w:rPr>
                <w:rFonts w:ascii="宋体" w:hAnsi="宋体" w:eastAsia="宋体"/>
                <w:sz w:val="16"/>
              </w:rPr>
              <w:t>206.00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9C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4FF39">
            <w:pPr>
              <w:jc w:val="center"/>
            </w:pPr>
            <w:r>
              <w:rPr>
                <w:rFonts w:ascii="宋体" w:hAnsi="宋体" w:eastAsia="宋体"/>
                <w:sz w:val="16"/>
              </w:rPr>
              <w:t>—</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075F5994">
            <w:pPr>
              <w:jc w:val="center"/>
            </w:pPr>
            <w:r>
              <w:rPr>
                <w:rFonts w:ascii="宋体" w:hAnsi="宋体" w:eastAsia="宋体"/>
                <w:sz w:val="16"/>
              </w:rPr>
              <w:t>—</w:t>
            </w:r>
          </w:p>
        </w:tc>
      </w:tr>
      <w:tr w14:paraId="2A43B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BFD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61F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758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F50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AC3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849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79225">
            <w:pPr>
              <w:jc w:val="center"/>
            </w:pPr>
            <w:r>
              <w:rPr>
                <w:rFonts w:ascii="宋体" w:hAnsi="宋体" w:eastAsia="宋体"/>
                <w:sz w:val="16"/>
              </w:rPr>
              <w:t>—</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60CD8505">
            <w:pPr>
              <w:jc w:val="center"/>
            </w:pPr>
            <w:r>
              <w:rPr>
                <w:rFonts w:ascii="宋体" w:hAnsi="宋体" w:eastAsia="宋体"/>
                <w:sz w:val="16"/>
              </w:rPr>
              <w:t>—</w:t>
            </w:r>
          </w:p>
        </w:tc>
      </w:tr>
      <w:tr w14:paraId="648F3A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89E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0247C">
            <w:pPr>
              <w:jc w:val="center"/>
            </w:pPr>
            <w:r>
              <w:rPr>
                <w:rFonts w:ascii="宋体" w:hAnsi="宋体" w:eastAsia="宋体"/>
                <w:sz w:val="16"/>
              </w:rPr>
              <w:t>预期目标</w:t>
            </w:r>
          </w:p>
        </w:tc>
        <w:tc>
          <w:tcPr>
            <w:tcW w:w="39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57E8E">
            <w:pPr>
              <w:jc w:val="center"/>
            </w:pPr>
            <w:r>
              <w:rPr>
                <w:rFonts w:ascii="宋体" w:hAnsi="宋体" w:eastAsia="宋体"/>
                <w:sz w:val="16"/>
              </w:rPr>
              <w:t>实际完成情况</w:t>
            </w:r>
          </w:p>
        </w:tc>
      </w:tr>
      <w:tr w14:paraId="5B1B2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1CB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7FAF4">
            <w:pPr>
              <w:jc w:val="both"/>
            </w:pPr>
            <w:r>
              <w:rPr>
                <w:rFonts w:ascii="宋体" w:hAnsi="宋体" w:eastAsia="宋体"/>
                <w:sz w:val="16"/>
              </w:rPr>
              <w:t>通过《关于下达2024年城乡抗震安居工程建设民生实施资金预算的通知》伊州财建</w:t>
            </w:r>
            <w:r>
              <w:rPr>
                <w:rFonts w:hint="eastAsia" w:ascii="宋体" w:hAnsi="宋体"/>
                <w:sz w:val="16"/>
                <w:lang w:eastAsia="zh-CN"/>
              </w:rPr>
              <w:t>〔2024〕81号</w:t>
            </w:r>
            <w:r>
              <w:rPr>
                <w:rFonts w:ascii="宋体" w:hAnsi="宋体" w:eastAsia="宋体"/>
                <w:sz w:val="16"/>
              </w:rPr>
              <w:t>，完成拆除及新建工作。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改善牧民生活环境，提供牧民住房保障，</w:t>
            </w:r>
            <w:r>
              <w:rPr>
                <w:rFonts w:hint="eastAsia" w:ascii="宋体" w:hAnsi="宋体"/>
                <w:sz w:val="16"/>
                <w:lang w:eastAsia="zh-CN"/>
              </w:rPr>
              <w:t>提高</w:t>
            </w:r>
            <w:r>
              <w:rPr>
                <w:rFonts w:ascii="宋体" w:hAnsi="宋体" w:eastAsia="宋体"/>
                <w:sz w:val="16"/>
              </w:rPr>
              <w:t>居民生活水平。</w:t>
            </w:r>
          </w:p>
        </w:tc>
        <w:tc>
          <w:tcPr>
            <w:tcW w:w="39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83827F">
            <w:pPr>
              <w:jc w:val="both"/>
            </w:pPr>
            <w:r>
              <w:rPr>
                <w:rFonts w:ascii="宋体" w:hAnsi="宋体" w:eastAsia="宋体"/>
                <w:sz w:val="16"/>
              </w:rPr>
              <w:t>建设16平方米轻钢结构牧民越冬放牧点生产用房61套，建设16平方米木结构牧民越冬放牧点生产用房20套，共81套。</w:t>
            </w:r>
          </w:p>
        </w:tc>
      </w:tr>
      <w:tr w14:paraId="252CB4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3FC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D2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441F">
            <w:pPr>
              <w:jc w:val="center"/>
            </w:pPr>
            <w:r>
              <w:rPr>
                <w:rFonts w:ascii="宋体" w:hAnsi="宋体" w:eastAsia="宋体"/>
                <w:sz w:val="16"/>
              </w:rPr>
              <w:t>二级指标</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7DCAF171">
            <w:pPr>
              <w:jc w:val="center"/>
            </w:pPr>
            <w:r>
              <w:rPr>
                <w:rFonts w:ascii="宋体" w:hAnsi="宋体" w:eastAsia="宋体"/>
                <w:sz w:val="16"/>
              </w:rPr>
              <w:t>三级指标</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59B4FE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36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65A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66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086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D6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77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5A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F7DE">
            <w:pPr>
              <w:jc w:val="center"/>
            </w:pPr>
            <w:r>
              <w:rPr>
                <w:rFonts w:ascii="宋体" w:hAnsi="宋体" w:eastAsia="宋体"/>
                <w:sz w:val="16"/>
              </w:rPr>
              <w:t>佐证资料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44352956">
            <w:pPr>
              <w:jc w:val="center"/>
            </w:pPr>
            <w:r>
              <w:rPr>
                <w:rFonts w:ascii="宋体" w:hAnsi="宋体" w:eastAsia="宋体"/>
                <w:sz w:val="16"/>
              </w:rPr>
              <w:t>偏差原因分析及改进措施</w:t>
            </w:r>
          </w:p>
        </w:tc>
      </w:tr>
      <w:tr w14:paraId="60F7D9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4B7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B4F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C1DD9">
            <w:pPr>
              <w:jc w:val="center"/>
            </w:pPr>
            <w:r>
              <w:rPr>
                <w:rFonts w:ascii="宋体" w:hAnsi="宋体" w:eastAsia="宋体"/>
                <w:sz w:val="16"/>
              </w:rPr>
              <w:t>数量指标</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2EBB381A">
            <w:pPr>
              <w:jc w:val="center"/>
            </w:pPr>
            <w:r>
              <w:rPr>
                <w:rFonts w:ascii="宋体" w:hAnsi="宋体" w:eastAsia="宋体"/>
                <w:sz w:val="16"/>
              </w:rPr>
              <w:t>新建放牧越冬户数</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AC257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163B">
            <w:pPr>
              <w:jc w:val="center"/>
            </w:pPr>
            <w:r>
              <w:rPr>
                <w:rFonts w:ascii="宋体" w:hAnsi="宋体" w:eastAsia="宋体"/>
                <w:sz w:val="16"/>
              </w:rPr>
              <w:t>=81户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D88C">
            <w:pPr>
              <w:jc w:val="center"/>
            </w:pPr>
            <w:r>
              <w:rPr>
                <w:rFonts w:ascii="宋体" w:hAnsi="宋体" w:eastAsia="宋体"/>
                <w:sz w:val="16"/>
              </w:rPr>
              <w:t>81户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8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E9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7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6D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1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7548">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6303EC95">
            <w:pPr>
              <w:jc w:val="center"/>
            </w:pPr>
          </w:p>
        </w:tc>
      </w:tr>
      <w:tr w14:paraId="11218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34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C5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7E3CC"/>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5EEE209">
            <w:pPr>
              <w:jc w:val="center"/>
            </w:pPr>
            <w:r>
              <w:rPr>
                <w:rFonts w:ascii="宋体" w:hAnsi="宋体" w:eastAsia="宋体"/>
                <w:sz w:val="16"/>
              </w:rPr>
              <w:t>城乡抗震安居工程建设民生</w:t>
            </w:r>
            <w:r>
              <w:rPr>
                <w:rFonts w:hint="eastAsia" w:ascii="宋体" w:hAnsi="宋体"/>
                <w:sz w:val="16"/>
                <w:lang w:eastAsia="zh-CN"/>
              </w:rPr>
              <w:t>实事</w:t>
            </w:r>
            <w:r>
              <w:rPr>
                <w:rFonts w:ascii="宋体" w:hAnsi="宋体" w:eastAsia="宋体"/>
                <w:sz w:val="16"/>
              </w:rPr>
              <w:t>涉及村数量</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F3D7E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B54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E22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5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D0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7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8C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4E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C3EB">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60A4B7E8">
            <w:pPr>
              <w:jc w:val="center"/>
            </w:pPr>
          </w:p>
        </w:tc>
      </w:tr>
      <w:tr w14:paraId="79048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77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2E6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D567D">
            <w:pPr>
              <w:jc w:val="center"/>
            </w:pPr>
            <w:r>
              <w:rPr>
                <w:rFonts w:ascii="宋体" w:hAnsi="宋体" w:eastAsia="宋体"/>
                <w:sz w:val="16"/>
              </w:rPr>
              <w:t>质量指标</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FEAFAA9">
            <w:pPr>
              <w:jc w:val="center"/>
            </w:pPr>
            <w:r>
              <w:rPr>
                <w:rFonts w:ascii="宋体" w:hAnsi="宋体" w:eastAsia="宋体"/>
                <w:sz w:val="16"/>
              </w:rPr>
              <w:t>竣工验收合格率</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28D801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D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2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8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A1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6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35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C4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6AEA">
            <w:pPr>
              <w:jc w:val="center"/>
            </w:pPr>
            <w:r>
              <w:rPr>
                <w:rFonts w:ascii="宋体" w:hAnsi="宋体" w:eastAsia="宋体"/>
                <w:sz w:val="16"/>
              </w:rPr>
              <w:t>原始凭证</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093C0D6E">
            <w:pPr>
              <w:jc w:val="center"/>
            </w:pPr>
          </w:p>
        </w:tc>
      </w:tr>
      <w:tr w14:paraId="71E29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40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B3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8F54D"/>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2C8C927">
            <w:pPr>
              <w:jc w:val="center"/>
            </w:pPr>
            <w:r>
              <w:rPr>
                <w:rFonts w:ascii="宋体" w:hAnsi="宋体" w:eastAsia="宋体"/>
                <w:sz w:val="16"/>
              </w:rPr>
              <w:t>城乡抗震安居工程完工率</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0330E7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B4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0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E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14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8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3B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0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DBB0">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795D859C">
            <w:pPr>
              <w:jc w:val="center"/>
            </w:pPr>
          </w:p>
        </w:tc>
      </w:tr>
      <w:tr w14:paraId="62DAB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BE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BAD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73F6">
            <w:pPr>
              <w:jc w:val="center"/>
            </w:pPr>
            <w:r>
              <w:rPr>
                <w:rFonts w:ascii="宋体" w:hAnsi="宋体" w:eastAsia="宋体"/>
                <w:sz w:val="16"/>
              </w:rPr>
              <w:t>时效指标</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34624F5D">
            <w:pPr>
              <w:jc w:val="center"/>
            </w:pPr>
            <w:r>
              <w:rPr>
                <w:rFonts w:ascii="宋体" w:hAnsi="宋体" w:eastAsia="宋体"/>
                <w:sz w:val="16"/>
              </w:rPr>
              <w:t>工作任务完成时限</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0339C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C696">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1FEF">
            <w:pPr>
              <w:jc w:val="center"/>
            </w:pPr>
            <w:r>
              <w:rPr>
                <w:rFonts w:ascii="宋体" w:hAnsi="宋体" w:eastAsia="宋体"/>
                <w:sz w:val="16"/>
              </w:rPr>
              <w:t>2024年10月18日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5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54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2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5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B2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54F8">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5E2BE244">
            <w:pPr>
              <w:jc w:val="center"/>
            </w:pPr>
          </w:p>
        </w:tc>
      </w:tr>
      <w:tr w14:paraId="291707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9F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65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8F1D">
            <w:pPr>
              <w:jc w:val="center"/>
            </w:pPr>
            <w:r>
              <w:rPr>
                <w:rFonts w:ascii="宋体" w:hAnsi="宋体" w:eastAsia="宋体"/>
                <w:sz w:val="16"/>
              </w:rPr>
              <w:t>经济成本指标</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99D552A">
            <w:pPr>
              <w:jc w:val="center"/>
            </w:pPr>
            <w:r>
              <w:rPr>
                <w:rFonts w:ascii="宋体" w:hAnsi="宋体" w:eastAsia="宋体"/>
                <w:sz w:val="16"/>
              </w:rPr>
              <w:t>新建放牧越冬平均标准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358AE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87DA">
            <w:pPr>
              <w:jc w:val="center"/>
            </w:pPr>
            <w:r>
              <w:rPr>
                <w:rFonts w:ascii="宋体" w:hAnsi="宋体" w:eastAsia="宋体"/>
                <w:sz w:val="16"/>
              </w:rPr>
              <w:t>&lt;=3万元/户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0ED1">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494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BF8D">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4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7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1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B162">
            <w:pPr>
              <w:jc w:val="center"/>
            </w:pPr>
            <w:r>
              <w:rPr>
                <w:rFonts w:ascii="宋体" w:hAnsi="宋体" w:eastAsia="宋体"/>
                <w:sz w:val="16"/>
              </w:rPr>
              <w:t>原始凭证</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732B6612">
            <w:pPr>
              <w:jc w:val="center"/>
            </w:pPr>
            <w:r>
              <w:rPr>
                <w:rFonts w:ascii="宋体" w:hAnsi="宋体" w:eastAsia="宋体"/>
                <w:sz w:val="16"/>
              </w:rPr>
              <w:t>原因是按合同要求验收后给85%为2.5万元，等结算完之后给剩下的15%0.5万元</w:t>
            </w:r>
          </w:p>
        </w:tc>
      </w:tr>
      <w:tr w14:paraId="7FCE7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6C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DC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7150">
            <w:pPr>
              <w:jc w:val="center"/>
            </w:pPr>
            <w:r>
              <w:rPr>
                <w:rFonts w:ascii="宋体" w:hAnsi="宋体" w:eastAsia="宋体"/>
                <w:sz w:val="16"/>
              </w:rPr>
              <w:t>社会效益指标</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85295CC">
            <w:pPr>
              <w:jc w:val="center"/>
            </w:pPr>
            <w:r>
              <w:rPr>
                <w:rFonts w:ascii="宋体" w:hAnsi="宋体" w:eastAsia="宋体"/>
                <w:sz w:val="16"/>
              </w:rPr>
              <w:t>城乡抗震安居工程建设房屋安全隐患排查整治成果</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725853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A5B8">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FDF3">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9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6A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1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4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A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2B08">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3ABC6596">
            <w:pPr>
              <w:jc w:val="center"/>
            </w:pPr>
          </w:p>
        </w:tc>
      </w:tr>
      <w:tr w14:paraId="47C3B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4D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96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B0E6">
            <w:pPr>
              <w:jc w:val="center"/>
            </w:pPr>
            <w:r>
              <w:rPr>
                <w:rFonts w:ascii="宋体" w:hAnsi="宋体" w:eastAsia="宋体"/>
                <w:sz w:val="16"/>
              </w:rPr>
              <w:t>满意度指标</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66B10C66">
            <w:pPr>
              <w:jc w:val="center"/>
            </w:pPr>
            <w:r>
              <w:rPr>
                <w:rFonts w:ascii="宋体" w:hAnsi="宋体" w:eastAsia="宋体"/>
                <w:sz w:val="16"/>
              </w:rPr>
              <w:t>服务对象满意度</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702FE4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59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F6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2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72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44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3C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2D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B79A">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322A7182">
            <w:pPr>
              <w:jc w:val="center"/>
            </w:pPr>
          </w:p>
        </w:tc>
      </w:tr>
      <w:tr w14:paraId="256D53AD">
        <w:tblPrEx>
          <w:tblCellMar>
            <w:top w:w="0" w:type="dxa"/>
            <w:left w:w="108" w:type="dxa"/>
            <w:bottom w:w="0" w:type="dxa"/>
            <w:right w:w="108" w:type="dxa"/>
          </w:tblCellMar>
        </w:tblPrEx>
        <w:tc>
          <w:tcPr>
            <w:tcW w:w="263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AEA18E">
            <w:pPr>
              <w:jc w:val="center"/>
            </w:pPr>
            <w:r>
              <w:rPr>
                <w:rFonts w:ascii="宋体" w:hAnsi="宋体" w:eastAsia="宋体"/>
                <w:sz w:val="16"/>
              </w:rPr>
              <w:t>总分</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3F3C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03A8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07BE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CC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35AF">
            <w:pPr>
              <w:jc w:val="center"/>
            </w:pPr>
            <w:r>
              <w:rPr>
                <w:rFonts w:ascii="宋体" w:hAnsi="宋体" w:eastAsia="宋体"/>
                <w:sz w:val="16"/>
              </w:rPr>
              <w:t>93.19分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754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D7B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8F09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5AA9B"/>
        </w:tc>
        <w:tc>
          <w:tcPr>
            <w:tcW w:w="791" w:type="dxa"/>
            <w:tcBorders>
              <w:top w:val="single" w:color="auto" w:sz="10" w:space="0"/>
              <w:left w:val="single" w:color="auto" w:sz="10" w:space="0"/>
              <w:bottom w:val="single" w:color="auto" w:sz="10" w:space="0"/>
              <w:right w:val="single" w:color="auto" w:sz="10" w:space="0"/>
              <w:insideV w:val="single" w:sz="10" w:space="0"/>
            </w:tcBorders>
          </w:tcPr>
          <w:p w14:paraId="41EEA51D"/>
        </w:tc>
      </w:tr>
    </w:tbl>
    <w:p w14:paraId="40E09841">
      <w:r>
        <w:br w:type="page"/>
      </w:r>
    </w:p>
    <w:p w14:paraId="258A7A8C">
      <w:pPr>
        <w:spacing w:line="640" w:lineRule="exact"/>
        <w:ind w:firstLine="640"/>
        <w:jc w:val="both"/>
        <w:outlineLvl w:val="2"/>
      </w:pPr>
      <w:r>
        <w:rPr>
          <w:rFonts w:ascii="黑体" w:hAnsi="黑体" w:eastAsia="黑体"/>
          <w:sz w:val="32"/>
        </w:rPr>
        <w:t>十二、其他需说明的事项</w:t>
      </w:r>
    </w:p>
    <w:p w14:paraId="2127A85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0A28443">
      <w:r>
        <w:br w:type="page"/>
      </w:r>
    </w:p>
    <w:p w14:paraId="34F0CD1A">
      <w:pPr>
        <w:spacing w:line="240" w:lineRule="auto"/>
        <w:jc w:val="center"/>
        <w:outlineLvl w:val="1"/>
      </w:pPr>
      <w:r>
        <w:rPr>
          <w:rFonts w:ascii="黑体" w:hAnsi="黑体" w:eastAsia="黑体"/>
          <w:sz w:val="32"/>
        </w:rPr>
        <w:t>第三部分 专业名词解释</w:t>
      </w:r>
    </w:p>
    <w:p w14:paraId="54B3702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40CFA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5424BB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FBC672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B86EE19">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B33BC2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FCBD66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9DBD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D4F93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A2BF50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13FB77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4F8816EA">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197F21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4FFD87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F0050DF">
      <w:r>
        <w:br w:type="page"/>
      </w:r>
    </w:p>
    <w:p w14:paraId="08C5A4AE">
      <w:pPr>
        <w:spacing w:line="240" w:lineRule="auto"/>
        <w:jc w:val="center"/>
        <w:outlineLvl w:val="1"/>
      </w:pPr>
      <w:r>
        <w:rPr>
          <w:rFonts w:ascii="黑体" w:hAnsi="黑体" w:eastAsia="黑体"/>
          <w:sz w:val="32"/>
        </w:rPr>
        <w:t>第四部分 部门决算报表（见附表）</w:t>
      </w:r>
    </w:p>
    <w:p w14:paraId="19D0EA66">
      <w:pPr>
        <w:spacing w:line="240" w:lineRule="auto"/>
        <w:ind w:firstLine="640"/>
        <w:jc w:val="both"/>
      </w:pPr>
      <w:r>
        <w:rPr>
          <w:rFonts w:ascii="仿宋_GB2312" w:hAnsi="仿宋_GB2312" w:eastAsia="仿宋_GB2312"/>
          <w:b w:val="0"/>
          <w:sz w:val="32"/>
        </w:rPr>
        <w:t>一、《收入支出决算总表》</w:t>
      </w:r>
    </w:p>
    <w:p w14:paraId="47D59940">
      <w:pPr>
        <w:spacing w:line="240" w:lineRule="auto"/>
        <w:ind w:firstLine="640"/>
        <w:jc w:val="both"/>
      </w:pPr>
      <w:r>
        <w:rPr>
          <w:rFonts w:ascii="仿宋_GB2312" w:hAnsi="仿宋_GB2312" w:eastAsia="仿宋_GB2312"/>
          <w:b w:val="0"/>
          <w:sz w:val="32"/>
        </w:rPr>
        <w:t>二、《收入决算表》</w:t>
      </w:r>
    </w:p>
    <w:p w14:paraId="44B1E3A6">
      <w:pPr>
        <w:spacing w:line="240" w:lineRule="auto"/>
        <w:ind w:firstLine="640"/>
        <w:jc w:val="both"/>
      </w:pPr>
      <w:r>
        <w:rPr>
          <w:rFonts w:ascii="仿宋_GB2312" w:hAnsi="仿宋_GB2312" w:eastAsia="仿宋_GB2312"/>
          <w:b w:val="0"/>
          <w:sz w:val="32"/>
        </w:rPr>
        <w:t>三、《支出决算表》</w:t>
      </w:r>
    </w:p>
    <w:p w14:paraId="64682162">
      <w:pPr>
        <w:spacing w:line="240" w:lineRule="auto"/>
        <w:ind w:firstLine="640"/>
        <w:jc w:val="both"/>
      </w:pPr>
      <w:r>
        <w:rPr>
          <w:rFonts w:ascii="仿宋_GB2312" w:hAnsi="仿宋_GB2312" w:eastAsia="仿宋_GB2312"/>
          <w:b w:val="0"/>
          <w:sz w:val="32"/>
        </w:rPr>
        <w:t>四、《财政拨款收入支出决算总表》</w:t>
      </w:r>
    </w:p>
    <w:p w14:paraId="65876852">
      <w:pPr>
        <w:spacing w:line="240" w:lineRule="auto"/>
        <w:ind w:firstLine="640"/>
        <w:jc w:val="both"/>
      </w:pPr>
      <w:r>
        <w:rPr>
          <w:rFonts w:ascii="仿宋_GB2312" w:hAnsi="仿宋_GB2312" w:eastAsia="仿宋_GB2312"/>
          <w:b w:val="0"/>
          <w:sz w:val="32"/>
        </w:rPr>
        <w:t>五、《一般公共预算财政拨款支出决算表》</w:t>
      </w:r>
    </w:p>
    <w:p w14:paraId="170F5596">
      <w:pPr>
        <w:spacing w:line="240" w:lineRule="auto"/>
        <w:ind w:firstLine="640"/>
        <w:jc w:val="both"/>
      </w:pPr>
      <w:r>
        <w:rPr>
          <w:rFonts w:ascii="仿宋_GB2312" w:hAnsi="仿宋_GB2312" w:eastAsia="仿宋_GB2312"/>
          <w:b w:val="0"/>
          <w:sz w:val="32"/>
        </w:rPr>
        <w:t>六、《一般公共预算财政拨款基本支出决算表》</w:t>
      </w:r>
    </w:p>
    <w:p w14:paraId="0B1A6934">
      <w:pPr>
        <w:spacing w:line="240" w:lineRule="auto"/>
        <w:ind w:firstLine="640"/>
        <w:jc w:val="both"/>
      </w:pPr>
      <w:r>
        <w:rPr>
          <w:rFonts w:ascii="仿宋_GB2312" w:hAnsi="仿宋_GB2312" w:eastAsia="仿宋_GB2312"/>
          <w:b w:val="0"/>
          <w:sz w:val="32"/>
        </w:rPr>
        <w:t>七、《政府性基金预算财政拨款收入支出决算表》</w:t>
      </w:r>
    </w:p>
    <w:p w14:paraId="5F9525C2">
      <w:pPr>
        <w:spacing w:line="240" w:lineRule="auto"/>
        <w:ind w:firstLine="640"/>
        <w:jc w:val="both"/>
      </w:pPr>
      <w:r>
        <w:rPr>
          <w:rFonts w:ascii="仿宋_GB2312" w:hAnsi="仿宋_GB2312" w:eastAsia="仿宋_GB2312"/>
          <w:b w:val="0"/>
          <w:sz w:val="32"/>
        </w:rPr>
        <w:t>八、《国有资本经营预算财政拨款收入支出决算表》</w:t>
      </w:r>
    </w:p>
    <w:p w14:paraId="7EED355E">
      <w:pPr>
        <w:spacing w:line="240" w:lineRule="auto"/>
        <w:ind w:firstLine="640"/>
        <w:jc w:val="both"/>
      </w:pPr>
      <w:r>
        <w:rPr>
          <w:rFonts w:ascii="仿宋_GB2312" w:hAnsi="仿宋_GB2312" w:eastAsia="仿宋_GB2312"/>
          <w:b w:val="0"/>
          <w:sz w:val="32"/>
        </w:rPr>
        <w:t>九、《财政拨款“三公”经费支出决算表》</w:t>
      </w:r>
    </w:p>
    <w:p w14:paraId="40642940">
      <w:pPr>
        <w:spacing w:line="240" w:lineRule="auto"/>
        <w:ind w:firstLine="640"/>
        <w:jc w:val="both"/>
      </w:pPr>
    </w:p>
    <w:p w14:paraId="5872678E">
      <w:pPr>
        <w:spacing w:line="240" w:lineRule="auto"/>
        <w:ind w:firstLine="640"/>
        <w:jc w:val="both"/>
      </w:pPr>
    </w:p>
    <w:p w14:paraId="03440621">
      <w:pPr>
        <w:spacing w:line="240" w:lineRule="auto"/>
        <w:ind w:firstLine="640"/>
        <w:jc w:val="both"/>
      </w:pPr>
    </w:p>
    <w:p w14:paraId="6FE7B858">
      <w:pPr>
        <w:spacing w:line="240" w:lineRule="auto"/>
        <w:ind w:firstLine="640"/>
        <w:jc w:val="both"/>
      </w:pPr>
    </w:p>
    <w:p w14:paraId="6826D96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5FA5EB-AB5D-45A3-AEDC-08E356C336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22BDE30-C38C-44DD-98E9-C1CA4828FC58}"/>
  </w:font>
  <w:font w:name="仿宋_GB2312">
    <w:panose1 w:val="02010609030101010101"/>
    <w:charset w:val="86"/>
    <w:family w:val="modern"/>
    <w:pitch w:val="default"/>
    <w:sig w:usb0="00000001" w:usb1="080E0000" w:usb2="00000000" w:usb3="00000000" w:csb0="00040000" w:csb1="00000000"/>
    <w:embedRegular r:id="rId3" w:fontKey="{4A522A4C-380E-4850-99BD-C93900ABCB1E}"/>
  </w:font>
  <w:font w:name="楷体_GB2312">
    <w:panose1 w:val="02010609030101010101"/>
    <w:charset w:val="86"/>
    <w:family w:val="auto"/>
    <w:pitch w:val="default"/>
    <w:sig w:usb0="00000001" w:usb1="080E0000" w:usb2="00000000" w:usb3="00000000" w:csb0="00040000" w:csb1="00000000"/>
    <w:embedRegular r:id="rId4" w:fontKey="{6CAC1F95-4F40-4874-BC8E-7B5E015F9227}"/>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1705A"/>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65722F"/>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154C0"/>
    <w:rsid w:val="31C63837"/>
    <w:rsid w:val="326F0A17"/>
    <w:rsid w:val="3277581B"/>
    <w:rsid w:val="38006E2C"/>
    <w:rsid w:val="3914510A"/>
    <w:rsid w:val="3B1220C9"/>
    <w:rsid w:val="3CE753A4"/>
    <w:rsid w:val="3D5275AC"/>
    <w:rsid w:val="3EA7725F"/>
    <w:rsid w:val="3EC014A1"/>
    <w:rsid w:val="40834692"/>
    <w:rsid w:val="423A32B2"/>
    <w:rsid w:val="423C0CB4"/>
    <w:rsid w:val="427B5743"/>
    <w:rsid w:val="42E64542"/>
    <w:rsid w:val="43EB35ED"/>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E848C6"/>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9419</Words>
  <Characters>10735</Characters>
  <Lines>0</Lines>
  <Paragraphs>0</Paragraphs>
  <TotalTime>10</TotalTime>
  <ScaleCrop>false</ScaleCrop>
  <LinksUpToDate>false</LinksUpToDate>
  <CharactersWithSpaces>10743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