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3272D"/>
    <w:p w14:paraId="666CE751">
      <w:pPr>
        <w:spacing w:line="540" w:lineRule="exact"/>
        <w:jc w:val="center"/>
        <w:rPr>
          <w:rFonts w:hint="default" w:ascii="Times New Roman" w:hAnsi="Times New Roman" w:eastAsia="华文中宋" w:cs="Times New Roman"/>
          <w:b/>
          <w:kern w:val="0"/>
          <w:sz w:val="52"/>
          <w:szCs w:val="52"/>
        </w:rPr>
      </w:pPr>
    </w:p>
    <w:p w14:paraId="5B6F14CC">
      <w:pPr>
        <w:spacing w:line="540" w:lineRule="exact"/>
        <w:rPr>
          <w:rFonts w:hint="default" w:ascii="Times New Roman" w:hAnsi="Times New Roman" w:eastAsia="华文中宋" w:cs="Times New Roman"/>
          <w:b/>
          <w:kern w:val="0"/>
          <w:sz w:val="52"/>
          <w:szCs w:val="52"/>
        </w:rPr>
      </w:pPr>
    </w:p>
    <w:p w14:paraId="6414B9B5">
      <w:pPr>
        <w:spacing w:line="540" w:lineRule="exact"/>
        <w:jc w:val="center"/>
        <w:rPr>
          <w:rFonts w:hint="default" w:ascii="Times New Roman" w:hAnsi="Times New Roman" w:eastAsia="华文中宋" w:cs="Times New Roman"/>
          <w:b/>
          <w:kern w:val="0"/>
          <w:sz w:val="52"/>
          <w:szCs w:val="52"/>
        </w:rPr>
      </w:pPr>
    </w:p>
    <w:p w14:paraId="533C471C">
      <w:pPr>
        <w:spacing w:line="540" w:lineRule="exact"/>
        <w:jc w:val="center"/>
        <w:rPr>
          <w:rFonts w:hint="default" w:ascii="Times New Roman" w:hAnsi="Times New Roman" w:eastAsia="华文中宋" w:cs="Times New Roman"/>
          <w:b/>
          <w:kern w:val="0"/>
          <w:sz w:val="52"/>
          <w:szCs w:val="52"/>
        </w:rPr>
      </w:pPr>
    </w:p>
    <w:p w14:paraId="73CBCCF7">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伊犁州特克斯县喀拉达拉镇牧民越冬放牧点生产用房（居住）建设项目支出绩效评价报告</w:t>
      </w:r>
    </w:p>
    <w:p w14:paraId="6C6FBB43">
      <w:pPr>
        <w:spacing w:line="540" w:lineRule="exact"/>
        <w:jc w:val="center"/>
        <w:rPr>
          <w:rFonts w:hint="default" w:ascii="Times New Roman" w:hAnsi="Times New Roman" w:eastAsia="华文中宋" w:cs="Times New Roman"/>
          <w:b/>
          <w:kern w:val="0"/>
          <w:sz w:val="52"/>
          <w:szCs w:val="52"/>
        </w:rPr>
      </w:pPr>
    </w:p>
    <w:p w14:paraId="64298D41">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10E59B95">
      <w:pPr>
        <w:spacing w:line="540" w:lineRule="exact"/>
        <w:jc w:val="center"/>
        <w:rPr>
          <w:rFonts w:hint="default" w:ascii="Times New Roman" w:hAnsi="Times New Roman" w:eastAsia="仿宋_GB2312" w:cs="Times New Roman"/>
          <w:kern w:val="0"/>
          <w:sz w:val="32"/>
          <w:szCs w:val="32"/>
        </w:rPr>
      </w:pPr>
    </w:p>
    <w:p w14:paraId="2E9DD579">
      <w:pPr>
        <w:spacing w:line="540" w:lineRule="exact"/>
        <w:jc w:val="both"/>
        <w:rPr>
          <w:rFonts w:hint="default" w:ascii="Times New Roman" w:hAnsi="Times New Roman" w:eastAsia="仿宋_GB2312" w:cs="Times New Roman"/>
          <w:kern w:val="0"/>
          <w:sz w:val="32"/>
          <w:szCs w:val="32"/>
        </w:rPr>
      </w:pPr>
    </w:p>
    <w:p w14:paraId="68FCCA49">
      <w:pPr>
        <w:pStyle w:val="11"/>
        <w:rPr>
          <w:rFonts w:hint="default" w:ascii="Times New Roman" w:hAnsi="Times New Roman" w:cs="Times New Roman"/>
          <w:sz w:val="32"/>
          <w:szCs w:val="32"/>
        </w:rPr>
      </w:pPr>
    </w:p>
    <w:p w14:paraId="691610FA">
      <w:pPr>
        <w:spacing w:line="540" w:lineRule="exact"/>
        <w:jc w:val="center"/>
        <w:rPr>
          <w:rFonts w:hint="default" w:ascii="Times New Roman" w:hAnsi="Times New Roman" w:eastAsia="仿宋_GB2312" w:cs="Times New Roman"/>
          <w:kern w:val="0"/>
          <w:sz w:val="32"/>
          <w:szCs w:val="32"/>
        </w:rPr>
      </w:pPr>
    </w:p>
    <w:p w14:paraId="25589DE5">
      <w:pPr>
        <w:spacing w:line="540" w:lineRule="exact"/>
        <w:rPr>
          <w:rFonts w:hint="default" w:ascii="Times New Roman" w:hAnsi="Times New Roman" w:eastAsia="仿宋_GB2312" w:cs="Times New Roman"/>
          <w:kern w:val="0"/>
          <w:sz w:val="32"/>
          <w:szCs w:val="32"/>
        </w:rPr>
      </w:pPr>
    </w:p>
    <w:p w14:paraId="09142E3D">
      <w:pPr>
        <w:spacing w:line="700" w:lineRule="exact"/>
        <w:ind w:left="2238" w:leftChars="304" w:hanging="1600" w:hangingChars="5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项目名称：伊犁州特克斯县喀拉达拉镇牧民越冬放牧点生产用房（居住）建设项目</w:t>
      </w:r>
    </w:p>
    <w:p w14:paraId="74227E40">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w:t>
      </w:r>
      <w:r>
        <w:rPr>
          <w:rFonts w:hint="eastAsia" w:ascii="Times New Roman" w:hAnsi="Times New Roman" w:eastAsia="仿宋_GB2312" w:cs="Times New Roman"/>
          <w:kern w:val="0"/>
          <w:sz w:val="32"/>
          <w:szCs w:val="32"/>
          <w:lang w:val="en-US" w:eastAsia="zh-CN"/>
        </w:rPr>
        <w:t>特克斯县喀拉达拉镇人民政府</w:t>
      </w:r>
    </w:p>
    <w:p w14:paraId="74ACBB47">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default" w:ascii="Times New Roman" w:hAnsi="Times New Roman" w:eastAsia="仿宋_GB2312" w:cs="Times New Roman"/>
          <w:kern w:val="0"/>
          <w:sz w:val="32"/>
          <w:szCs w:val="32"/>
          <w:lang w:val="en-US" w:eastAsia="zh-CN"/>
        </w:rPr>
        <w:t>特克斯县住房和城乡建设局</w:t>
      </w:r>
    </w:p>
    <w:p w14:paraId="006DB4F8">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项目负责人（签章）：</w:t>
      </w:r>
      <w:r>
        <w:rPr>
          <w:rFonts w:hint="eastAsia" w:ascii="Times New Roman" w:hAnsi="Times New Roman" w:eastAsia="仿宋_GB2312" w:cs="Times New Roman"/>
          <w:kern w:val="0"/>
          <w:sz w:val="32"/>
          <w:szCs w:val="32"/>
          <w:lang w:val="en-US" w:eastAsia="zh-CN"/>
        </w:rPr>
        <w:t>娄振勇</w:t>
      </w:r>
    </w:p>
    <w:p w14:paraId="354B8556">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21</w:t>
      </w:r>
      <w:r>
        <w:rPr>
          <w:rFonts w:hint="default" w:ascii="Times New Roman" w:hAnsi="Times New Roman" w:eastAsia="仿宋_GB2312" w:cs="Times New Roman"/>
          <w:kern w:val="0"/>
          <w:sz w:val="32"/>
          <w:szCs w:val="32"/>
        </w:rPr>
        <w:t>日</w:t>
      </w:r>
    </w:p>
    <w:p w14:paraId="60C828DA">
      <w:pPr>
        <w:spacing w:line="540" w:lineRule="exact"/>
        <w:jc w:val="center"/>
        <w:rPr>
          <w:rFonts w:hint="default" w:ascii="Times New Roman" w:hAnsi="Times New Roman" w:eastAsia="仿宋_GB2312" w:cs="Times New Roman"/>
          <w:kern w:val="0"/>
          <w:sz w:val="30"/>
          <w:szCs w:val="30"/>
        </w:rPr>
      </w:pPr>
    </w:p>
    <w:p w14:paraId="6265314D">
      <w:pP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br w:type="page"/>
      </w:r>
    </w:p>
    <w:p w14:paraId="22931B38">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5312EAB">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7E6AB1B3">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550A3D27">
      <w:pPr>
        <w:pStyle w:val="11"/>
        <w:numPr>
          <w:ilvl w:val="0"/>
          <w:numId w:val="0"/>
        </w:numPr>
        <w:spacing w:before="0" w:after="0" w:line="560" w:lineRule="exact"/>
        <w:ind w:firstLine="640" w:firstLineChars="200"/>
        <w:jc w:val="both"/>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为认真贯彻落实自治区、自治州、县委2024年“十件民生实事”工作要求，坚持“人民至上、生命至上”，及时消除牧民越冬放牧点生产用房(居住)安全隐患，保障我镇各族农牧民群众的生命财产安全。依据：《关于申请特克斯县喀拉达拉镇牧民越冬放牧点生产用房（居住）建设项目拨付工程款的报告》《关于下达2024年城乡抗震安居工程建设民生实施资金预算的通知》伊州财建【2024】81号。</w:t>
      </w:r>
    </w:p>
    <w:p w14:paraId="7F21FDB7">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2CE145C8">
      <w:pPr>
        <w:spacing w:line="560" w:lineRule="exact"/>
        <w:ind w:firstLine="60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sz w:val="32"/>
          <w:szCs w:val="32"/>
          <w:lang w:val="en-US" w:eastAsia="zh-CN"/>
        </w:rPr>
        <w:t>项目占地面积1296平方米，建设16平方米轻钢结构牧民越冬放牧点生产用房61套及其附属设施</w:t>
      </w:r>
      <w:r>
        <w:rPr>
          <w:rFonts w:hint="default" w:ascii="Times New Roman" w:hAnsi="Times New Roman" w:eastAsia="仿宋_GB2312" w:cs="Times New Roman"/>
          <w:sz w:val="32"/>
          <w:szCs w:val="32"/>
          <w:lang w:eastAsia="zh-CN"/>
        </w:rPr>
        <w:t>。</w:t>
      </w:r>
    </w:p>
    <w:p w14:paraId="2FF70034">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eastAsia="仿宋_GB2312"/>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14:paraId="1F883BED">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77996F0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0459AA4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243</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243</w:t>
      </w:r>
      <w:r>
        <w:rPr>
          <w:rFonts w:hint="default" w:ascii="Times New Roman" w:hAnsi="Times New Roman" w:eastAsia="仿宋_GB2312" w:cs="Times New Roman"/>
          <w:color w:val="auto"/>
          <w:sz w:val="32"/>
          <w:szCs w:val="32"/>
          <w:highlight w:val="none"/>
          <w:lang w:val="en-US" w:eastAsia="zh-CN"/>
        </w:rPr>
        <w:t>万元，该项目资金已全部落实到位，资金来源为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w:t>
      </w:r>
    </w:p>
    <w:p w14:paraId="7AD6CC8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14:paraId="52C424D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243</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243</w:t>
      </w:r>
      <w:r>
        <w:rPr>
          <w:rFonts w:hint="default"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206</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84.77</w:t>
      </w:r>
      <w:r>
        <w:rPr>
          <w:rFonts w:hint="default" w:ascii="Times New Roman" w:hAnsi="Times New Roman" w:eastAsia="仿宋_GB2312" w:cs="Times New Roman"/>
          <w:color w:val="auto"/>
          <w:sz w:val="32"/>
          <w:szCs w:val="32"/>
          <w:highlight w:val="none"/>
          <w:lang w:val="en-US" w:eastAsia="zh-CN"/>
        </w:rPr>
        <w:t>%，主要用</w:t>
      </w:r>
      <w:r>
        <w:rPr>
          <w:rFonts w:hint="default" w:ascii="Times New Roman" w:hAnsi="Times New Roman" w:eastAsia="仿宋_GB2312" w:cs="Times New Roman"/>
          <w:sz w:val="32"/>
          <w:szCs w:val="32"/>
          <w:highlight w:val="none"/>
          <w:lang w:val="en-US" w:eastAsia="zh-CN"/>
        </w:rPr>
        <w:t>于：</w:t>
      </w:r>
      <w:r>
        <w:rPr>
          <w:rFonts w:hint="eastAsia" w:ascii="仿宋_GB2312" w:hAnsi="仿宋_GB2312" w:eastAsia="仿宋_GB2312" w:cs="仿宋_GB2312"/>
          <w:sz w:val="32"/>
          <w:szCs w:val="32"/>
          <w:lang w:val="en-US" w:eastAsia="zh-CN"/>
        </w:rPr>
        <w:t>一套用于3万元共八十一套243万元</w:t>
      </w:r>
      <w:r>
        <w:rPr>
          <w:rFonts w:hint="eastAsia" w:ascii="仿宋_GB2312" w:hAnsi="仿宋_GB2312" w:eastAsia="仿宋_GB2312" w:cs="仿宋_GB2312"/>
          <w:sz w:val="32"/>
          <w:szCs w:val="32"/>
        </w:rPr>
        <w:t>。</w:t>
      </w:r>
    </w:p>
    <w:p w14:paraId="29D12474">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058E5708">
      <w:pPr>
        <w:spacing w:line="560" w:lineRule="exact"/>
        <w:ind w:firstLine="640" w:firstLineChars="200"/>
        <w:rPr>
          <w:rFonts w:hint="default" w:ascii="Times New Roman" w:hAnsi="Times New Roman" w:eastAsia="仿宋_GB2312" w:cs="Times New Roman"/>
          <w:sz w:val="32"/>
          <w:szCs w:val="32"/>
        </w:rPr>
      </w:pPr>
      <w:bookmarkStart w:id="0" w:name="OLE_LINK10"/>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08D2AC25">
      <w:pPr>
        <w:spacing w:line="560" w:lineRule="exact"/>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通过《关于下达2024年城乡抗震安居工程建设民生实施资金预算的通知》伊州财建【2024】81号，完成拆除及新建工作。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改善牧民生活环境，提供牧民住房保障，提供居民生活水平。</w:t>
      </w:r>
    </w:p>
    <w:p w14:paraId="35D5395F">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14:paraId="7E29F692">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2024年9月1日至9月15日完成项目前期手续；</w:t>
      </w:r>
    </w:p>
    <w:p w14:paraId="1F24925C">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2024年9月30日开工建设：</w:t>
      </w:r>
    </w:p>
    <w:p w14:paraId="51C3AF4C">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2024年11月30日前完成项目竣工验收：</w:t>
      </w:r>
    </w:p>
    <w:p w14:paraId="365BE99C">
      <w:pPr>
        <w:spacing w:line="560" w:lineRule="exact"/>
        <w:ind w:firstLine="640" w:firstLineChars="200"/>
        <w:rPr>
          <w:rFonts w:hint="default" w:ascii="Times New Roman" w:hAnsi="Times New Roman" w:eastAsia="黑体" w:cs="Times New Roman"/>
          <w:b w:val="0"/>
          <w:bCs/>
          <w:lang w:eastAsia="zh-CN"/>
        </w:rPr>
      </w:pPr>
      <w:r>
        <w:rPr>
          <w:rFonts w:hint="eastAsia" w:eastAsia="仿宋_GB2312"/>
          <w:sz w:val="32"/>
          <w:szCs w:val="32"/>
          <w:lang w:val="en-US" w:eastAsia="zh-CN"/>
        </w:rPr>
        <w:t>2025年5月完成项目绩效自评工作。</w:t>
      </w:r>
      <w:bookmarkEnd w:id="0"/>
    </w:p>
    <w:p w14:paraId="3783FD58">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1D6420F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35FEC01D">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41849BD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1128C9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p>
    <w:p w14:paraId="413E565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1008AAF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4C390825">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B13D5E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2AA6C1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691A88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通过对项目预算执行情况及各项绩效目标达成程度的系统性分析，全面、客观地评估项目在预定周期内的实施效果，包括社会效益等维度指标，为项目后续的改进与优化提供科学依据。</w:t>
      </w:r>
    </w:p>
    <w:p w14:paraId="75A713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56986D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663A9B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30CDD0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3A2E3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066F57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6844E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6DC326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0A4901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3F6E80A">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07C35DCB">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本项目预算绩效评价报告的评价对象是伊犁州特克斯县喀拉达拉镇牧民越冬放牧点生产用房（居住）建设项目及其预算执行情况。该项目由</w:t>
      </w:r>
      <w:r>
        <w:rPr>
          <w:rFonts w:hint="eastAsia" w:ascii="Times New Roman" w:hAnsi="Times New Roman" w:eastAsia="仿宋_GB2312" w:cs="Times New Roman"/>
          <w:b w:val="0"/>
          <w:bCs w:val="0"/>
          <w:highlight w:val="none"/>
          <w:lang w:val="en-US" w:eastAsia="zh-CN"/>
        </w:rPr>
        <w:t>特克斯县喀拉达拉镇人民政府</w:t>
      </w:r>
      <w:r>
        <w:rPr>
          <w:rFonts w:hint="default" w:ascii="Times New Roman" w:hAnsi="Times New Roman" w:eastAsia="仿宋_GB2312" w:cs="Times New Roman"/>
          <w:b w:val="0"/>
          <w:bCs w:val="0"/>
          <w:highlight w:val="none"/>
        </w:rPr>
        <w:t>负责实施，旨在通过完成拆除及新建工作</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改善牧民生活环境，提供牧民住房保障，提供居民生活水平。项目预算涵盖从</w:t>
      </w:r>
      <w:r>
        <w:rPr>
          <w:rFonts w:hint="eastAsia" w:ascii="Times New Roman" w:hAnsi="Times New Roman" w:eastAsia="仿宋_GB2312" w:cs="Times New Roman"/>
          <w:b w:val="0"/>
          <w:bCs w:val="0"/>
          <w:highlight w:val="none"/>
          <w:lang w:val="en-US" w:eastAsia="zh-CN"/>
        </w:rPr>
        <w:t>2024年9月18日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2024年10月18日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206</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6783EF15">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2C9A6882">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6AAAFF16">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1385C635">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2CFDC061">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4A91BFAA">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社会影响：城乡抗震安居工程建设房屋安全隐患排查整治成果</w:t>
      </w:r>
      <w:r>
        <w:rPr>
          <w:rFonts w:hint="eastAsia" w:ascii="Times New Roman" w:hAnsi="Times New Roman" w:eastAsia="仿宋_GB2312" w:cs="Times New Roman"/>
          <w:b w:val="0"/>
          <w:bCs w:val="0"/>
          <w:highlight w:val="none"/>
          <w:lang w:val="en-US" w:eastAsia="zh-CN"/>
        </w:rPr>
        <w:t>成效明显</w:t>
      </w:r>
      <w:r>
        <w:rPr>
          <w:rFonts w:hint="default" w:ascii="Times New Roman" w:hAnsi="Times New Roman" w:eastAsia="仿宋_GB2312" w:cs="Times New Roman"/>
          <w:b w:val="0"/>
          <w:bCs w:val="0"/>
          <w:highlight w:val="none"/>
        </w:rPr>
        <w:t>。</w:t>
      </w:r>
    </w:p>
    <w:p w14:paraId="76138161">
      <w:pP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14:paraId="152284F4">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14:paraId="155AB230">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14:paraId="5B44BD28">
      <w:pPr>
        <w:pStyle w:val="11"/>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14:paraId="66CBB712">
      <w:pPr>
        <w:pStyle w:val="11"/>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14:paraId="2EC268E3">
      <w:pPr>
        <w:pStyle w:val="11"/>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14:paraId="49744AF1">
      <w:pPr>
        <w:pStyle w:val="11"/>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14:paraId="219AE425">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评价指标体系</w:t>
      </w:r>
    </w:p>
    <w:p w14:paraId="154738E3">
      <w:pPr>
        <w:spacing w:line="560" w:lineRule="exact"/>
        <w:ind w:firstLine="708" w:firstLineChars="200"/>
        <w:rPr>
          <w:rFonts w:hint="default" w:ascii="Times New Roman" w:hAnsi="Times New Roman"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绩效评价框架是开展绩效评价的核心。绩效评价框架包括评价准则、关键评价问题、评价指标、数据来源、数据收集方法等。指标体系建立过程如下：</w:t>
      </w:r>
    </w:p>
    <w:p w14:paraId="13EA2839">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（1）确定评价指标</w:t>
      </w:r>
    </w:p>
    <w:p w14:paraId="662B2C1E">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14B3C8DD">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（2）确定权重</w:t>
      </w:r>
    </w:p>
    <w:p w14:paraId="5CAB2C09">
      <w:pPr>
        <w:spacing w:line="560" w:lineRule="exact"/>
        <w:ind w:firstLine="708" w:firstLineChars="200"/>
        <w:rPr>
          <w:rFonts w:hint="default" w:ascii="Times New Roman" w:hAnsi="Times New Roman" w:eastAsia="仿宋_GB2312" w:cs="Times New Roman"/>
          <w:color w:val="FF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53034D91">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（3）确定指标标准值</w:t>
      </w:r>
    </w:p>
    <w:p w14:paraId="693B7ED0">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14:paraId="13F021A2">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highlight w:val="none"/>
        </w:rPr>
      </w:pPr>
      <w:r>
        <w:rPr>
          <w:rFonts w:hint="default" w:ascii="Times New Roman" w:hAnsi="Times New Roman" w:eastAsia="仿宋_GB2312" w:cs="Times New Roman"/>
          <w:b w:val="0"/>
          <w:bCs w:val="0"/>
          <w:color w:val="000000"/>
          <w:spacing w:val="17"/>
          <w:kern w:val="2"/>
          <w:highlight w:val="none"/>
        </w:rPr>
        <w:t>绩效评价总分值100分，根据综合评分结果，90（含）-100分为优、80（含）-90分为良、60（含）-80分为中、60分以下为差。</w:t>
      </w:r>
    </w:p>
    <w:p w14:paraId="729E2D99">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highlight w:val="none"/>
        </w:rPr>
      </w:pPr>
      <w:r>
        <w:rPr>
          <w:rFonts w:hint="default" w:ascii="Times New Roman" w:hAnsi="Times New Roman" w:eastAsia="仿宋_GB2312" w:cs="Times New Roman"/>
          <w:b w:val="0"/>
          <w:bCs w:val="0"/>
          <w:color w:val="000000"/>
          <w:spacing w:val="17"/>
          <w:highlight w:val="none"/>
        </w:rPr>
        <w:t>具体评价指标体系详情见附件1</w:t>
      </w:r>
    </w:p>
    <w:p w14:paraId="7F542C7B">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14:paraId="082B1867">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3DDB827C">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6E8A8E83">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 xml:space="preserve">（一）成本效益分析法。是指将投入与产出、效益进行关联性分析的方法。 </w:t>
      </w:r>
    </w:p>
    <w:p w14:paraId="32AD8322">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eastAsia="仿宋_GB2312" w:cs="Times New Roman"/>
          <w:color w:val="auto"/>
          <w:spacing w:val="17"/>
          <w:sz w:val="32"/>
          <w:szCs w:val="32"/>
          <w:highlight w:val="none"/>
          <w:lang w:val="en-US" w:eastAsia="zh-CN"/>
        </w:rPr>
        <w:t>二</w:t>
      </w:r>
      <w:r>
        <w:rPr>
          <w:rFonts w:hint="default" w:ascii="Times New Roman" w:hAnsi="Times New Roman" w:eastAsia="仿宋_GB2312" w:cs="Times New Roman"/>
          <w:color w:val="auto"/>
          <w:spacing w:val="17"/>
          <w:sz w:val="32"/>
          <w:szCs w:val="32"/>
          <w:highlight w:val="none"/>
        </w:rPr>
        <w:t>）因素分析法。是指综合分析影响绩效目标实现、实施效果的内外部因素的方法。</w:t>
      </w:r>
    </w:p>
    <w:p w14:paraId="2EB99B20">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eastAsia="仿宋_GB2312" w:cs="Times New Roman"/>
          <w:color w:val="auto"/>
          <w:spacing w:val="17"/>
          <w:sz w:val="32"/>
          <w:szCs w:val="32"/>
          <w:highlight w:val="none"/>
          <w:lang w:val="en-US" w:eastAsia="zh-CN"/>
        </w:rPr>
        <w:t>三</w:t>
      </w:r>
      <w:r>
        <w:rPr>
          <w:rFonts w:hint="default" w:ascii="Times New Roman" w:hAnsi="Times New Roman" w:eastAsia="仿宋_GB2312" w:cs="Times New Roman"/>
          <w:color w:val="auto"/>
          <w:spacing w:val="17"/>
          <w:sz w:val="32"/>
          <w:szCs w:val="32"/>
          <w:highlight w:val="none"/>
        </w:rPr>
        <w:t>）公众评判法。是指通过专家评估、公众问卷及抽样调查等方式进行评判的方法。</w:t>
      </w:r>
    </w:p>
    <w:p w14:paraId="263E9EF3">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评价标准</w:t>
      </w:r>
    </w:p>
    <w:p w14:paraId="1E1D5D17">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14:paraId="2C1E5131">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计划标准。指以预先制定的目标、计划、预算、定额等作为评价标准。</w:t>
      </w:r>
    </w:p>
    <w:p w14:paraId="570B98CE">
      <w:pPr>
        <w:pStyle w:val="11"/>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14:paraId="020288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790E5A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574201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781E30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34405B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A4714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65A184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64D049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6EABB2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3CEF1E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07B09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72B270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88291BD">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14:paraId="5DA9F4DE">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4B0BED4F">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伊犁州特克斯县喀拉达拉镇牧民越冬放牧点生产用房（居住）建设项目</w:t>
      </w:r>
      <w:r>
        <w:rPr>
          <w:rFonts w:hint="default" w:ascii="Times New Roman" w:hAnsi="Times New Roman" w:eastAsia="仿宋_GB2312" w:cs="Times New Roman"/>
          <w:sz w:val="32"/>
          <w:szCs w:val="32"/>
          <w:highlight w:val="none"/>
        </w:rPr>
        <w:t>在完成拆除及新建工作</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改善牧民生活环境，提供牧民住房保障，提供居民生活水平等方面表现出色，达到了预期的标准与要求。同时，项目也在</w:t>
      </w:r>
      <w:r>
        <w:rPr>
          <w:rFonts w:hint="eastAsia" w:eastAsia="仿宋_GB2312" w:cs="Times New Roman"/>
          <w:sz w:val="32"/>
          <w:szCs w:val="32"/>
          <w:highlight w:val="none"/>
          <w:lang w:val="en-US" w:eastAsia="zh-CN"/>
        </w:rPr>
        <w:t>实施中</w:t>
      </w:r>
      <w:r>
        <w:rPr>
          <w:rFonts w:hint="default" w:ascii="Times New Roman" w:hAnsi="Times New Roman" w:eastAsia="仿宋_GB2312" w:cs="Times New Roman"/>
          <w:sz w:val="32"/>
          <w:szCs w:val="32"/>
          <w:highlight w:val="none"/>
        </w:rPr>
        <w:t>取得了显著的成效，如完成拆除及新建工作</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改善牧民生活环境，提供牧民住房保障，提供居民生活水平等。</w:t>
      </w:r>
    </w:p>
    <w:p w14:paraId="2C722A03">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特克斯县喀拉达拉镇人民政府</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5C8B53AD">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从项目效益的角度来看，本项目不仅实现了预期的社会效益等方面产生了积极的影响。具体而言，城乡抗震安居工程建设房屋安全隐患排查整治成果等方面的提升，为项目的利益相关者带来了实实在在的利益。</w:t>
      </w:r>
    </w:p>
    <w:p w14:paraId="661BA7C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伊犁州特克斯县喀拉达拉镇牧民越冬放牧点生产用房（居住）建设项目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7501FCAF">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14:paraId="7B7AF079">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99</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48EEC76A">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304957F2">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689F20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1B5D215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00A40E1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14:paraId="0A997EC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B2E3AA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7920995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942E9F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14:paraId="68D1BF7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5D4F6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1A799BD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23487B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19</w:t>
            </w:r>
          </w:p>
        </w:tc>
      </w:tr>
      <w:tr w14:paraId="2B6733A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64486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63451D5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7CDCAF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40</w:t>
            </w:r>
          </w:p>
        </w:tc>
      </w:tr>
      <w:tr w14:paraId="357A09B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36CB48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3B8E86F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3AE8C2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14:paraId="06DAA30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6A69E2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3B2146B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36D9EC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lang w:val="en-US" w:eastAsia="zh-CN"/>
              </w:rPr>
            </w:pPr>
            <w:r>
              <w:rPr>
                <w:rFonts w:hint="eastAsia" w:eastAsia="仿宋_GB2312" w:cs="Times New Roman"/>
                <w:b/>
                <w:bCs/>
                <w:color w:val="000000"/>
                <w:sz w:val="21"/>
                <w:szCs w:val="21"/>
                <w:highlight w:val="none"/>
                <w:lang w:val="en-US" w:eastAsia="zh-CN"/>
              </w:rPr>
              <w:t>99</w:t>
            </w:r>
          </w:p>
        </w:tc>
      </w:tr>
    </w:tbl>
    <w:p w14:paraId="4ECE14B8">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14:paraId="5300629D">
      <w:pPr>
        <w:pStyle w:val="11"/>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14:paraId="07AEB18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4EB2782D">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14:paraId="5DC8B1B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14:paraId="6D90D02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7C71C4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14:paraId="643D2C5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3E97154E">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14:paraId="61F160C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14:paraId="05A8D62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58AC90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14:paraId="1447F03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33373430">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14:paraId="2623B8C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14:paraId="727E59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4084A4C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0F1FEAD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2147B2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1FE460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5B1BE5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3D234EEE">
      <w:pPr>
        <w:pStyle w:val="11"/>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79F01D2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w:t>
      </w:r>
    </w:p>
    <w:p w14:paraId="1BBEEAB7">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001267C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63D6B8E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243</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84.77</w:t>
      </w:r>
      <w:r>
        <w:rPr>
          <w:rFonts w:hint="default" w:ascii="Times New Roman" w:hAnsi="Times New Roman" w:eastAsia="仿宋_GB2312" w:cs="Times New Roman"/>
          <w:sz w:val="32"/>
          <w:szCs w:val="32"/>
          <w:highlight w:val="none"/>
          <w:lang w:val="en-US" w:eastAsia="zh-CN"/>
        </w:rPr>
        <w:t>%，预算资金按计划进度执行。</w:t>
      </w:r>
    </w:p>
    <w:p w14:paraId="7BFD300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3C4BDCC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206</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84.77</w:t>
      </w:r>
      <w:r>
        <w:rPr>
          <w:rFonts w:hint="default" w:ascii="Times New Roman" w:hAnsi="Times New Roman" w:eastAsia="仿宋_GB2312" w:cs="Times New Roman"/>
          <w:sz w:val="32"/>
          <w:szCs w:val="32"/>
          <w:highlight w:val="none"/>
          <w:lang w:val="en-US" w:eastAsia="zh-CN"/>
        </w:rPr>
        <w:t>%。</w:t>
      </w:r>
    </w:p>
    <w:p w14:paraId="0DDDECC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0B6186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68314B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693D39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26F1F1DC">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4041B93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4109BE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23C2A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0E8AF1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3B97E7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50A3CC7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7BFB76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14:paraId="777375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E0735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14:paraId="55977809">
      <w:pPr>
        <w:pStyle w:val="12"/>
        <w:numPr>
          <w:ilvl w:val="0"/>
          <w:numId w:val="4"/>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14:paraId="7BE5173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68F81C4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6C363367">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1" w:name="OLE_LINK4"/>
      <w:r>
        <w:rPr>
          <w:rFonts w:hint="default" w:ascii="Times New Roman" w:hAnsi="Times New Roman" w:eastAsia="仿宋_GB2312" w:cs="Times New Roman"/>
          <w:sz w:val="32"/>
          <w:szCs w:val="32"/>
          <w:highlight w:val="none"/>
        </w:rPr>
        <w:t>指标1：新建放牧越冬户数，指标值：</w:t>
      </w:r>
      <w:r>
        <w:rPr>
          <w:rFonts w:hint="eastAsia" w:eastAsia="仿宋_GB2312" w:cs="Times New Roman"/>
          <w:sz w:val="32"/>
          <w:szCs w:val="32"/>
          <w:highlight w:val="none"/>
          <w:lang w:val="en-US" w:eastAsia="zh-CN"/>
        </w:rPr>
        <w:t>=81户</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81户</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FA63B9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指标2：城乡抗震安居工程建设民生实事</w:t>
      </w:r>
      <w:bookmarkStart w:id="9" w:name="_GoBack"/>
      <w:bookmarkEnd w:id="9"/>
      <w:r>
        <w:rPr>
          <w:rFonts w:hint="eastAsia" w:eastAsia="仿宋_GB2312" w:cs="Times New Roman"/>
          <w:sz w:val="32"/>
          <w:szCs w:val="32"/>
          <w:highlight w:val="none"/>
          <w:lang w:val="en-US" w:eastAsia="zh-CN"/>
        </w:rPr>
        <w:t>涉及村数量，</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4个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4个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bookmarkEnd w:id="1"/>
    </w:p>
    <w:p w14:paraId="71D18C8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7E5378A0">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2" w:name="OLE_LINK6"/>
      <w:r>
        <w:rPr>
          <w:rFonts w:hint="default" w:ascii="Times New Roman" w:hAnsi="Times New Roman" w:eastAsia="仿宋_GB2312" w:cs="Times New Roman"/>
          <w:sz w:val="32"/>
          <w:szCs w:val="32"/>
          <w:highlight w:val="none"/>
        </w:rPr>
        <w:t>指标1：竣工验收合格率，指标值：=100%，实际完成值：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2"/>
    </w:p>
    <w:p w14:paraId="1E7B5EE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指标2：城乡抗震安居工程完工率，</w:t>
      </w:r>
      <w:r>
        <w:rPr>
          <w:rFonts w:hint="default" w:ascii="Times New Roman" w:hAnsi="Times New Roman" w:eastAsia="仿宋_GB2312" w:cs="Times New Roman"/>
          <w:sz w:val="32"/>
          <w:szCs w:val="32"/>
          <w:highlight w:val="none"/>
        </w:rPr>
        <w:t>指标值：=100%，实际完成值：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bookmarkStart w:id="3" w:name="OLE_LINK5"/>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bookmarkEnd w:id="3"/>
      <w:r>
        <w:rPr>
          <w:rFonts w:hint="eastAsia" w:ascii="Times New Roman" w:hAnsi="Times New Roman" w:eastAsia="仿宋_GB2312" w:cs="Times New Roman"/>
          <w:sz w:val="32"/>
          <w:szCs w:val="32"/>
          <w:highlight w:val="none"/>
          <w:lang w:eastAsia="zh-CN"/>
        </w:rPr>
        <w:t>；</w:t>
      </w:r>
    </w:p>
    <w:p w14:paraId="72550B4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6FD86C05">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4" w:name="OLE_LINK7"/>
      <w:r>
        <w:rPr>
          <w:rFonts w:hint="default" w:ascii="Times New Roman" w:hAnsi="Times New Roman" w:eastAsia="仿宋_GB2312" w:cs="Times New Roman"/>
          <w:sz w:val="32"/>
          <w:szCs w:val="32"/>
          <w:highlight w:val="none"/>
        </w:rPr>
        <w:t>指标1：工作任务完成时限，指标值：=2024年11月20日，实际完成值：</w:t>
      </w:r>
      <w:r>
        <w:rPr>
          <w:rFonts w:hint="eastAsia" w:eastAsia="仿宋_GB2312" w:cs="Times New Roman"/>
          <w:sz w:val="32"/>
          <w:szCs w:val="32"/>
          <w:highlight w:val="none"/>
          <w:lang w:val="en-US" w:eastAsia="zh-CN"/>
        </w:rPr>
        <w:t>2024年10月18日</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4"/>
    </w:p>
    <w:p w14:paraId="7A40B96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5D34CA2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bookmarkStart w:id="5" w:name="OLE_LINK8"/>
      <w:r>
        <w:rPr>
          <w:rFonts w:hint="default" w:ascii="Times New Roman" w:hAnsi="Times New Roman" w:eastAsia="仿宋_GB2312" w:cs="Times New Roman"/>
          <w:sz w:val="32"/>
          <w:szCs w:val="32"/>
          <w:highlight w:val="none"/>
        </w:rPr>
        <w:t>指标1：新建放牧越冬平均标准，指标值：&lt;=3万元/户，实际完成值：</w:t>
      </w:r>
      <w:r>
        <w:rPr>
          <w:rFonts w:hint="eastAsia" w:eastAsia="仿宋_GB2312" w:cs="Times New Roman"/>
          <w:sz w:val="32"/>
          <w:szCs w:val="32"/>
          <w:highlight w:val="none"/>
          <w:lang w:val="en-US" w:eastAsia="zh-CN"/>
        </w:rPr>
        <w:t>2.5万元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5"/>
      <w:r>
        <w:rPr>
          <w:rFonts w:hint="eastAsia" w:eastAsia="仿宋_GB2312" w:cs="Times New Roman"/>
          <w:sz w:val="32"/>
          <w:szCs w:val="32"/>
          <w:highlight w:val="none"/>
          <w:lang w:val="en-US" w:eastAsia="zh-CN"/>
        </w:rPr>
        <w:t>偏差原因：按合同要求验收后给85%为2.5万元，等结算完之后给剩下的15%0.5万元。</w:t>
      </w:r>
    </w:p>
    <w:p w14:paraId="044A79F9">
      <w:pPr>
        <w:pStyle w:val="12"/>
        <w:numPr>
          <w:ilvl w:val="0"/>
          <w:numId w:val="4"/>
        </w:numPr>
        <w:spacing w:line="560" w:lineRule="exact"/>
        <w:ind w:firstLine="643"/>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14:paraId="33BAD31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2D825513">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2E1F6156">
      <w:pPr>
        <w:numPr>
          <w:ilvl w:val="0"/>
          <w:numId w:val="0"/>
        </w:numPr>
        <w:shd w:val="clear" w:color="auto" w:fill="auto"/>
        <w:spacing w:line="600" w:lineRule="exact"/>
        <w:ind w:firstLine="960" w:firstLineChars="3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305A6769">
      <w:pPr>
        <w:shd w:val="clear" w:color="auto" w:fill="auto"/>
        <w:spacing w:line="600" w:lineRule="exact"/>
        <w:ind w:firstLine="640" w:firstLineChars="200"/>
        <w:outlineLvl w:val="0"/>
        <w:rPr>
          <w:rFonts w:hint="eastAsia" w:eastAsia="仿宋_GB2312" w:cs="Times New Roman"/>
          <w:sz w:val="32"/>
          <w:szCs w:val="32"/>
          <w:highlight w:val="none"/>
          <w:lang w:eastAsia="zh-CN"/>
        </w:rPr>
      </w:pPr>
      <w:bookmarkStart w:id="6" w:name="OLE_LINK9"/>
      <w:r>
        <w:rPr>
          <w:rFonts w:hint="default" w:ascii="Times New Roman" w:hAnsi="Times New Roman" w:eastAsia="仿宋_GB2312" w:cs="Times New Roman"/>
          <w:sz w:val="32"/>
          <w:szCs w:val="32"/>
          <w:highlight w:val="none"/>
        </w:rPr>
        <w:t>指标1：城乡抗震安居工程建设房屋安全隐患排查整治成果，指标值：成效明显，实际完成值：成效明显，指标完成率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6"/>
    </w:p>
    <w:p w14:paraId="41B2DC1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3E187149">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指标1：服务对象满意度，指标值：&gt;=95%，实际完成值：95%，指标完成率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C29A288">
      <w:pPr>
        <w:spacing w:line="560" w:lineRule="exact"/>
        <w:ind w:firstLine="643" w:firstLineChars="200"/>
        <w:rPr>
          <w:rFonts w:hint="default" w:ascii="Times New Roman" w:hAnsi="Times New Roman" w:eastAsia="楷体_GB2312" w:cs="Times New Roman"/>
          <w:b/>
          <w:bCs/>
          <w:sz w:val="32"/>
          <w:szCs w:val="32"/>
          <w:highlight w:val="none"/>
          <w:lang w:val="en-U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rPr>
        <w:t>预算执行进度与绩效指标总体完成率偏差</w:t>
      </w:r>
    </w:p>
    <w:p w14:paraId="4BA1D2D4">
      <w:pPr>
        <w:pStyle w:val="22"/>
        <w:spacing w:line="560" w:lineRule="exact"/>
        <w:ind w:firstLine="64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伊犁州特克斯县喀拉达拉镇牧民越冬放牧点生产用房（居住）建设项目年初预算</w:t>
      </w:r>
      <w:r>
        <w:rPr>
          <w:rFonts w:hint="eastAsia" w:ascii="Times New Roman" w:hAnsi="Times New Roman" w:eastAsia="仿宋_GB2312" w:cs="Times New Roman"/>
          <w:kern w:val="2"/>
          <w:sz w:val="32"/>
          <w:szCs w:val="32"/>
          <w:highlight w:val="none"/>
          <w:lang w:val="en-US" w:eastAsia="zh-CN" w:bidi="ar-SA"/>
        </w:rPr>
        <w:t>243</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243</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206</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84.77</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98.13</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1.87</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偏差</w:t>
      </w:r>
      <w:r>
        <w:rPr>
          <w:rFonts w:hint="default" w:ascii="Times New Roman" w:hAnsi="Times New Roman" w:eastAsia="仿宋_GB2312" w:cs="Times New Roman"/>
          <w:kern w:val="2"/>
          <w:sz w:val="32"/>
          <w:szCs w:val="32"/>
          <w:highlight w:val="none"/>
          <w:lang w:val="en-US" w:eastAsia="zh-CN" w:bidi="ar-SA"/>
        </w:rPr>
        <w:t>原因原因是按合同要求验收后</w:t>
      </w:r>
      <w:r>
        <w:rPr>
          <w:rFonts w:hint="eastAsia" w:ascii="Times New Roman" w:hAnsi="Times New Roman" w:eastAsia="仿宋_GB2312" w:cs="Times New Roman"/>
          <w:kern w:val="2"/>
          <w:sz w:val="32"/>
          <w:szCs w:val="32"/>
          <w:highlight w:val="none"/>
          <w:lang w:val="en-US" w:eastAsia="zh-CN" w:bidi="ar-SA"/>
        </w:rPr>
        <w:t>付</w:t>
      </w:r>
      <w:r>
        <w:rPr>
          <w:rFonts w:hint="default" w:ascii="Times New Roman" w:hAnsi="Times New Roman" w:eastAsia="仿宋_GB2312" w:cs="Times New Roman"/>
          <w:kern w:val="2"/>
          <w:sz w:val="32"/>
          <w:szCs w:val="32"/>
          <w:highlight w:val="none"/>
          <w:lang w:val="en-US" w:eastAsia="zh-CN" w:bidi="ar-SA"/>
        </w:rPr>
        <w:t>85</w:t>
      </w:r>
      <w:r>
        <w:rPr>
          <w:rFonts w:hint="eastAsia" w:ascii="Times New Roman" w:hAnsi="Times New Roman" w:eastAsia="仿宋_GB2312" w:cs="Times New Roman"/>
          <w:kern w:val="2"/>
          <w:sz w:val="32"/>
          <w:szCs w:val="32"/>
          <w:highlight w:val="none"/>
          <w:lang w:val="en-US" w:eastAsia="zh-CN" w:bidi="ar-SA"/>
        </w:rPr>
        <w:t>%的资金206万元</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改进</w:t>
      </w:r>
      <w:r>
        <w:rPr>
          <w:rFonts w:hint="default" w:ascii="Times New Roman" w:hAnsi="Times New Roman" w:eastAsia="仿宋_GB2312" w:cs="Times New Roman"/>
          <w:kern w:val="2"/>
          <w:sz w:val="32"/>
          <w:szCs w:val="32"/>
          <w:highlight w:val="none"/>
          <w:lang w:val="en-US" w:eastAsia="zh-CN" w:bidi="ar-SA"/>
        </w:rPr>
        <w:t>措施等结算完之后</w:t>
      </w:r>
      <w:r>
        <w:rPr>
          <w:rFonts w:hint="eastAsia" w:ascii="Times New Roman" w:hAnsi="Times New Roman" w:eastAsia="仿宋_GB2312" w:cs="Times New Roman"/>
          <w:kern w:val="2"/>
          <w:sz w:val="32"/>
          <w:szCs w:val="32"/>
          <w:highlight w:val="none"/>
          <w:lang w:val="en-US" w:eastAsia="zh-CN" w:bidi="ar-SA"/>
        </w:rPr>
        <w:t>付</w:t>
      </w:r>
      <w:r>
        <w:rPr>
          <w:rFonts w:hint="default" w:ascii="Times New Roman" w:hAnsi="Times New Roman" w:eastAsia="仿宋_GB2312" w:cs="Times New Roman"/>
          <w:kern w:val="2"/>
          <w:sz w:val="32"/>
          <w:szCs w:val="32"/>
          <w:highlight w:val="none"/>
          <w:lang w:val="en-US" w:eastAsia="zh-CN" w:bidi="ar-SA"/>
        </w:rPr>
        <w:t>剩下的15%</w:t>
      </w:r>
      <w:r>
        <w:rPr>
          <w:rFonts w:hint="eastAsia" w:ascii="Times New Roman" w:hAnsi="Times New Roman" w:eastAsia="仿宋_GB2312" w:cs="Times New Roman"/>
          <w:kern w:val="2"/>
          <w:sz w:val="32"/>
          <w:szCs w:val="32"/>
          <w:highlight w:val="none"/>
          <w:lang w:val="en-US" w:eastAsia="zh-CN" w:bidi="ar-SA"/>
        </w:rPr>
        <w:t>的资金37</w:t>
      </w:r>
      <w:r>
        <w:rPr>
          <w:rFonts w:hint="default" w:ascii="Times New Roman" w:hAnsi="Times New Roman" w:eastAsia="仿宋_GB2312" w:cs="Times New Roman"/>
          <w:kern w:val="2"/>
          <w:sz w:val="32"/>
          <w:szCs w:val="32"/>
          <w:highlight w:val="none"/>
          <w:lang w:val="en-US" w:eastAsia="zh-CN" w:bidi="ar-SA"/>
        </w:rPr>
        <w:t>万元。</w:t>
      </w:r>
    </w:p>
    <w:p w14:paraId="671E3E95">
      <w:pPr>
        <w:spacing w:line="560" w:lineRule="exact"/>
        <w:ind w:firstLine="640" w:firstLineChars="200"/>
        <w:rPr>
          <w:rStyle w:val="21"/>
          <w:rFonts w:hint="default" w:ascii="Times New Roman" w:hAnsi="Times New Roman" w:cs="Times New Roman"/>
          <w:color w:val="auto"/>
          <w:highlight w:val="none"/>
        </w:rPr>
      </w:pPr>
      <w:r>
        <w:rPr>
          <w:rFonts w:hint="eastAsia" w:eastAsia="黑体" w:cs="Times New Roman"/>
          <w:sz w:val="32"/>
          <w:szCs w:val="32"/>
          <w:highlight w:val="none"/>
          <w:lang w:val="en-US" w:eastAsia="zh-CN"/>
        </w:rPr>
        <w:t>五</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主要经验及做法、存在的问题及原因分析</w:t>
      </w:r>
    </w:p>
    <w:p w14:paraId="480632A6">
      <w:pPr>
        <w:spacing w:line="560" w:lineRule="exact"/>
        <w:ind w:firstLine="627" w:firstLineChars="200"/>
        <w:rPr>
          <w:rFonts w:hint="default" w:ascii="Times New Roman" w:hAnsi="Times New Roman" w:eastAsia="楷体" w:cs="Times New Roman"/>
          <w:b/>
          <w:spacing w:val="-4"/>
          <w:sz w:val="32"/>
          <w:szCs w:val="32"/>
          <w:highlight w:val="none"/>
        </w:rPr>
      </w:pPr>
      <w:bookmarkStart w:id="7" w:name="OLE_LINK11"/>
      <w:r>
        <w:rPr>
          <w:rFonts w:hint="default" w:ascii="Times New Roman" w:hAnsi="Times New Roman" w:eastAsia="楷体" w:cs="Times New Roman"/>
          <w:b/>
          <w:spacing w:val="-4"/>
          <w:sz w:val="32"/>
          <w:szCs w:val="32"/>
          <w:highlight w:val="none"/>
        </w:rPr>
        <w:t>（一）主要经验及做法</w:t>
      </w:r>
    </w:p>
    <w:p w14:paraId="6B42E4B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A5A4335">
      <w:pPr>
        <w:pStyle w:val="11"/>
        <w:spacing w:before="0" w:after="0" w:line="560" w:lineRule="exact"/>
        <w:ind w:firstLine="640" w:firstLineChars="200"/>
        <w:jc w:val="left"/>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rPr>
        <w:t>严格坚持先做事、后验收、再拨付的原则，</w:t>
      </w:r>
      <w:r>
        <w:rPr>
          <w:rFonts w:hint="eastAsia" w:ascii="Times New Roman" w:hAnsi="Times New Roman" w:eastAsia="仿宋_GB2312" w:cs="Times New Roman"/>
          <w:b w:val="0"/>
          <w:bCs w:val="0"/>
          <w:kern w:val="2"/>
          <w:highlight w:val="none"/>
          <w:lang w:eastAsia="zh-CN"/>
        </w:rPr>
        <w:t>杜绝</w:t>
      </w:r>
      <w:r>
        <w:rPr>
          <w:rFonts w:hint="default" w:ascii="Times New Roman" w:hAnsi="Times New Roman" w:eastAsia="仿宋_GB2312" w:cs="Times New Roman"/>
          <w:b w:val="0"/>
          <w:bCs w:val="0"/>
          <w:kern w:val="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6B7AD1C">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14:paraId="03444DB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10FB6A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bookmarkEnd w:id="7"/>
    </w:p>
    <w:p w14:paraId="3CAFE393">
      <w:pPr>
        <w:spacing w:line="560" w:lineRule="exact"/>
        <w:ind w:firstLine="640" w:firstLineChars="20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w:t>
      </w:r>
      <w:r>
        <w:rPr>
          <w:rFonts w:hint="default" w:ascii="Times New Roman" w:hAnsi="Times New Roman" w:eastAsia="黑体" w:cs="Times New Roman"/>
          <w:sz w:val="32"/>
          <w:szCs w:val="32"/>
          <w:highlight w:val="none"/>
        </w:rPr>
        <w:t>有关建议</w:t>
      </w:r>
    </w:p>
    <w:p w14:paraId="33B3B0A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7B456FD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6BAEA05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259A18B">
      <w:pPr>
        <w:shd w:val="clear" w:color="auto" w:fill="auto"/>
        <w:spacing w:line="600" w:lineRule="exact"/>
        <w:ind w:firstLine="640" w:firstLineChars="20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14:paraId="611BF0D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14CD103">
      <w:pPr>
        <w:spacing w:line="560" w:lineRule="exact"/>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七</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其他需要说</w:t>
      </w:r>
      <w:bookmarkStart w:id="8" w:name="page8"/>
      <w:bookmarkEnd w:id="8"/>
      <w:r>
        <w:rPr>
          <w:rFonts w:hint="default" w:ascii="Times New Roman" w:hAnsi="Times New Roman" w:eastAsia="黑体" w:cs="Times New Roman"/>
          <w:sz w:val="32"/>
          <w:szCs w:val="32"/>
          <w:highlight w:val="none"/>
        </w:rPr>
        <w:t>明的问题</w:t>
      </w:r>
    </w:p>
    <w:p w14:paraId="58C5617E">
      <w:pPr>
        <w:pStyle w:val="13"/>
        <w:spacing w:after="0" w:line="560" w:lineRule="exact"/>
        <w:ind w:left="0" w:leftChars="0"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本项目无其他需说明的问题。</w:t>
      </w:r>
    </w:p>
    <w:p w14:paraId="3802B49C">
      <w:pPr>
        <w:rPr>
          <w:rFonts w:hint="default" w:ascii="Times New Roman" w:hAnsi="Times New Roman" w:cs="Times New Roman"/>
          <w:highlight w:val="none"/>
        </w:rPr>
      </w:pPr>
    </w:p>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3D2F3AEA">
        <w:pPr>
          <w:pStyle w:val="8"/>
          <w:jc w:val="center"/>
        </w:pPr>
        <w:r>
          <w:fldChar w:fldCharType="begin"/>
        </w:r>
        <w:r>
          <w:instrText xml:space="preserve">PAGE   \* MERGEFORMAT</w:instrText>
        </w:r>
        <w:r>
          <w:fldChar w:fldCharType="separate"/>
        </w:r>
        <w:r>
          <w:rPr>
            <w:lang w:val="zh-CN"/>
          </w:rPr>
          <w:t>13</w:t>
        </w:r>
        <w:r>
          <w:fldChar w:fldCharType="end"/>
        </w:r>
      </w:p>
    </w:sdtContent>
  </w:sdt>
  <w:p w14:paraId="1025D75C">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32DA50E8"/>
    <w:rsid w:val="41C51349"/>
    <w:rsid w:val="47A03B91"/>
    <w:rsid w:val="4EAB017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Heading3"/>
    <w:basedOn w:val="1"/>
    <w:next w:val="1"/>
    <w:qFormat/>
    <w:uiPriority w:val="0"/>
    <w:pPr>
      <w:keepNext/>
      <w:keepLines/>
      <w:jc w:val="both"/>
      <w:textAlignment w:val="baseline"/>
    </w:pPr>
    <w:rPr>
      <w:rFonts w:cs="Times New Roman"/>
      <w:kern w:val="2"/>
      <w:sz w:val="21"/>
      <w:szCs w:val="32"/>
      <w:lang w:val="en-US" w:eastAsia="zh-CN" w:bidi="ar-SA"/>
    </w:r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3"/>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5"/>
    <w:qFormat/>
    <w:uiPriority w:val="0"/>
    <w:pPr>
      <w:spacing w:after="0"/>
      <w:ind w:firstLine="200" w:firstLineChars="200"/>
    </w:pPr>
  </w:style>
  <w:style w:type="paragraph" w:styleId="13">
    <w:name w:val="Body Text First Indent 2"/>
    <w:basedOn w:val="6"/>
    <w:qFormat/>
    <w:uiPriority w:val="0"/>
    <w:pPr>
      <w:ind w:firstLine="420" w:firstLineChars="200"/>
    </w:pPr>
  </w:style>
  <w:style w:type="table" w:styleId="15">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basedOn w:val="16"/>
    <w:qFormat/>
    <w:uiPriority w:val="0"/>
    <w:rPr>
      <w:b/>
      <w:bCs/>
    </w:rPr>
  </w:style>
  <w:style w:type="paragraph" w:customStyle="1" w:styleId="18">
    <w:name w:val="Comment Text"/>
    <w:basedOn w:val="1"/>
    <w:link w:val="25"/>
    <w:qFormat/>
    <w:uiPriority w:val="0"/>
    <w:pPr>
      <w:jc w:val="left"/>
    </w:pPr>
  </w:style>
  <w:style w:type="paragraph" w:customStyle="1" w:styleId="19">
    <w:name w:val="Comment Subject"/>
    <w:basedOn w:val="18"/>
    <w:next w:val="18"/>
    <w:link w:val="26"/>
    <w:qFormat/>
    <w:uiPriority w:val="0"/>
    <w:rPr>
      <w:b/>
      <w:bCs/>
    </w:rPr>
  </w:style>
  <w:style w:type="character" w:customStyle="1" w:styleId="20">
    <w:name w:val="Comment Reference"/>
    <w:basedOn w:val="16"/>
    <w:qFormat/>
    <w:uiPriority w:val="0"/>
    <w:rPr>
      <w:sz w:val="21"/>
      <w:szCs w:val="21"/>
    </w:rPr>
  </w:style>
  <w:style w:type="character" w:customStyle="1" w:styleId="21">
    <w:name w:val="fontstyle01"/>
    <w:qFormat/>
    <w:uiPriority w:val="0"/>
    <w:rPr>
      <w:rFonts w:ascii="仿宋_GB2312" w:hAnsi="仿宋_GB2312" w:eastAsia="仿宋_GB2312" w:cs="仿宋_GB2312"/>
      <w:color w:val="000000"/>
      <w:sz w:val="32"/>
      <w:szCs w:val="32"/>
    </w:rPr>
  </w:style>
  <w:style w:type="paragraph" w:customStyle="1" w:styleId="22">
    <w:name w:val="闻政-正文段落文字"/>
    <w:basedOn w:val="1"/>
    <w:qFormat/>
    <w:uiPriority w:val="3"/>
    <w:pPr>
      <w:spacing w:line="500" w:lineRule="exact"/>
      <w:ind w:firstLine="200"/>
    </w:pPr>
    <w:rPr>
      <w:kern w:val="0"/>
      <w:szCs w:val="28"/>
    </w:rPr>
  </w:style>
  <w:style w:type="character" w:customStyle="1" w:styleId="23">
    <w:name w:val="批注框文本 字符"/>
    <w:basedOn w:val="16"/>
    <w:link w:val="7"/>
    <w:qFormat/>
    <w:uiPriority w:val="0"/>
    <w:rPr>
      <w:rFonts w:ascii="Times New Roman" w:hAnsi="Times New Roman" w:eastAsia="宋体" w:cs="Times New Roman"/>
      <w:kern w:val="2"/>
      <w:sz w:val="18"/>
      <w:szCs w:val="18"/>
    </w:rPr>
  </w:style>
  <w:style w:type="character" w:customStyle="1" w:styleId="24">
    <w:name w:val="页眉 字符"/>
    <w:basedOn w:val="16"/>
    <w:link w:val="9"/>
    <w:qFormat/>
    <w:uiPriority w:val="0"/>
    <w:rPr>
      <w:rFonts w:ascii="Times New Roman" w:hAnsi="Times New Roman" w:eastAsia="宋体" w:cs="Times New Roman"/>
      <w:kern w:val="2"/>
      <w:sz w:val="18"/>
      <w:szCs w:val="18"/>
    </w:rPr>
  </w:style>
  <w:style w:type="character" w:customStyle="1" w:styleId="25">
    <w:name w:val="批注文字 字符"/>
    <w:basedOn w:val="16"/>
    <w:link w:val="18"/>
    <w:qFormat/>
    <w:uiPriority w:val="0"/>
    <w:rPr>
      <w:rFonts w:ascii="Times New Roman" w:hAnsi="Times New Roman" w:eastAsia="宋体" w:cs="Times New Roman"/>
      <w:kern w:val="2"/>
      <w:sz w:val="21"/>
      <w:szCs w:val="24"/>
    </w:rPr>
  </w:style>
  <w:style w:type="character" w:customStyle="1" w:styleId="26">
    <w:name w:val="批注主题 字符"/>
    <w:basedOn w:val="25"/>
    <w:link w:val="19"/>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136e59bb-dfd2-45b2-a937-40e9dfe0c0ea}">
  <ds:schemaRefs/>
</ds:datastoreItem>
</file>

<file path=docProps/app.xml><?xml version="1.0" encoding="utf-8"?>
<Properties xmlns="http://schemas.openxmlformats.org/officeDocument/2006/extended-properties" xmlns:vt="http://schemas.openxmlformats.org/officeDocument/2006/docPropsVTypes">
  <Template>Normal</Template>
  <Pages>23</Pages>
  <Words>9787</Words>
  <Characters>10090</Characters>
  <Lines>58</Lines>
  <Paragraphs>16</Paragraphs>
  <TotalTime>47</TotalTime>
  <ScaleCrop>false</ScaleCrop>
  <LinksUpToDate>false</LinksUpToDate>
  <CharactersWithSpaces>10097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2026-01-05T05:17:44Z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F1A32EB7C53F433780EB4BD1AD3DECDF_13</vt:lpwstr>
  </property>
  <property fmtid="{D5CDD505-2E9C-101B-9397-08002B2CF9AE}" pid="4" name="KSOTemplateDocerSaveRecord">
    <vt:lpwstr>eyJoZGlkIjoiMTllOTU3NWE5NTYyYWZlNzg3ODI3Yjg0ODg2ZDBmOGYifQ==</vt:lpwstr>
  </property>
</Properties>
</file>