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特克斯县第一小学2024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1A9432A">
      <w:r>
        <w:br w:type="page"/>
      </w:r>
    </w:p>
    <w:p w14:paraId="7596BC95">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5FBC4D1B">
      <w:pPr>
        <w:spacing w:line="640" w:lineRule="exact"/>
        <w:ind w:firstLine="640"/>
        <w:jc w:val="both"/>
        <w:outlineLvl w:val="2"/>
      </w:pPr>
      <w:r>
        <w:rPr>
          <w:rFonts w:ascii="黑体" w:hAnsi="黑体" w:eastAsia="黑体"/>
          <w:sz w:val="32"/>
        </w:rPr>
        <w:t>一、主要职能</w:t>
      </w:r>
    </w:p>
    <w:p w14:paraId="3D61FE7B">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宣传贯彻党的路线、方针、政策、坚持正确的办学方向。</w:t>
      </w:r>
    </w:p>
    <w:p w14:paraId="56F4871E">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负责党的理论教育研讨工作，指导干部学习党的理论，培养合格的党员干部。</w:t>
      </w:r>
    </w:p>
    <w:p w14:paraId="2E4665A3">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编制学校教学计划，管理、协调教育活动，开展教学研究。</w:t>
      </w:r>
    </w:p>
    <w:p w14:paraId="2BF1323E">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完成学校交办的其他工作。</w:t>
      </w:r>
    </w:p>
    <w:p w14:paraId="653447B6">
      <w:pPr>
        <w:spacing w:line="640" w:lineRule="exact"/>
        <w:ind w:firstLine="640"/>
        <w:jc w:val="both"/>
        <w:outlineLvl w:val="2"/>
      </w:pPr>
      <w:r>
        <w:rPr>
          <w:rFonts w:ascii="黑体" w:hAnsi="黑体" w:eastAsia="黑体"/>
          <w:sz w:val="32"/>
        </w:rPr>
        <w:t>二、机构设置及人员情况</w:t>
      </w:r>
    </w:p>
    <w:p w14:paraId="0F8C4C95">
      <w:pPr>
        <w:spacing w:line="580" w:lineRule="exact"/>
        <w:ind w:firstLine="640"/>
        <w:jc w:val="both"/>
      </w:pPr>
      <w:r>
        <w:rPr>
          <w:rFonts w:ascii="仿宋_GB2312" w:hAnsi="仿宋_GB2312" w:eastAsia="仿宋_GB2312"/>
          <w:sz w:val="32"/>
        </w:rPr>
        <w:t>特克斯县第一小学2024年度，实有人数120人，其中：在职人员69人，减少6人；离休人员0人，增加0人；退休人员51人,增加1人。</w:t>
      </w:r>
    </w:p>
    <w:p w14:paraId="38B43828">
      <w:pPr>
        <w:spacing w:line="580" w:lineRule="exact"/>
        <w:ind w:firstLine="640"/>
        <w:jc w:val="both"/>
      </w:pPr>
      <w:r>
        <w:rPr>
          <w:rFonts w:ascii="仿宋_GB2312" w:hAnsi="仿宋_GB2312" w:eastAsia="仿宋_GB2312"/>
          <w:sz w:val="32"/>
        </w:rPr>
        <w:t>特克斯县第一小学无下属预算</w:t>
      </w:r>
      <w:r>
        <w:rPr>
          <w:rFonts w:hint="eastAsia" w:ascii="仿宋_GB2312" w:hAnsi="仿宋_GB2312" w:eastAsia="仿宋_GB2312"/>
          <w:sz w:val="32"/>
          <w:lang w:eastAsia="zh-CN"/>
        </w:rPr>
        <w:t>单位</w:t>
      </w:r>
      <w:r>
        <w:rPr>
          <w:rFonts w:ascii="仿宋_GB2312" w:hAnsi="仿宋_GB2312" w:eastAsia="仿宋_GB2312"/>
          <w:sz w:val="32"/>
        </w:rPr>
        <w:t>，下设7个科室，分别是：办公室、党建办、教务处、教研室、德育处、后勤处、工会。</w:t>
      </w:r>
    </w:p>
    <w:p w14:paraId="25036DC9">
      <w:r>
        <w:br w:type="page"/>
      </w:r>
    </w:p>
    <w:p w14:paraId="5A4FE4E5">
      <w:pPr>
        <w:spacing w:line="240" w:lineRule="auto"/>
        <w:jc w:val="center"/>
        <w:outlineLvl w:val="1"/>
      </w:pPr>
      <w:r>
        <w:rPr>
          <w:rFonts w:ascii="黑体" w:hAnsi="黑体" w:eastAsia="黑体"/>
          <w:sz w:val="32"/>
        </w:rPr>
        <w:t>第二部分 部门决算情况说明</w:t>
      </w:r>
    </w:p>
    <w:p w14:paraId="6194E077">
      <w:pPr>
        <w:spacing w:line="640" w:lineRule="exact"/>
        <w:ind w:firstLine="640"/>
        <w:jc w:val="both"/>
        <w:outlineLvl w:val="2"/>
      </w:pPr>
      <w:r>
        <w:rPr>
          <w:rFonts w:ascii="黑体" w:hAnsi="黑体" w:eastAsia="黑体"/>
          <w:sz w:val="32"/>
        </w:rPr>
        <w:t>一、收入支出决算总体情况说明</w:t>
      </w:r>
    </w:p>
    <w:p w14:paraId="39680221">
      <w:pPr>
        <w:spacing w:line="580" w:lineRule="exact"/>
        <w:ind w:firstLine="640"/>
        <w:jc w:val="both"/>
      </w:pPr>
      <w:r>
        <w:rPr>
          <w:rFonts w:ascii="仿宋_GB2312" w:hAnsi="仿宋_GB2312" w:eastAsia="仿宋_GB2312"/>
          <w:b/>
          <w:sz w:val="32"/>
        </w:rPr>
        <w:t>2024年度收入总计1,425.07万元，</w:t>
      </w:r>
      <w:r>
        <w:rPr>
          <w:rFonts w:ascii="仿宋_GB2312" w:hAnsi="仿宋_GB2312" w:eastAsia="仿宋_GB2312"/>
          <w:b w:val="0"/>
          <w:sz w:val="32"/>
        </w:rPr>
        <w:t>其中：本年收入合计1,425.07万元，使用非财政拨款结余（含专用结余）0.00万元，年初结转和结余0.00万元。</w:t>
      </w:r>
    </w:p>
    <w:p w14:paraId="01BFE90A">
      <w:pPr>
        <w:spacing w:line="580" w:lineRule="exact"/>
        <w:ind w:firstLine="640"/>
        <w:jc w:val="both"/>
      </w:pPr>
      <w:r>
        <w:rPr>
          <w:rFonts w:ascii="仿宋_GB2312" w:hAnsi="仿宋_GB2312" w:eastAsia="仿宋_GB2312"/>
          <w:b/>
          <w:sz w:val="32"/>
        </w:rPr>
        <w:t>2024年度支出总计1,425.07万元，</w:t>
      </w:r>
      <w:r>
        <w:rPr>
          <w:rFonts w:ascii="仿宋_GB2312" w:hAnsi="仿宋_GB2312" w:eastAsia="仿宋_GB2312"/>
          <w:b w:val="0"/>
          <w:sz w:val="32"/>
        </w:rPr>
        <w:t>其中：本年支出合计1,425.07万元，结余分配0.00万元，年末结转和结余0.00万元。</w:t>
      </w:r>
    </w:p>
    <w:p w14:paraId="45AA6C00">
      <w:pPr>
        <w:spacing w:line="580" w:lineRule="exact"/>
        <w:ind w:firstLine="640"/>
        <w:jc w:val="both"/>
      </w:pPr>
      <w:r>
        <w:rPr>
          <w:rFonts w:ascii="仿宋_GB2312" w:hAnsi="仿宋_GB2312" w:eastAsia="仿宋_GB2312"/>
          <w:b w:val="0"/>
          <w:sz w:val="32"/>
        </w:rPr>
        <w:t>收入支出总体与上年相比，增加45.57万元，增长3.30%，主要原因是：本年在职人员工资调增，社保、公积金基数调增，人员经费增加。补发2023年年度考核奖，补发2024年7</w:t>
      </w:r>
      <w:r>
        <w:rPr>
          <w:rFonts w:hint="eastAsia" w:ascii="仿宋_GB2312" w:hAnsi="仿宋_GB2312" w:eastAsia="仿宋_GB2312"/>
          <w:b w:val="0"/>
          <w:sz w:val="32"/>
          <w:lang w:eastAsia="zh-CN"/>
        </w:rPr>
        <w:t>—</w:t>
      </w:r>
      <w:r>
        <w:rPr>
          <w:rFonts w:ascii="仿宋_GB2312" w:hAnsi="仿宋_GB2312" w:eastAsia="仿宋_GB2312"/>
          <w:b w:val="0"/>
          <w:sz w:val="32"/>
        </w:rPr>
        <w:t>12月基本工资调标。</w:t>
      </w:r>
    </w:p>
    <w:p w14:paraId="76CBE554">
      <w:pPr>
        <w:spacing w:line="640" w:lineRule="exact"/>
        <w:ind w:firstLine="640"/>
        <w:jc w:val="both"/>
        <w:outlineLvl w:val="2"/>
      </w:pPr>
      <w:r>
        <w:rPr>
          <w:rFonts w:ascii="黑体" w:hAnsi="黑体" w:eastAsia="黑体"/>
          <w:sz w:val="32"/>
        </w:rPr>
        <w:t>二、收入决算情况说明</w:t>
      </w:r>
    </w:p>
    <w:p w14:paraId="15C4B294">
      <w:pPr>
        <w:spacing w:line="580" w:lineRule="exact"/>
        <w:ind w:firstLine="640"/>
        <w:jc w:val="both"/>
      </w:pPr>
      <w:r>
        <w:rPr>
          <w:rFonts w:ascii="仿宋_GB2312" w:hAnsi="仿宋_GB2312" w:eastAsia="仿宋_GB2312"/>
          <w:b/>
          <w:sz w:val="32"/>
        </w:rPr>
        <w:t>本年收入1,425.07万元，</w:t>
      </w:r>
      <w:r>
        <w:rPr>
          <w:rFonts w:ascii="仿宋_GB2312" w:hAnsi="仿宋_GB2312" w:eastAsia="仿宋_GB2312"/>
          <w:b w:val="0"/>
          <w:sz w:val="32"/>
        </w:rPr>
        <w:t>其中：财政拨款收入1,375.82万元，占96.54%；上级补助收入0.00万元，占0.00%；事业收入0.00万元，占0.00%；经营收入0.00万元，占0.00%；附属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上缴收入0.00万元，占0.00%；其他收入49.26万元，占3.46%。</w:t>
      </w:r>
    </w:p>
    <w:p w14:paraId="576B5288">
      <w:pPr>
        <w:spacing w:line="640" w:lineRule="exact"/>
        <w:ind w:firstLine="640"/>
        <w:jc w:val="both"/>
        <w:outlineLvl w:val="2"/>
      </w:pPr>
      <w:r>
        <w:rPr>
          <w:rFonts w:ascii="黑体" w:hAnsi="黑体" w:eastAsia="黑体"/>
          <w:sz w:val="32"/>
        </w:rPr>
        <w:t>三、支出决算情况说明</w:t>
      </w:r>
    </w:p>
    <w:p w14:paraId="7312D8DA">
      <w:pPr>
        <w:spacing w:line="580" w:lineRule="exact"/>
        <w:ind w:firstLine="640"/>
        <w:jc w:val="both"/>
      </w:pPr>
      <w:r>
        <w:rPr>
          <w:rFonts w:ascii="仿宋_GB2312" w:hAnsi="仿宋_GB2312" w:eastAsia="仿宋_GB2312"/>
          <w:b/>
          <w:sz w:val="32"/>
        </w:rPr>
        <w:t>本年支出1,425.07万元，</w:t>
      </w:r>
      <w:r>
        <w:rPr>
          <w:rFonts w:ascii="仿宋_GB2312" w:hAnsi="仿宋_GB2312" w:eastAsia="仿宋_GB2312"/>
          <w:b w:val="0"/>
          <w:sz w:val="32"/>
        </w:rPr>
        <w:t>其中：基本支出1,425.07万元，占100.00%；项目支出0.00万元，占0.00%；上缴上级支出0.00万元，占0.00%；经营支出0.00万元，占0.00%；对附属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1F034A84">
      <w:pPr>
        <w:spacing w:line="640" w:lineRule="exact"/>
        <w:ind w:firstLine="640"/>
        <w:jc w:val="both"/>
        <w:outlineLvl w:val="2"/>
      </w:pPr>
      <w:r>
        <w:rPr>
          <w:rFonts w:ascii="黑体" w:hAnsi="黑体" w:eastAsia="黑体"/>
          <w:sz w:val="32"/>
        </w:rPr>
        <w:t>四、财政拨款收入支出决算总体情况说明</w:t>
      </w:r>
    </w:p>
    <w:p w14:paraId="14755485">
      <w:pPr>
        <w:spacing w:line="580" w:lineRule="exact"/>
        <w:ind w:firstLine="640"/>
        <w:jc w:val="both"/>
      </w:pPr>
      <w:r>
        <w:rPr>
          <w:rFonts w:ascii="仿宋_GB2312" w:hAnsi="仿宋_GB2312" w:eastAsia="仿宋_GB2312"/>
          <w:b/>
          <w:sz w:val="32"/>
        </w:rPr>
        <w:t>2024年度财政拨款收入总计1,375.82万元，</w:t>
      </w:r>
      <w:r>
        <w:rPr>
          <w:rFonts w:ascii="仿宋_GB2312" w:hAnsi="仿宋_GB2312" w:eastAsia="仿宋_GB2312"/>
          <w:b w:val="0"/>
          <w:sz w:val="32"/>
        </w:rPr>
        <w:t>其中：年初财政拨款结转和结余0.00万元，本年财政拨款收入1,375.82万元。</w:t>
      </w:r>
      <w:r>
        <w:rPr>
          <w:rFonts w:ascii="仿宋_GB2312" w:hAnsi="仿宋_GB2312" w:eastAsia="仿宋_GB2312"/>
          <w:b/>
          <w:sz w:val="32"/>
        </w:rPr>
        <w:t>财政拨款支出总计1,375.82万元，</w:t>
      </w:r>
      <w:r>
        <w:rPr>
          <w:rFonts w:ascii="仿宋_GB2312" w:hAnsi="仿宋_GB2312" w:eastAsia="仿宋_GB2312"/>
          <w:b w:val="0"/>
          <w:sz w:val="32"/>
        </w:rPr>
        <w:t>其中：年末财政拨款结转和结余0.00万元，本年财政拨款支出1,375.82万元。</w:t>
      </w:r>
    </w:p>
    <w:p w14:paraId="47C5B21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增加45.83万元，增长3.45%，主要原因是：本年在职人员工资调增，社保、公积金基数调增，人员经费增加。补发2023年年度考核奖，补发2024年7</w:t>
      </w:r>
      <w:r>
        <w:rPr>
          <w:rFonts w:hint="eastAsia" w:ascii="仿宋_GB2312" w:hAnsi="仿宋_GB2312" w:eastAsia="仿宋_GB2312"/>
          <w:b w:val="0"/>
          <w:sz w:val="32"/>
          <w:lang w:eastAsia="zh-CN"/>
        </w:rPr>
        <w:t>—</w:t>
      </w:r>
      <w:r>
        <w:rPr>
          <w:rFonts w:ascii="仿宋_GB2312" w:hAnsi="仿宋_GB2312" w:eastAsia="仿宋_GB2312"/>
          <w:b w:val="0"/>
          <w:sz w:val="32"/>
        </w:rPr>
        <w:t>12月基本工资调标。</w:t>
      </w:r>
      <w:r>
        <w:rPr>
          <w:rFonts w:ascii="仿宋_GB2312" w:hAnsi="仿宋_GB2312" w:eastAsia="仿宋_GB2312"/>
          <w:b/>
          <w:sz w:val="32"/>
        </w:rPr>
        <w:t>与年初预算相比，</w:t>
      </w:r>
      <w:r>
        <w:rPr>
          <w:rFonts w:ascii="仿宋_GB2312" w:hAnsi="仿宋_GB2312" w:eastAsia="仿宋_GB2312"/>
          <w:b w:val="0"/>
          <w:sz w:val="32"/>
        </w:rPr>
        <w:t>年初预算数1,290.51万元，决算数1,375.82万元，预决算差异率6.61%，主要原因是：年中追加人员基本工资调标补发、社保、公积金基数调增部分资金，导致预决算存在差异。</w:t>
      </w:r>
    </w:p>
    <w:p w14:paraId="39233FCD">
      <w:pPr>
        <w:spacing w:line="640" w:lineRule="exact"/>
        <w:ind w:firstLine="640"/>
        <w:jc w:val="both"/>
        <w:outlineLvl w:val="2"/>
      </w:pPr>
      <w:r>
        <w:rPr>
          <w:rFonts w:ascii="黑体" w:hAnsi="黑体" w:eastAsia="黑体"/>
          <w:sz w:val="32"/>
        </w:rPr>
        <w:t>五、一般公共预算财政拨款支出决算情况说明</w:t>
      </w:r>
    </w:p>
    <w:p w14:paraId="19CC22DA">
      <w:pPr>
        <w:spacing w:line="640" w:lineRule="exact"/>
        <w:ind w:firstLine="640"/>
        <w:jc w:val="both"/>
        <w:outlineLvl w:val="3"/>
      </w:pPr>
      <w:r>
        <w:rPr>
          <w:rFonts w:ascii="楷体_GB2312" w:hAnsi="楷体_GB2312" w:eastAsia="楷体_GB2312"/>
          <w:b/>
          <w:sz w:val="32"/>
        </w:rPr>
        <w:t>（一）一般公共预算财政拨款支出决算总体情况</w:t>
      </w:r>
    </w:p>
    <w:p w14:paraId="7E9177EE">
      <w:pPr>
        <w:spacing w:line="580" w:lineRule="exact"/>
        <w:ind w:firstLine="640"/>
        <w:jc w:val="both"/>
      </w:pPr>
      <w:r>
        <w:rPr>
          <w:rFonts w:ascii="仿宋_GB2312" w:hAnsi="仿宋_GB2312" w:eastAsia="仿宋_GB2312"/>
          <w:b/>
          <w:sz w:val="32"/>
        </w:rPr>
        <w:t>2024年度一般公共预算财政拨款支出1,375.82万元，</w:t>
      </w:r>
      <w:r>
        <w:rPr>
          <w:rFonts w:ascii="仿宋_GB2312" w:hAnsi="仿宋_GB2312" w:eastAsia="仿宋_GB2312"/>
          <w:b w:val="0"/>
          <w:sz w:val="32"/>
        </w:rPr>
        <w:t>占本年支出合计的96.54%。</w:t>
      </w:r>
      <w:r>
        <w:rPr>
          <w:rFonts w:ascii="仿宋_GB2312" w:hAnsi="仿宋_GB2312" w:eastAsia="仿宋_GB2312"/>
          <w:b/>
          <w:sz w:val="32"/>
        </w:rPr>
        <w:t>与上年相比，</w:t>
      </w:r>
      <w:r>
        <w:rPr>
          <w:rFonts w:ascii="仿宋_GB2312" w:hAnsi="仿宋_GB2312" w:eastAsia="仿宋_GB2312"/>
          <w:b w:val="0"/>
          <w:sz w:val="32"/>
        </w:rPr>
        <w:t>增加45.83万元，增长3.45%，主要原因是：本年在职人员工资调增，社保、公积金基数调增，人员经费增加。补发2023年年度考核奖，补发2024年7</w:t>
      </w:r>
      <w:r>
        <w:rPr>
          <w:rFonts w:hint="eastAsia" w:ascii="仿宋_GB2312" w:hAnsi="仿宋_GB2312" w:eastAsia="仿宋_GB2312"/>
          <w:b w:val="0"/>
          <w:sz w:val="32"/>
          <w:lang w:eastAsia="zh-CN"/>
        </w:rPr>
        <w:t>—</w:t>
      </w:r>
      <w:r>
        <w:rPr>
          <w:rFonts w:ascii="仿宋_GB2312" w:hAnsi="仿宋_GB2312" w:eastAsia="仿宋_GB2312"/>
          <w:b w:val="0"/>
          <w:sz w:val="32"/>
        </w:rPr>
        <w:t>12月基本工资调标。</w:t>
      </w:r>
      <w:r>
        <w:rPr>
          <w:rFonts w:ascii="仿宋_GB2312" w:hAnsi="仿宋_GB2312" w:eastAsia="仿宋_GB2312"/>
          <w:b/>
          <w:sz w:val="32"/>
        </w:rPr>
        <w:t>与年初预算相比,</w:t>
      </w:r>
      <w:r>
        <w:rPr>
          <w:rFonts w:ascii="仿宋_GB2312" w:hAnsi="仿宋_GB2312" w:eastAsia="仿宋_GB2312"/>
          <w:b w:val="0"/>
          <w:sz w:val="32"/>
        </w:rPr>
        <w:t>年初预算数1,290.51万元，决算数1,375.82万元，预决算差异率6.61%，主要原因是：年中追加人员工资、社保、公积金基数调增部分资金，导致预决算存在差异。</w:t>
      </w:r>
    </w:p>
    <w:p w14:paraId="52ECC5EE">
      <w:pPr>
        <w:spacing w:line="640" w:lineRule="exact"/>
        <w:ind w:firstLine="640"/>
        <w:jc w:val="both"/>
        <w:outlineLvl w:val="3"/>
      </w:pPr>
      <w:r>
        <w:rPr>
          <w:rFonts w:ascii="楷体_GB2312" w:hAnsi="楷体_GB2312" w:eastAsia="楷体_GB2312"/>
          <w:b/>
          <w:sz w:val="32"/>
        </w:rPr>
        <w:t>（二）一般公共预算财政拨款支出决算结构情况</w:t>
      </w:r>
    </w:p>
    <w:p w14:paraId="09082CCC">
      <w:pPr>
        <w:spacing w:line="580" w:lineRule="exact"/>
        <w:ind w:firstLine="640"/>
        <w:jc w:val="both"/>
      </w:pPr>
      <w:r>
        <w:rPr>
          <w:rFonts w:ascii="仿宋_GB2312" w:hAnsi="仿宋_GB2312" w:eastAsia="仿宋_GB2312"/>
          <w:b w:val="0"/>
          <w:sz w:val="32"/>
        </w:rPr>
        <w:t>1.教育支出(类)1,142.28万元,占83.03%。</w:t>
      </w:r>
    </w:p>
    <w:p w14:paraId="0F411B63">
      <w:pPr>
        <w:spacing w:line="580" w:lineRule="exact"/>
        <w:ind w:firstLine="640"/>
        <w:jc w:val="both"/>
      </w:pPr>
      <w:r>
        <w:rPr>
          <w:rFonts w:ascii="仿宋_GB2312" w:hAnsi="仿宋_GB2312" w:eastAsia="仿宋_GB2312"/>
          <w:b w:val="0"/>
          <w:sz w:val="32"/>
        </w:rPr>
        <w:t>2.社会保障和就业支出(类)120.47万元,占8.76%。</w:t>
      </w:r>
    </w:p>
    <w:p w14:paraId="4E25A8AB">
      <w:pPr>
        <w:spacing w:line="580" w:lineRule="exact"/>
        <w:ind w:firstLine="640"/>
        <w:jc w:val="both"/>
      </w:pPr>
      <w:r>
        <w:rPr>
          <w:rFonts w:ascii="仿宋_GB2312" w:hAnsi="仿宋_GB2312" w:eastAsia="仿宋_GB2312"/>
          <w:b w:val="0"/>
          <w:sz w:val="32"/>
        </w:rPr>
        <w:t>3.卫生健康支出(类)13.03万元,占0.95%。</w:t>
      </w:r>
    </w:p>
    <w:p w14:paraId="7322F2E0">
      <w:pPr>
        <w:spacing w:line="580" w:lineRule="exact"/>
        <w:ind w:firstLine="640"/>
        <w:jc w:val="both"/>
      </w:pPr>
      <w:r>
        <w:rPr>
          <w:rFonts w:ascii="仿宋_GB2312" w:hAnsi="仿宋_GB2312" w:eastAsia="仿宋_GB2312"/>
          <w:b w:val="0"/>
          <w:sz w:val="32"/>
        </w:rPr>
        <w:t>4.住房保障支出(类)100.04万元,占7.27%。</w:t>
      </w:r>
    </w:p>
    <w:p w14:paraId="530F1A3F">
      <w:pPr>
        <w:spacing w:line="640" w:lineRule="exact"/>
        <w:ind w:firstLine="640"/>
        <w:jc w:val="both"/>
        <w:outlineLvl w:val="3"/>
      </w:pPr>
      <w:r>
        <w:rPr>
          <w:rFonts w:ascii="楷体_GB2312" w:hAnsi="楷体_GB2312" w:eastAsia="楷体_GB2312"/>
          <w:b/>
          <w:sz w:val="32"/>
        </w:rPr>
        <w:t>（三）一般公共预算财政拨款支出决算具体情况</w:t>
      </w:r>
    </w:p>
    <w:p w14:paraId="4A6BB18E">
      <w:pPr>
        <w:spacing w:line="580" w:lineRule="exact"/>
        <w:ind w:firstLine="640"/>
        <w:jc w:val="both"/>
      </w:pPr>
      <w:r>
        <w:rPr>
          <w:rFonts w:ascii="仿宋_GB2312" w:hAnsi="仿宋_GB2312" w:eastAsia="仿宋_GB2312"/>
          <w:b w:val="0"/>
          <w:sz w:val="32"/>
        </w:rPr>
        <w:t>1.教育支出(类)普通教育(款)小学教育(项):支出决算数为1,142.28万元，比上年决算增加4.11万元，增长0.36%,主要原因是：本年在职人员工资调增，人员经费增加。补发2023年年度考核奖，补发2024年7</w:t>
      </w:r>
      <w:r>
        <w:rPr>
          <w:rFonts w:hint="eastAsia" w:ascii="仿宋_GB2312" w:hAnsi="仿宋_GB2312" w:eastAsia="仿宋_GB2312"/>
          <w:b w:val="0"/>
          <w:sz w:val="32"/>
          <w:lang w:eastAsia="zh-CN"/>
        </w:rPr>
        <w:t>—</w:t>
      </w:r>
      <w:r>
        <w:rPr>
          <w:rFonts w:ascii="仿宋_GB2312" w:hAnsi="仿宋_GB2312" w:eastAsia="仿宋_GB2312"/>
          <w:b w:val="0"/>
          <w:sz w:val="32"/>
        </w:rPr>
        <w:t>12月基本工资调标。</w:t>
      </w:r>
    </w:p>
    <w:p w14:paraId="6DF15D2B">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基本养老保险缴费支出(项):支出决算数为86.74万元，比上年决算减少11.95万元，下降12.11%,主要原因是：2024年</w:t>
      </w:r>
      <w:r>
        <w:rPr>
          <w:rFonts w:hint="eastAsia" w:ascii="仿宋_GB2312" w:hAnsi="仿宋_GB2312" w:eastAsia="仿宋_GB2312"/>
          <w:b w:val="0"/>
          <w:sz w:val="32"/>
          <w:lang w:eastAsia="zh-CN"/>
        </w:rPr>
        <w:t>本单位</w:t>
      </w:r>
      <w:r>
        <w:rPr>
          <w:rFonts w:ascii="仿宋_GB2312" w:hAnsi="仿宋_GB2312" w:eastAsia="仿宋_GB2312"/>
          <w:b w:val="0"/>
          <w:sz w:val="32"/>
        </w:rPr>
        <w:t>在职人员减少6人，养老保险缴费支出减少。</w:t>
      </w:r>
    </w:p>
    <w:p w14:paraId="1987544B">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职业年金缴费支出(项):支出决算数为26.40万元，比上年决算增加11.66万元，增长79.10%,主要原因是：本年新增退休人员，职业年金缴费支出增加。</w:t>
      </w:r>
    </w:p>
    <w:p w14:paraId="3C400181">
      <w:pPr>
        <w:spacing w:line="580" w:lineRule="exact"/>
        <w:ind w:firstLine="640"/>
        <w:jc w:val="both"/>
      </w:pPr>
      <w:r>
        <w:rPr>
          <w:rFonts w:ascii="仿宋_GB2312" w:hAnsi="仿宋_GB2312" w:eastAsia="仿宋_GB2312"/>
          <w:b w:val="0"/>
          <w:sz w:val="32"/>
        </w:rPr>
        <w:t>4.社会保障和就业支出(类)抚恤(款)死亡抚恤(项):支出决算数为7.34万元，比上年决算增加7.34万元，增长100.00%,主要原因是：本年新增死亡人员，死亡抚恤支出增加。</w:t>
      </w:r>
    </w:p>
    <w:p w14:paraId="3398E3F1">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医疗(项):支出决算数为12.82万元，比上年决算增加12.82万元，增长100.00%,主要原因是：本年功能科目调整，事业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医疗支出上年度在主科目列支，本年单独列支，导致经费较上年增加。</w:t>
      </w:r>
    </w:p>
    <w:p w14:paraId="5346ACCC">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医疗支出(项):支出决算数为0.21万元，比上年决算增加0.21万元，增长100.00%,主要原因是：本年功能科目调整，其他行政事业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医疗支出上年度在主科目列支，本年单独列支，导致经费较上年增加。</w:t>
      </w:r>
    </w:p>
    <w:p w14:paraId="3B4E218F">
      <w:pPr>
        <w:spacing w:line="580" w:lineRule="exact"/>
        <w:ind w:firstLine="640"/>
        <w:jc w:val="both"/>
      </w:pPr>
      <w:r>
        <w:rPr>
          <w:rFonts w:ascii="仿宋_GB2312" w:hAnsi="仿宋_GB2312" w:eastAsia="仿宋_GB2312"/>
          <w:b w:val="0"/>
          <w:sz w:val="32"/>
        </w:rPr>
        <w:t>7.住房保障支出(类)住房改革支出(款)住房公积金(项):支出决算数为100.04万元，比上年决算增加21.65万元，增长27.62%,主要原因是：本年在职人员工资基数调增，公积金缴费基数上涨，相应支出增加。本年功能科目调整，部分住房公积金上年度在主科目列支，本年单独列支，导致经费较上年增加。</w:t>
      </w:r>
    </w:p>
    <w:p w14:paraId="2C9C8988">
      <w:pPr>
        <w:spacing w:line="640" w:lineRule="exact"/>
        <w:ind w:firstLine="640"/>
        <w:jc w:val="both"/>
        <w:outlineLvl w:val="2"/>
      </w:pPr>
      <w:r>
        <w:rPr>
          <w:rFonts w:ascii="黑体" w:hAnsi="黑体" w:eastAsia="黑体"/>
          <w:sz w:val="32"/>
        </w:rPr>
        <w:t>六、一般公共预算财政拨款基本支出决算情况说明</w:t>
      </w:r>
    </w:p>
    <w:p w14:paraId="379C12C5">
      <w:pPr>
        <w:spacing w:line="580" w:lineRule="exact"/>
        <w:ind w:firstLine="640"/>
        <w:jc w:val="both"/>
      </w:pPr>
      <w:r>
        <w:rPr>
          <w:rFonts w:ascii="仿宋_GB2312" w:hAnsi="仿宋_GB2312" w:eastAsia="仿宋_GB2312"/>
          <w:b w:val="0"/>
          <w:sz w:val="32"/>
        </w:rPr>
        <w:t>2024年度一般公共预算财政拨款基本支出1,375.82万元，其中：</w:t>
      </w:r>
      <w:r>
        <w:rPr>
          <w:rFonts w:ascii="仿宋_GB2312" w:hAnsi="仿宋_GB2312" w:eastAsia="仿宋_GB2312"/>
          <w:b/>
          <w:sz w:val="32"/>
        </w:rPr>
        <w:t>人员经费1,311.27万元，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基本养老保险缴费、职业年金缴费、职工基本医疗保险缴费、其他社会保障缴费、住房公积金、退休费、抚恤金、生活补助、助学金。</w:t>
      </w:r>
    </w:p>
    <w:p w14:paraId="05CF93D0">
      <w:pPr>
        <w:spacing w:line="580" w:lineRule="exact"/>
        <w:ind w:firstLine="640"/>
        <w:jc w:val="both"/>
      </w:pPr>
      <w:r>
        <w:rPr>
          <w:rFonts w:ascii="仿宋_GB2312" w:hAnsi="仿宋_GB2312" w:eastAsia="仿宋_GB2312"/>
          <w:b/>
          <w:sz w:val="32"/>
        </w:rPr>
        <w:t>公用经费64.55万元，</w:t>
      </w:r>
      <w:r>
        <w:rPr>
          <w:rFonts w:ascii="仿宋_GB2312" w:hAnsi="仿宋_GB2312" w:eastAsia="仿宋_GB2312"/>
          <w:b w:val="0"/>
          <w:sz w:val="32"/>
        </w:rPr>
        <w:t>包括：办公费、取暖费、物业管理费、维修（护）费、培训费、工会经费。</w:t>
      </w:r>
    </w:p>
    <w:p w14:paraId="1730F5CF">
      <w:pPr>
        <w:spacing w:line="640" w:lineRule="exact"/>
        <w:ind w:firstLine="640"/>
        <w:jc w:val="both"/>
        <w:outlineLvl w:val="2"/>
      </w:pPr>
      <w:r>
        <w:rPr>
          <w:rFonts w:ascii="黑体" w:hAnsi="黑体" w:eastAsia="黑体"/>
          <w:sz w:val="32"/>
        </w:rPr>
        <w:t>七、政府性基金预算财政拨款收入支出决算情况说明</w:t>
      </w:r>
    </w:p>
    <w:p w14:paraId="733D9095">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491C3BB3">
      <w:pPr>
        <w:spacing w:line="640" w:lineRule="exact"/>
        <w:ind w:firstLine="640"/>
        <w:jc w:val="both"/>
        <w:outlineLvl w:val="2"/>
      </w:pPr>
      <w:r>
        <w:rPr>
          <w:rFonts w:ascii="黑体" w:hAnsi="黑体" w:eastAsia="黑体"/>
          <w:sz w:val="32"/>
        </w:rPr>
        <w:t>八、国有资本经营预算财政拨款收入支出决算情况说明</w:t>
      </w:r>
    </w:p>
    <w:p w14:paraId="6478F960">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52143DF0">
      <w:pPr>
        <w:spacing w:line="640" w:lineRule="exact"/>
        <w:ind w:firstLine="640"/>
        <w:jc w:val="both"/>
        <w:outlineLvl w:val="2"/>
      </w:pPr>
      <w:r>
        <w:rPr>
          <w:rFonts w:ascii="黑体" w:hAnsi="黑体" w:eastAsia="黑体"/>
          <w:sz w:val="32"/>
        </w:rPr>
        <w:t>九、财政拨款“三公”经费支出决算情况说明</w:t>
      </w:r>
    </w:p>
    <w:p w14:paraId="4D548E8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2659E77">
      <w:pPr>
        <w:spacing w:line="580" w:lineRule="exact"/>
        <w:ind w:firstLine="640"/>
        <w:jc w:val="both"/>
      </w:pPr>
      <w:r>
        <w:rPr>
          <w:rFonts w:ascii="仿宋_GB2312" w:hAnsi="仿宋_GB2312" w:eastAsia="仿宋_GB2312"/>
          <w:b/>
          <w:sz w:val="32"/>
        </w:rPr>
        <w:t>具体情况如下：</w:t>
      </w:r>
    </w:p>
    <w:p w14:paraId="356D3E0F">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3FF53FF8">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无公务用车运行维护费。公务用车购置数0辆，公务用车保有量0辆。国有资产占用情况中固定资产车辆0辆，与公务用车保有量差异原因是：本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无固定资产车辆。</w:t>
      </w:r>
    </w:p>
    <w:p w14:paraId="77367DB7">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3918A43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5B48C50A">
      <w:pPr>
        <w:spacing w:line="640" w:lineRule="exact"/>
        <w:ind w:firstLine="640"/>
        <w:jc w:val="both"/>
        <w:outlineLvl w:val="2"/>
      </w:pPr>
      <w:r>
        <w:rPr>
          <w:rFonts w:ascii="黑体" w:hAnsi="黑体" w:eastAsia="黑体"/>
          <w:sz w:val="32"/>
        </w:rPr>
        <w:t>十、其他重要事项的情况说明</w:t>
      </w:r>
    </w:p>
    <w:p w14:paraId="32726AD9">
      <w:pPr>
        <w:spacing w:line="640" w:lineRule="exact"/>
        <w:ind w:firstLine="640"/>
        <w:jc w:val="both"/>
        <w:outlineLvl w:val="3"/>
      </w:pPr>
      <w:r>
        <w:rPr>
          <w:rFonts w:ascii="楷体_GB2312" w:hAnsi="楷体_GB2312" w:eastAsia="楷体_GB2312"/>
          <w:b/>
          <w:sz w:val="32"/>
        </w:rPr>
        <w:t>（一）机关运行经费及公用经费支出情况</w:t>
      </w:r>
    </w:p>
    <w:p w14:paraId="13AB2F26">
      <w:pPr>
        <w:spacing w:line="580" w:lineRule="exact"/>
        <w:ind w:firstLine="640"/>
        <w:jc w:val="both"/>
      </w:pPr>
      <w:r>
        <w:rPr>
          <w:rFonts w:ascii="仿宋_GB2312" w:hAnsi="仿宋_GB2312" w:eastAsia="仿宋_GB2312"/>
          <w:b w:val="0"/>
          <w:sz w:val="32"/>
        </w:rPr>
        <w:t>2024年度特克斯县第一小学（事业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）公用经费支出64.55万元，比上年减少18.48万元，下降22.26%，主要原因是：学生人数减少，公用经费支出减少</w:t>
      </w:r>
      <w:r>
        <w:rPr>
          <w:rFonts w:hint="eastAsia" w:ascii="仿宋_GB2312" w:hAnsi="仿宋_GB2312" w:eastAsia="仿宋_GB2312"/>
          <w:b w:val="0"/>
          <w:sz w:val="32"/>
          <w:lang w:eastAsia="zh-CN"/>
        </w:rPr>
        <w:t>，</w:t>
      </w:r>
      <w:r>
        <w:rPr>
          <w:rFonts w:ascii="仿宋_GB2312" w:hAnsi="仿宋_GB2312" w:eastAsia="仿宋_GB2312"/>
          <w:b w:val="0"/>
          <w:sz w:val="32"/>
        </w:rPr>
        <w:t>减少维修（护）费。</w:t>
      </w:r>
    </w:p>
    <w:p w14:paraId="29510FDE">
      <w:pPr>
        <w:spacing w:line="640" w:lineRule="exact"/>
        <w:ind w:firstLine="640"/>
        <w:jc w:val="both"/>
        <w:outlineLvl w:val="3"/>
      </w:pPr>
      <w:r>
        <w:rPr>
          <w:rFonts w:ascii="楷体_GB2312" w:hAnsi="楷体_GB2312" w:eastAsia="楷体_GB2312"/>
          <w:b/>
          <w:sz w:val="32"/>
        </w:rPr>
        <w:t>（二）政府采购情况</w:t>
      </w:r>
    </w:p>
    <w:p w14:paraId="0173E5A2">
      <w:pPr>
        <w:spacing w:line="580" w:lineRule="exact"/>
        <w:ind w:firstLine="640"/>
        <w:jc w:val="both"/>
      </w:pPr>
      <w:r>
        <w:rPr>
          <w:rFonts w:ascii="仿宋_GB2312" w:hAnsi="仿宋_GB2312" w:eastAsia="仿宋_GB2312"/>
          <w:b w:val="0"/>
          <w:sz w:val="32"/>
        </w:rPr>
        <w:t>2024年度政府采购支出总额15.83万元，其中：政府采购货物支出15.73万元、政府采购工程支出0.00万元、政府采购服务支出0.10万元。</w:t>
      </w:r>
    </w:p>
    <w:p w14:paraId="0D368F86">
      <w:pPr>
        <w:spacing w:line="580" w:lineRule="exact"/>
        <w:ind w:firstLine="640"/>
        <w:jc w:val="both"/>
      </w:pPr>
      <w:r>
        <w:rPr>
          <w:rFonts w:ascii="仿宋_GB2312" w:hAnsi="仿宋_GB2312" w:eastAsia="仿宋_GB2312"/>
          <w:b w:val="0"/>
          <w:sz w:val="32"/>
        </w:rPr>
        <w:t>授予中小企业合同金额15.83万元，占政府采购支出总额的100.00%，其中：授予小微企业合同金额15.83万元，占政府采购支出总额的100.00%。</w:t>
      </w:r>
    </w:p>
    <w:p w14:paraId="3B572619">
      <w:pPr>
        <w:spacing w:line="640" w:lineRule="exact"/>
        <w:ind w:firstLine="640"/>
        <w:jc w:val="both"/>
        <w:outlineLvl w:val="3"/>
      </w:pPr>
      <w:r>
        <w:rPr>
          <w:rFonts w:ascii="楷体_GB2312" w:hAnsi="楷体_GB2312" w:eastAsia="楷体_GB2312"/>
          <w:b/>
          <w:sz w:val="32"/>
        </w:rPr>
        <w:t>（三）国有资产占用情况说明</w:t>
      </w:r>
    </w:p>
    <w:p w14:paraId="7483CB36">
      <w:pPr>
        <w:spacing w:line="580" w:lineRule="exact"/>
        <w:ind w:firstLine="640"/>
        <w:jc w:val="both"/>
      </w:pPr>
      <w:r>
        <w:rPr>
          <w:rFonts w:ascii="仿宋_GB2312" w:hAnsi="仿宋_GB2312" w:eastAsia="仿宋_GB2312"/>
          <w:b w:val="0"/>
          <w:sz w:val="32"/>
        </w:rPr>
        <w:t>截至2024年12月31日，房屋3,198.24平方米，价值240.71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49119D08">
      <w:pPr>
        <w:spacing w:line="640" w:lineRule="exact"/>
        <w:ind w:firstLine="640"/>
        <w:jc w:val="both"/>
        <w:outlineLvl w:val="2"/>
      </w:pPr>
      <w:r>
        <w:rPr>
          <w:rFonts w:ascii="黑体" w:hAnsi="黑体" w:eastAsia="黑体"/>
          <w:sz w:val="32"/>
        </w:rPr>
        <w:t>十一、预算绩效的情况说明</w:t>
      </w:r>
    </w:p>
    <w:p w14:paraId="527B1D51">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2024年度预算绩效管理形成整体支出绩效自评表1个，全年预算总额1,425.07万元，实际执行总额1,425.07万元；预算绩效评价项目0个，全年预算数0.00万元，全年执行数0.00万元。预算绩效管理取得的成效：2024年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无预算绩效项目。发现的问题及原因：2024年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无预算绩效项目。下一步改进措施：2024年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无预算绩效项目。具体附整体支出绩效自评表。</w:t>
      </w:r>
    </w:p>
    <w:p w14:paraId="432DBB18">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325"/>
        <w:gridCol w:w="210"/>
        <w:gridCol w:w="570"/>
        <w:gridCol w:w="370"/>
        <w:gridCol w:w="735"/>
        <w:gridCol w:w="785"/>
        <w:gridCol w:w="320"/>
        <w:gridCol w:w="550"/>
        <w:gridCol w:w="555"/>
        <w:gridCol w:w="355"/>
        <w:gridCol w:w="750"/>
      </w:tblGrid>
      <w:tr w14:paraId="5D0C41DF">
        <w:tblPrEx>
          <w:tblCellMar>
            <w:top w:w="0" w:type="dxa"/>
            <w:left w:w="108" w:type="dxa"/>
            <w:bottom w:w="0" w:type="dxa"/>
            <w:right w:w="108" w:type="dxa"/>
          </w:tblCellMar>
        </w:tblPrEx>
        <w:tc>
          <w:tcPr>
            <w:tcW w:w="8840" w:type="dxa"/>
            <w:gridSpan w:val="14"/>
            <w:vAlign w:val="center"/>
          </w:tcPr>
          <w:p w14:paraId="570FF583">
            <w:pPr>
              <w:jc w:val="center"/>
            </w:pPr>
            <w:r>
              <w:rPr>
                <w:rFonts w:hint="eastAsia" w:ascii="宋体" w:hAnsi="宋体"/>
                <w:sz w:val="24"/>
                <w:lang w:eastAsia="zh-CN"/>
              </w:rPr>
              <w:t>单位</w:t>
            </w:r>
            <w:r>
              <w:rPr>
                <w:rFonts w:ascii="宋体" w:hAnsi="宋体" w:eastAsia="宋体"/>
                <w:sz w:val="24"/>
              </w:rPr>
              <w:t>整体支出绩效自评表</w:t>
            </w:r>
          </w:p>
        </w:tc>
      </w:tr>
      <w:tr w14:paraId="123CAD67">
        <w:tblPrEx>
          <w:tblCellMar>
            <w:top w:w="0" w:type="dxa"/>
            <w:left w:w="108" w:type="dxa"/>
            <w:bottom w:w="0" w:type="dxa"/>
            <w:right w:w="108" w:type="dxa"/>
          </w:tblCellMar>
        </w:tblPrEx>
        <w:tc>
          <w:tcPr>
            <w:tcW w:w="8840" w:type="dxa"/>
            <w:gridSpan w:val="14"/>
            <w:vAlign w:val="center"/>
          </w:tcPr>
          <w:p w14:paraId="0090B788">
            <w:pPr>
              <w:jc w:val="center"/>
            </w:pPr>
            <w:r>
              <w:rPr>
                <w:rFonts w:ascii="宋体" w:hAnsi="宋体" w:eastAsia="宋体"/>
                <w:sz w:val="24"/>
              </w:rPr>
              <w:t>（2024年度）</w:t>
            </w:r>
          </w:p>
        </w:tc>
      </w:tr>
      <w:tr w14:paraId="036449F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E5189E">
            <w:pPr>
              <w:jc w:val="center"/>
            </w:pPr>
            <w:r>
              <w:rPr>
                <w:rFonts w:hint="eastAsia" w:ascii="宋体" w:hAnsi="宋体"/>
                <w:sz w:val="16"/>
                <w:lang w:eastAsia="zh-CN"/>
              </w:rPr>
              <w:t>单位</w:t>
            </w:r>
            <w:r>
              <w:rPr>
                <w:rFonts w:ascii="宋体" w:hAnsi="宋体" w:eastAsia="宋体"/>
                <w:sz w:val="16"/>
              </w:rPr>
              <w:t>名称</w:t>
            </w:r>
          </w:p>
        </w:tc>
        <w:tc>
          <w:tcPr>
            <w:tcW w:w="773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F2DA05">
            <w:pPr>
              <w:jc w:val="center"/>
            </w:pPr>
            <w:r>
              <w:rPr>
                <w:rFonts w:ascii="宋体" w:hAnsi="宋体" w:eastAsia="宋体"/>
                <w:sz w:val="16"/>
              </w:rPr>
              <w:t>特克斯县第一小学</w:t>
            </w:r>
          </w:p>
        </w:tc>
      </w:tr>
      <w:tr w14:paraId="7438AFA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3EB06">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56D2E7">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701789">
            <w:pPr>
              <w:jc w:val="center"/>
            </w:pPr>
            <w:r>
              <w:rPr>
                <w:rFonts w:ascii="宋体" w:hAnsi="宋体" w:eastAsia="宋体"/>
                <w:sz w:val="16"/>
              </w:rPr>
              <w:t>年初预算数</w:t>
            </w:r>
          </w:p>
        </w:tc>
        <w:tc>
          <w:tcPr>
            <w:tcW w:w="110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602CAD">
            <w:pPr>
              <w:jc w:val="center"/>
            </w:pPr>
            <w:r>
              <w:rPr>
                <w:rFonts w:ascii="宋体" w:hAnsi="宋体" w:eastAsia="宋体"/>
                <w:sz w:val="16"/>
              </w:rPr>
              <w:t>全年预算数</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6EA82">
            <w:pPr>
              <w:jc w:val="center"/>
            </w:pPr>
            <w:r>
              <w:rPr>
                <w:rFonts w:ascii="宋体" w:hAnsi="宋体" w:eastAsia="宋体"/>
                <w:sz w:val="16"/>
              </w:rPr>
              <w:t>全年执行数</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1324C">
            <w:pPr>
              <w:jc w:val="center"/>
            </w:pPr>
            <w:r>
              <w:rPr>
                <w:rFonts w:ascii="宋体" w:hAnsi="宋体" w:eastAsia="宋体"/>
                <w:sz w:val="16"/>
              </w:rPr>
              <w:t>分值权重</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58ABB">
            <w:pPr>
              <w:jc w:val="center"/>
            </w:pPr>
            <w:r>
              <w:rPr>
                <w:rFonts w:ascii="宋体" w:hAnsi="宋体" w:eastAsia="宋体"/>
                <w:sz w:val="16"/>
              </w:rPr>
              <w:t>执行率</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C03B7">
            <w:pPr>
              <w:jc w:val="center"/>
            </w:pPr>
            <w:r>
              <w:rPr>
                <w:rFonts w:ascii="宋体" w:hAnsi="宋体" w:eastAsia="宋体"/>
                <w:sz w:val="16"/>
              </w:rPr>
              <w:t>得分</w:t>
            </w:r>
          </w:p>
        </w:tc>
      </w:tr>
      <w:tr w14:paraId="6E7C533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3D156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A2460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32BECE">
            <w:pPr>
              <w:jc w:val="center"/>
            </w:pPr>
            <w:r>
              <w:rPr>
                <w:rFonts w:ascii="宋体" w:hAnsi="宋体" w:eastAsia="宋体"/>
                <w:sz w:val="16"/>
              </w:rPr>
              <w:t>1,275.50</w:t>
            </w:r>
          </w:p>
        </w:tc>
        <w:tc>
          <w:tcPr>
            <w:tcW w:w="110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EC641D">
            <w:pPr>
              <w:jc w:val="center"/>
            </w:pPr>
            <w:r>
              <w:rPr>
                <w:rFonts w:ascii="宋体" w:hAnsi="宋体" w:eastAsia="宋体"/>
                <w:sz w:val="16"/>
              </w:rPr>
              <w:t>1,425.07</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8453B">
            <w:pPr>
              <w:jc w:val="center"/>
            </w:pPr>
            <w:r>
              <w:rPr>
                <w:rFonts w:ascii="宋体" w:hAnsi="宋体" w:eastAsia="宋体"/>
                <w:sz w:val="16"/>
              </w:rPr>
              <w:t>1,425.07</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FC6CD">
            <w:pPr>
              <w:jc w:val="center"/>
            </w:pPr>
            <w:r>
              <w:rPr>
                <w:rFonts w:ascii="宋体" w:hAnsi="宋体" w:eastAsia="宋体"/>
                <w:sz w:val="16"/>
              </w:rPr>
              <w:t>10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74987">
            <w:pPr>
              <w:jc w:val="center"/>
            </w:pPr>
            <w:r>
              <w:rPr>
                <w:rFonts w:ascii="宋体" w:hAnsi="宋体" w:eastAsia="宋体"/>
                <w:sz w:val="16"/>
              </w:rPr>
              <w:t>100%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19D8C">
            <w:pPr>
              <w:jc w:val="center"/>
            </w:pPr>
            <w:r>
              <w:rPr>
                <w:rFonts w:ascii="宋体" w:hAnsi="宋体" w:eastAsia="宋体"/>
                <w:sz w:val="16"/>
              </w:rPr>
              <w:t>10</w:t>
            </w:r>
          </w:p>
        </w:tc>
      </w:tr>
      <w:tr w14:paraId="703AD68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902D2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D82834">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DDA115">
            <w:pPr>
              <w:jc w:val="center"/>
            </w:pPr>
            <w:r>
              <w:rPr>
                <w:rFonts w:ascii="宋体" w:hAnsi="宋体" w:eastAsia="宋体"/>
                <w:sz w:val="16"/>
              </w:rPr>
              <w:t>0.00</w:t>
            </w:r>
          </w:p>
        </w:tc>
        <w:tc>
          <w:tcPr>
            <w:tcW w:w="110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A3CE4D">
            <w:pPr>
              <w:jc w:val="center"/>
            </w:pPr>
            <w:r>
              <w:rPr>
                <w:rFonts w:ascii="宋体" w:hAnsi="宋体" w:eastAsia="宋体"/>
                <w:sz w:val="16"/>
              </w:rPr>
              <w:t>0.00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198A8">
            <w:pPr>
              <w:jc w:val="center"/>
            </w:pPr>
            <w:r>
              <w:rPr>
                <w:rFonts w:ascii="宋体" w:hAnsi="宋体" w:eastAsia="宋体"/>
                <w:sz w:val="16"/>
              </w:rPr>
              <w:t>0.00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AA6C0">
            <w:pPr>
              <w:jc w:val="center"/>
            </w:pPr>
            <w:r>
              <w:rPr>
                <w:rFonts w:ascii="宋体" w:hAnsi="宋体" w:eastAsia="宋体"/>
                <w:sz w:val="16"/>
              </w:rPr>
              <w:t>-</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FC813">
            <w:pPr>
              <w:jc w:val="center"/>
            </w:pPr>
            <w:r>
              <w:rPr>
                <w:rFonts w:ascii="宋体" w:hAnsi="宋体" w:eastAsia="宋体"/>
                <w:sz w:val="16"/>
              </w:rPr>
              <w:t>-</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2A0E4">
            <w:pPr>
              <w:jc w:val="center"/>
            </w:pPr>
            <w:r>
              <w:rPr>
                <w:rFonts w:ascii="宋体" w:hAnsi="宋体" w:eastAsia="宋体"/>
                <w:sz w:val="16"/>
              </w:rPr>
              <w:t>-</w:t>
            </w:r>
          </w:p>
        </w:tc>
      </w:tr>
      <w:tr w14:paraId="77B92CD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CD8F1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163F97">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E57EDE">
            <w:pPr>
              <w:jc w:val="center"/>
            </w:pPr>
            <w:r>
              <w:rPr>
                <w:rFonts w:ascii="宋体" w:hAnsi="宋体" w:eastAsia="宋体"/>
                <w:sz w:val="16"/>
              </w:rPr>
              <w:t>1,275.50</w:t>
            </w:r>
          </w:p>
        </w:tc>
        <w:tc>
          <w:tcPr>
            <w:tcW w:w="110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641182">
            <w:pPr>
              <w:jc w:val="center"/>
            </w:pPr>
            <w:r>
              <w:rPr>
                <w:rFonts w:ascii="宋体" w:hAnsi="宋体" w:eastAsia="宋体"/>
                <w:sz w:val="16"/>
              </w:rPr>
              <w:t>1,425.07</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4C24C">
            <w:pPr>
              <w:jc w:val="center"/>
            </w:pPr>
            <w:r>
              <w:rPr>
                <w:rFonts w:ascii="宋体" w:hAnsi="宋体" w:eastAsia="宋体"/>
                <w:sz w:val="16"/>
              </w:rPr>
              <w:t>1,425.07</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5E8EA">
            <w:pPr>
              <w:jc w:val="center"/>
            </w:pPr>
            <w:r>
              <w:rPr>
                <w:rFonts w:ascii="宋体" w:hAnsi="宋体" w:eastAsia="宋体"/>
                <w:sz w:val="16"/>
              </w:rPr>
              <w:t>-</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7AB84">
            <w:pPr>
              <w:jc w:val="center"/>
            </w:pPr>
            <w:r>
              <w:rPr>
                <w:rFonts w:ascii="宋体" w:hAnsi="宋体" w:eastAsia="宋体"/>
                <w:sz w:val="16"/>
              </w:rPr>
              <w:t>-</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04E63">
            <w:pPr>
              <w:jc w:val="center"/>
            </w:pPr>
            <w:r>
              <w:rPr>
                <w:rFonts w:ascii="宋体" w:hAnsi="宋体" w:eastAsia="宋体"/>
                <w:sz w:val="16"/>
              </w:rPr>
              <w:t>-</w:t>
            </w:r>
          </w:p>
        </w:tc>
      </w:tr>
      <w:tr w14:paraId="5B28281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0CDF3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776B2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577E66">
            <w:pPr>
              <w:jc w:val="center"/>
            </w:pPr>
            <w:r>
              <w:rPr>
                <w:rFonts w:ascii="宋体" w:hAnsi="宋体" w:eastAsia="宋体"/>
                <w:sz w:val="16"/>
              </w:rPr>
              <w:t>0.00</w:t>
            </w:r>
          </w:p>
        </w:tc>
        <w:tc>
          <w:tcPr>
            <w:tcW w:w="110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3D91E9">
            <w:pPr>
              <w:jc w:val="center"/>
            </w:pPr>
            <w:r>
              <w:rPr>
                <w:rFonts w:ascii="宋体" w:hAnsi="宋体" w:eastAsia="宋体"/>
                <w:sz w:val="16"/>
              </w:rPr>
              <w:t>0.00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A15D9">
            <w:pPr>
              <w:jc w:val="center"/>
            </w:pPr>
            <w:r>
              <w:rPr>
                <w:rFonts w:ascii="宋体" w:hAnsi="宋体" w:eastAsia="宋体"/>
                <w:sz w:val="16"/>
              </w:rPr>
              <w:t>0.00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63A54">
            <w:pPr>
              <w:jc w:val="center"/>
            </w:pPr>
            <w:r>
              <w:rPr>
                <w:rFonts w:ascii="宋体" w:hAnsi="宋体" w:eastAsia="宋体"/>
                <w:sz w:val="16"/>
              </w:rPr>
              <w:t>-</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3E60E">
            <w:pPr>
              <w:jc w:val="center"/>
            </w:pPr>
            <w:r>
              <w:rPr>
                <w:rFonts w:ascii="宋体" w:hAnsi="宋体" w:eastAsia="宋体"/>
                <w:sz w:val="16"/>
              </w:rPr>
              <w:t>-</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BC773">
            <w:pPr>
              <w:jc w:val="center"/>
            </w:pPr>
            <w:r>
              <w:rPr>
                <w:rFonts w:ascii="宋体" w:hAnsi="宋体" w:eastAsia="宋体"/>
                <w:sz w:val="16"/>
              </w:rPr>
              <w:t>-</w:t>
            </w:r>
          </w:p>
        </w:tc>
      </w:tr>
      <w:tr w14:paraId="699B94D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F93E8">
            <w:pPr>
              <w:jc w:val="center"/>
            </w:pPr>
            <w:r>
              <w:rPr>
                <w:rFonts w:ascii="宋体" w:hAnsi="宋体" w:eastAsia="宋体"/>
                <w:sz w:val="16"/>
              </w:rPr>
              <w:t>年度总体目标</w:t>
            </w:r>
          </w:p>
        </w:tc>
        <w:tc>
          <w:tcPr>
            <w:tcW w:w="274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66C68A">
            <w:pPr>
              <w:jc w:val="center"/>
            </w:pPr>
            <w:r>
              <w:rPr>
                <w:rFonts w:ascii="宋体" w:hAnsi="宋体" w:eastAsia="宋体"/>
                <w:sz w:val="16"/>
              </w:rPr>
              <w:t>预期目标</w:t>
            </w:r>
          </w:p>
        </w:tc>
        <w:tc>
          <w:tcPr>
            <w:tcW w:w="4990"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56B591C0">
            <w:pPr>
              <w:jc w:val="center"/>
            </w:pPr>
            <w:r>
              <w:rPr>
                <w:rFonts w:ascii="宋体" w:hAnsi="宋体" w:eastAsia="宋体"/>
                <w:sz w:val="16"/>
              </w:rPr>
              <w:t>实际完成情况</w:t>
            </w:r>
          </w:p>
        </w:tc>
      </w:tr>
      <w:tr w14:paraId="3D60722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66E248"/>
        </w:tc>
        <w:tc>
          <w:tcPr>
            <w:tcW w:w="274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EDBBD6">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w="4990"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5AB878B3">
            <w:pPr>
              <w:jc w:val="both"/>
            </w:pPr>
            <w:r>
              <w:rPr>
                <w:rFonts w:ascii="宋体" w:hAnsi="宋体" w:eastAsia="宋体"/>
                <w:sz w:val="16"/>
              </w:rPr>
              <w:t>（一）教师队伍建设成效显著</w:t>
            </w:r>
            <w:r>
              <w:rPr>
                <w:rFonts w:ascii="宋体" w:hAnsi="宋体" w:eastAsia="宋体"/>
                <w:sz w:val="16"/>
              </w:rPr>
              <w:br w:type="textWrapping"/>
            </w:r>
            <w:r>
              <w:rPr>
                <w:rFonts w:ascii="宋体" w:hAnsi="宋体" w:eastAsia="宋体"/>
                <w:sz w:val="16"/>
              </w:rPr>
              <w:t>通过组织教师参加各类培训和校内教研活动，教师的业务水平和教学能力得到了有效提升。同时，通过师德师风教育活动，教师的师德修养进一步提高，教师队伍的整体形象得到了家长和社会的认可。</w:t>
            </w:r>
            <w:r>
              <w:rPr>
                <w:rFonts w:ascii="宋体" w:hAnsi="宋体" w:eastAsia="宋体"/>
                <w:sz w:val="16"/>
              </w:rPr>
              <w:br w:type="textWrapping"/>
            </w:r>
            <w:r>
              <w:rPr>
                <w:rFonts w:ascii="宋体" w:hAnsi="宋体" w:eastAsia="宋体"/>
                <w:sz w:val="16"/>
              </w:rPr>
              <w:t>（二）教育教学质量稳步提升</w:t>
            </w:r>
            <w:r>
              <w:rPr>
                <w:rFonts w:ascii="宋体" w:hAnsi="宋体" w:eastAsia="宋体"/>
                <w:sz w:val="16"/>
              </w:rPr>
              <w:br w:type="textWrapping"/>
            </w:r>
            <w:r>
              <w:rPr>
                <w:rFonts w:ascii="宋体" w:hAnsi="宋体" w:eastAsia="宋体"/>
                <w:sz w:val="16"/>
              </w:rPr>
              <w:t>加强教学常规管理，严格落实备课、上课、作业批改等环节的要求，教师的教学行为更加规范。课堂教学改革取得一定成效，小组合作学习模式在部分学科得到广泛应用，学生的学习积极性和参与度明显提高。在本学期期末考试中，六年级语文、数学、英语学科；二年级语文成绩明显提高。</w:t>
            </w:r>
            <w:r>
              <w:rPr>
                <w:rFonts w:ascii="宋体" w:hAnsi="宋体" w:eastAsia="宋体"/>
                <w:sz w:val="16"/>
              </w:rPr>
              <w:br w:type="textWrapping"/>
            </w:r>
            <w:r>
              <w:rPr>
                <w:rFonts w:ascii="宋体" w:hAnsi="宋体" w:eastAsia="宋体"/>
                <w:sz w:val="16"/>
              </w:rPr>
              <w:t>（三）学校管理更加规范科学</w:t>
            </w:r>
            <w:r>
              <w:rPr>
                <w:rFonts w:ascii="宋体" w:hAnsi="宋体" w:eastAsia="宋体"/>
                <w:sz w:val="16"/>
              </w:rPr>
              <w:br w:type="textWrapping"/>
            </w:r>
            <w:r>
              <w:rPr>
                <w:rFonts w:ascii="宋体" w:hAnsi="宋体" w:eastAsia="宋体"/>
                <w:sz w:val="16"/>
              </w:rPr>
              <w:t>修订和完善了学校的各项规章制度，明确了各部门和岗位的职责，学校管理工作更加有序。通过教职工代表大会等形式，广泛听取教师的意见和建议，民主管理得到进一步加强。绩效考核制度的实施，有效调动了教师的工作积极性，形成了良好的工作氛围。</w:t>
            </w:r>
          </w:p>
        </w:tc>
      </w:tr>
      <w:tr w14:paraId="3ED2F20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CD0E4A">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6F8E59">
            <w:pPr>
              <w:jc w:val="center"/>
            </w:pPr>
            <w:r>
              <w:rPr>
                <w:rFonts w:ascii="宋体" w:hAnsi="宋体" w:eastAsia="宋体"/>
                <w:sz w:val="16"/>
              </w:rPr>
              <w:t>二级指标</w:t>
            </w:r>
          </w:p>
        </w:tc>
        <w:tc>
          <w:tcPr>
            <w:tcW w:w="14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51713">
            <w:pPr>
              <w:jc w:val="center"/>
            </w:pPr>
            <w:r>
              <w:rPr>
                <w:rFonts w:ascii="宋体" w:hAnsi="宋体" w:eastAsia="宋体"/>
                <w:sz w:val="16"/>
              </w:rPr>
              <w:t>三级指标</w:t>
            </w:r>
          </w:p>
        </w:tc>
        <w:tc>
          <w:tcPr>
            <w:tcW w:w="11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069E7F">
            <w:pPr>
              <w:jc w:val="center"/>
            </w:pPr>
            <w:r>
              <w:rPr>
                <w:rFonts w:ascii="宋体" w:hAnsi="宋体" w:eastAsia="宋体"/>
                <w:sz w:val="16"/>
              </w:rPr>
              <w:t>预期指标值</w:t>
            </w:r>
          </w:p>
        </w:tc>
        <w:tc>
          <w:tcPr>
            <w:tcW w:w="1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540EE">
            <w:pPr>
              <w:jc w:val="center"/>
            </w:pPr>
            <w:r>
              <w:rPr>
                <w:rFonts w:ascii="宋体" w:hAnsi="宋体" w:eastAsia="宋体"/>
                <w:sz w:val="16"/>
              </w:rPr>
              <w:t>指标值设定依据</w:t>
            </w:r>
          </w:p>
        </w:tc>
        <w:tc>
          <w:tcPr>
            <w:tcW w:w="8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09C6A">
            <w:pPr>
              <w:jc w:val="center"/>
            </w:pPr>
            <w:r>
              <w:rPr>
                <w:rFonts w:ascii="宋体" w:hAnsi="宋体" w:eastAsia="宋体"/>
                <w:sz w:val="16"/>
              </w:rPr>
              <w:t>分值权重</w:t>
            </w:r>
          </w:p>
        </w:tc>
        <w:tc>
          <w:tcPr>
            <w:tcW w:w="9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B746F">
            <w:pPr>
              <w:jc w:val="center"/>
            </w:pPr>
            <w:r>
              <w:rPr>
                <w:rFonts w:ascii="宋体" w:hAnsi="宋体" w:eastAsia="宋体"/>
                <w:sz w:val="16"/>
              </w:rPr>
              <w:t>实际完成指标值</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2272D76E">
            <w:pPr>
              <w:jc w:val="center"/>
            </w:pPr>
            <w:r>
              <w:rPr>
                <w:rFonts w:ascii="宋体" w:hAnsi="宋体" w:eastAsia="宋体"/>
                <w:sz w:val="16"/>
              </w:rPr>
              <w:t>得分</w:t>
            </w:r>
          </w:p>
        </w:tc>
      </w:tr>
      <w:tr w14:paraId="7F39E15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C9B82">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E85ED2">
            <w:pPr>
              <w:jc w:val="center"/>
            </w:pPr>
            <w:r>
              <w:rPr>
                <w:rFonts w:ascii="宋体" w:hAnsi="宋体" w:eastAsia="宋体"/>
                <w:sz w:val="16"/>
              </w:rPr>
              <w:t>数量指标</w:t>
            </w:r>
          </w:p>
        </w:tc>
        <w:tc>
          <w:tcPr>
            <w:tcW w:w="14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600A2">
            <w:pPr>
              <w:jc w:val="center"/>
            </w:pPr>
            <w:r>
              <w:rPr>
                <w:rFonts w:ascii="宋体" w:hAnsi="宋体" w:eastAsia="宋体"/>
                <w:sz w:val="16"/>
              </w:rPr>
              <w:t>消除义务教育大班额</w:t>
            </w:r>
          </w:p>
        </w:tc>
        <w:tc>
          <w:tcPr>
            <w:tcW w:w="11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4C0737">
            <w:pPr>
              <w:jc w:val="center"/>
            </w:pPr>
            <w:r>
              <w:rPr>
                <w:rFonts w:ascii="宋体" w:hAnsi="宋体" w:eastAsia="宋体"/>
                <w:sz w:val="16"/>
              </w:rPr>
              <w:t>&gt;=95%</w:t>
            </w:r>
          </w:p>
        </w:tc>
        <w:tc>
          <w:tcPr>
            <w:tcW w:w="1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205F4">
            <w:pPr>
              <w:jc w:val="center"/>
            </w:pPr>
            <w:r>
              <w:rPr>
                <w:rFonts w:ascii="宋体" w:hAnsi="宋体" w:eastAsia="宋体"/>
                <w:sz w:val="16"/>
              </w:rPr>
              <w:t>伊犁哈萨克自治州</w:t>
            </w:r>
            <w:r>
              <w:rPr>
                <w:rFonts w:hint="eastAsia" w:ascii="宋体" w:hAnsi="宋体"/>
                <w:sz w:val="16"/>
                <w:lang w:eastAsia="zh-CN"/>
              </w:rPr>
              <w:t>“十四五”规划</w:t>
            </w:r>
          </w:p>
        </w:tc>
        <w:tc>
          <w:tcPr>
            <w:tcW w:w="8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965BE">
            <w:pPr>
              <w:jc w:val="center"/>
            </w:pPr>
            <w:r>
              <w:rPr>
                <w:rFonts w:ascii="宋体" w:hAnsi="宋体" w:eastAsia="宋体"/>
                <w:sz w:val="16"/>
              </w:rPr>
              <w:t>15</w:t>
            </w:r>
          </w:p>
        </w:tc>
        <w:tc>
          <w:tcPr>
            <w:tcW w:w="9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AC30E">
            <w:pPr>
              <w:jc w:val="center"/>
            </w:pPr>
            <w:r>
              <w:rPr>
                <w:rFonts w:ascii="宋体" w:hAnsi="宋体" w:eastAsia="宋体"/>
                <w:sz w:val="16"/>
              </w:rPr>
              <w:t>95%</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33A16DE5">
            <w:pPr>
              <w:jc w:val="center"/>
            </w:pPr>
            <w:r>
              <w:rPr>
                <w:rFonts w:ascii="宋体" w:hAnsi="宋体" w:eastAsia="宋体"/>
                <w:sz w:val="16"/>
              </w:rPr>
              <w:t>15</w:t>
            </w:r>
          </w:p>
        </w:tc>
      </w:tr>
      <w:tr w14:paraId="760859A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B47C6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4178B9"/>
        </w:tc>
        <w:tc>
          <w:tcPr>
            <w:tcW w:w="14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B7F26">
            <w:pPr>
              <w:jc w:val="center"/>
            </w:pPr>
            <w:r>
              <w:rPr>
                <w:rFonts w:ascii="宋体" w:hAnsi="宋体" w:eastAsia="宋体"/>
                <w:sz w:val="16"/>
              </w:rPr>
              <w:t>义务教育巩固率</w:t>
            </w:r>
          </w:p>
        </w:tc>
        <w:tc>
          <w:tcPr>
            <w:tcW w:w="11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8F4914">
            <w:pPr>
              <w:jc w:val="center"/>
            </w:pPr>
            <w:r>
              <w:rPr>
                <w:rFonts w:ascii="宋体" w:hAnsi="宋体" w:eastAsia="宋体"/>
                <w:sz w:val="16"/>
              </w:rPr>
              <w:t>&gt;=98%</w:t>
            </w:r>
          </w:p>
        </w:tc>
        <w:tc>
          <w:tcPr>
            <w:tcW w:w="1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E94CF">
            <w:pPr>
              <w:jc w:val="center"/>
            </w:pPr>
            <w:r>
              <w:rPr>
                <w:rFonts w:ascii="宋体" w:hAnsi="宋体" w:eastAsia="宋体"/>
                <w:sz w:val="16"/>
              </w:rPr>
              <w:t>伊犁哈萨克自治州</w:t>
            </w:r>
            <w:r>
              <w:rPr>
                <w:rFonts w:hint="eastAsia" w:ascii="宋体" w:hAnsi="宋体"/>
                <w:sz w:val="16"/>
                <w:lang w:eastAsia="zh-CN"/>
              </w:rPr>
              <w:t>“十四五”规划</w:t>
            </w:r>
          </w:p>
        </w:tc>
        <w:tc>
          <w:tcPr>
            <w:tcW w:w="8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8AD8F">
            <w:pPr>
              <w:jc w:val="center"/>
            </w:pPr>
            <w:r>
              <w:rPr>
                <w:rFonts w:ascii="宋体" w:hAnsi="宋体" w:eastAsia="宋体"/>
                <w:sz w:val="16"/>
              </w:rPr>
              <w:t>15</w:t>
            </w:r>
          </w:p>
        </w:tc>
        <w:tc>
          <w:tcPr>
            <w:tcW w:w="9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D36C8">
            <w:pPr>
              <w:jc w:val="center"/>
            </w:pPr>
            <w:r>
              <w:rPr>
                <w:rFonts w:ascii="宋体" w:hAnsi="宋体" w:eastAsia="宋体"/>
                <w:sz w:val="16"/>
              </w:rPr>
              <w:t>98%</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19165C77">
            <w:pPr>
              <w:jc w:val="center"/>
            </w:pPr>
            <w:r>
              <w:rPr>
                <w:rFonts w:ascii="宋体" w:hAnsi="宋体" w:eastAsia="宋体"/>
                <w:sz w:val="16"/>
              </w:rPr>
              <w:t>15</w:t>
            </w:r>
          </w:p>
        </w:tc>
      </w:tr>
      <w:tr w14:paraId="737A976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96D9D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2DDD04"/>
        </w:tc>
        <w:tc>
          <w:tcPr>
            <w:tcW w:w="14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A0212">
            <w:pPr>
              <w:jc w:val="center"/>
            </w:pPr>
            <w:r>
              <w:rPr>
                <w:rFonts w:ascii="宋体" w:hAnsi="宋体" w:eastAsia="宋体"/>
                <w:sz w:val="16"/>
              </w:rPr>
              <w:t>实现信息化教学覆盖率</w:t>
            </w:r>
          </w:p>
        </w:tc>
        <w:tc>
          <w:tcPr>
            <w:tcW w:w="11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117A3F">
            <w:pPr>
              <w:jc w:val="center"/>
            </w:pPr>
            <w:r>
              <w:rPr>
                <w:rFonts w:ascii="宋体" w:hAnsi="宋体" w:eastAsia="宋体"/>
                <w:sz w:val="16"/>
              </w:rPr>
              <w:t>&gt;=85%</w:t>
            </w:r>
          </w:p>
        </w:tc>
        <w:tc>
          <w:tcPr>
            <w:tcW w:w="1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41B9A">
            <w:pPr>
              <w:jc w:val="center"/>
            </w:pPr>
            <w:r>
              <w:rPr>
                <w:rFonts w:ascii="宋体" w:hAnsi="宋体" w:eastAsia="宋体"/>
                <w:sz w:val="16"/>
              </w:rPr>
              <w:t>伊犁哈萨克自治州</w:t>
            </w:r>
            <w:r>
              <w:rPr>
                <w:rFonts w:hint="eastAsia" w:ascii="宋体" w:hAnsi="宋体"/>
                <w:sz w:val="16"/>
                <w:lang w:eastAsia="zh-CN"/>
              </w:rPr>
              <w:t>“十四五”规划</w:t>
            </w:r>
          </w:p>
        </w:tc>
        <w:tc>
          <w:tcPr>
            <w:tcW w:w="8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6B505">
            <w:pPr>
              <w:jc w:val="center"/>
            </w:pPr>
            <w:r>
              <w:rPr>
                <w:rFonts w:ascii="宋体" w:hAnsi="宋体" w:eastAsia="宋体"/>
                <w:sz w:val="16"/>
              </w:rPr>
              <w:t>15</w:t>
            </w:r>
          </w:p>
        </w:tc>
        <w:tc>
          <w:tcPr>
            <w:tcW w:w="9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68EEF">
            <w:pPr>
              <w:jc w:val="center"/>
            </w:pPr>
            <w:r>
              <w:rPr>
                <w:rFonts w:ascii="宋体" w:hAnsi="宋体" w:eastAsia="宋体"/>
                <w:sz w:val="16"/>
              </w:rPr>
              <w:t>85%</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5BA66A18">
            <w:pPr>
              <w:jc w:val="center"/>
            </w:pPr>
            <w:r>
              <w:rPr>
                <w:rFonts w:ascii="宋体" w:hAnsi="宋体" w:eastAsia="宋体"/>
                <w:sz w:val="16"/>
              </w:rPr>
              <w:t>15</w:t>
            </w:r>
          </w:p>
        </w:tc>
      </w:tr>
      <w:tr w14:paraId="30FE19B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9773F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5FC8E0"/>
        </w:tc>
        <w:tc>
          <w:tcPr>
            <w:tcW w:w="14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3EB82">
            <w:pPr>
              <w:jc w:val="center"/>
            </w:pPr>
            <w:r>
              <w:rPr>
                <w:rFonts w:ascii="宋体" w:hAnsi="宋体" w:eastAsia="宋体"/>
                <w:sz w:val="16"/>
              </w:rPr>
              <w:t>创建平安校园活动举办次数</w:t>
            </w:r>
          </w:p>
        </w:tc>
        <w:tc>
          <w:tcPr>
            <w:tcW w:w="11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614640">
            <w:pPr>
              <w:jc w:val="center"/>
            </w:pPr>
            <w:r>
              <w:rPr>
                <w:rFonts w:ascii="宋体" w:hAnsi="宋体" w:eastAsia="宋体"/>
                <w:sz w:val="16"/>
              </w:rPr>
              <w:t>&gt;=6次</w:t>
            </w:r>
          </w:p>
        </w:tc>
        <w:tc>
          <w:tcPr>
            <w:tcW w:w="1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E9DB7">
            <w:pPr>
              <w:jc w:val="center"/>
            </w:pPr>
            <w:r>
              <w:rPr>
                <w:rFonts w:ascii="宋体" w:hAnsi="宋体" w:eastAsia="宋体"/>
                <w:sz w:val="16"/>
              </w:rPr>
              <w:t>工作计划</w:t>
            </w:r>
          </w:p>
        </w:tc>
        <w:tc>
          <w:tcPr>
            <w:tcW w:w="8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3C12A">
            <w:pPr>
              <w:jc w:val="center"/>
            </w:pPr>
            <w:r>
              <w:rPr>
                <w:rFonts w:ascii="宋体" w:hAnsi="宋体" w:eastAsia="宋体"/>
                <w:sz w:val="16"/>
              </w:rPr>
              <w:t>15</w:t>
            </w:r>
          </w:p>
        </w:tc>
        <w:tc>
          <w:tcPr>
            <w:tcW w:w="9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6AD25">
            <w:pPr>
              <w:jc w:val="center"/>
            </w:pPr>
            <w:r>
              <w:rPr>
                <w:rFonts w:ascii="宋体" w:hAnsi="宋体" w:eastAsia="宋体"/>
                <w:sz w:val="16"/>
              </w:rPr>
              <w:t>6次</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3AFC8858">
            <w:pPr>
              <w:jc w:val="center"/>
            </w:pPr>
            <w:r>
              <w:rPr>
                <w:rFonts w:ascii="宋体" w:hAnsi="宋体" w:eastAsia="宋体"/>
                <w:sz w:val="16"/>
              </w:rPr>
              <w:t>15</w:t>
            </w:r>
          </w:p>
        </w:tc>
      </w:tr>
      <w:tr w14:paraId="10AFC65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1A95F77"/>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792B7">
            <w:pPr>
              <w:jc w:val="center"/>
            </w:pPr>
            <w:r>
              <w:rPr>
                <w:rFonts w:ascii="宋体" w:hAnsi="宋体" w:eastAsia="宋体"/>
                <w:sz w:val="16"/>
              </w:rPr>
              <w:t>质量指标</w:t>
            </w:r>
          </w:p>
        </w:tc>
        <w:tc>
          <w:tcPr>
            <w:tcW w:w="14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C547C">
            <w:pPr>
              <w:jc w:val="center"/>
            </w:pPr>
            <w:r>
              <w:rPr>
                <w:rFonts w:ascii="宋体" w:hAnsi="宋体" w:eastAsia="宋体"/>
                <w:sz w:val="16"/>
              </w:rPr>
              <w:t>义务教育优质均衡率</w:t>
            </w:r>
          </w:p>
        </w:tc>
        <w:tc>
          <w:tcPr>
            <w:tcW w:w="11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646835">
            <w:pPr>
              <w:jc w:val="center"/>
            </w:pPr>
            <w:r>
              <w:rPr>
                <w:rFonts w:ascii="宋体" w:hAnsi="宋体" w:eastAsia="宋体"/>
                <w:sz w:val="16"/>
              </w:rPr>
              <w:t>&gt;=95%</w:t>
            </w:r>
          </w:p>
        </w:tc>
        <w:tc>
          <w:tcPr>
            <w:tcW w:w="1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6E0EA">
            <w:pPr>
              <w:jc w:val="center"/>
            </w:pPr>
            <w:r>
              <w:rPr>
                <w:rFonts w:ascii="宋体" w:hAnsi="宋体" w:eastAsia="宋体"/>
                <w:sz w:val="16"/>
              </w:rPr>
              <w:t>伊犁哈萨克自治州</w:t>
            </w:r>
            <w:r>
              <w:rPr>
                <w:rFonts w:hint="eastAsia" w:ascii="宋体" w:hAnsi="宋体"/>
                <w:sz w:val="16"/>
                <w:lang w:eastAsia="zh-CN"/>
              </w:rPr>
              <w:t>“十四五”规划</w:t>
            </w:r>
          </w:p>
        </w:tc>
        <w:tc>
          <w:tcPr>
            <w:tcW w:w="8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5D54D">
            <w:pPr>
              <w:jc w:val="center"/>
            </w:pPr>
            <w:r>
              <w:rPr>
                <w:rFonts w:ascii="宋体" w:hAnsi="宋体" w:eastAsia="宋体"/>
                <w:sz w:val="16"/>
              </w:rPr>
              <w:t>15</w:t>
            </w:r>
          </w:p>
        </w:tc>
        <w:tc>
          <w:tcPr>
            <w:tcW w:w="9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350E6">
            <w:pPr>
              <w:jc w:val="center"/>
            </w:pPr>
            <w:r>
              <w:rPr>
                <w:rFonts w:ascii="宋体" w:hAnsi="宋体" w:eastAsia="宋体"/>
                <w:sz w:val="16"/>
              </w:rPr>
              <w:t>95%</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6A9EE4CE">
            <w:pPr>
              <w:jc w:val="center"/>
            </w:pPr>
            <w:r>
              <w:rPr>
                <w:rFonts w:ascii="宋体" w:hAnsi="宋体" w:eastAsia="宋体"/>
                <w:sz w:val="16"/>
              </w:rPr>
              <w:t>15</w:t>
            </w:r>
          </w:p>
        </w:tc>
      </w:tr>
      <w:tr w14:paraId="6A11765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49CE4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4EF6C8"/>
        </w:tc>
        <w:tc>
          <w:tcPr>
            <w:tcW w:w="14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BF9A3">
            <w:pPr>
              <w:jc w:val="center"/>
            </w:pPr>
            <w:r>
              <w:rPr>
                <w:rFonts w:ascii="宋体" w:hAnsi="宋体" w:eastAsia="宋体"/>
                <w:sz w:val="16"/>
              </w:rPr>
              <w:t>国家通用语言文字教育教学</w:t>
            </w:r>
          </w:p>
        </w:tc>
        <w:tc>
          <w:tcPr>
            <w:tcW w:w="11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36E37D">
            <w:pPr>
              <w:jc w:val="center"/>
            </w:pPr>
            <w:r>
              <w:rPr>
                <w:rFonts w:ascii="宋体" w:hAnsi="宋体" w:eastAsia="宋体"/>
                <w:sz w:val="16"/>
              </w:rPr>
              <w:t>=100%</w:t>
            </w:r>
          </w:p>
        </w:tc>
        <w:tc>
          <w:tcPr>
            <w:tcW w:w="15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2C0EE">
            <w:pPr>
              <w:jc w:val="center"/>
            </w:pPr>
            <w:r>
              <w:rPr>
                <w:rFonts w:ascii="宋体" w:hAnsi="宋体" w:eastAsia="宋体"/>
                <w:sz w:val="16"/>
              </w:rPr>
              <w:t>伊犁哈萨克自治州</w:t>
            </w:r>
            <w:r>
              <w:rPr>
                <w:rFonts w:hint="eastAsia" w:ascii="宋体" w:hAnsi="宋体"/>
                <w:sz w:val="16"/>
                <w:lang w:eastAsia="zh-CN"/>
              </w:rPr>
              <w:t>“十四五”规划</w:t>
            </w:r>
          </w:p>
        </w:tc>
        <w:tc>
          <w:tcPr>
            <w:tcW w:w="8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79D99">
            <w:pPr>
              <w:jc w:val="center"/>
            </w:pPr>
            <w:r>
              <w:rPr>
                <w:rFonts w:ascii="宋体" w:hAnsi="宋体" w:eastAsia="宋体"/>
                <w:sz w:val="16"/>
              </w:rPr>
              <w:t>15</w:t>
            </w:r>
          </w:p>
        </w:tc>
        <w:tc>
          <w:tcPr>
            <w:tcW w:w="9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FBCD1">
            <w:pPr>
              <w:jc w:val="center"/>
            </w:pPr>
            <w:r>
              <w:rPr>
                <w:rFonts w:ascii="宋体" w:hAnsi="宋体" w:eastAsia="宋体"/>
                <w:sz w:val="16"/>
              </w:rPr>
              <w:t>100%</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1EF1A76B">
            <w:pPr>
              <w:jc w:val="center"/>
            </w:pPr>
            <w:r>
              <w:rPr>
                <w:rFonts w:ascii="宋体" w:hAnsi="宋体" w:eastAsia="宋体"/>
                <w:sz w:val="16"/>
              </w:rPr>
              <w:t>15</w:t>
            </w:r>
          </w:p>
        </w:tc>
      </w:tr>
    </w:tbl>
    <w:p w14:paraId="235AA822">
      <w:r>
        <w:br w:type="page"/>
      </w:r>
    </w:p>
    <w:p w14:paraId="0996C387">
      <w:pPr>
        <w:spacing w:line="640" w:lineRule="exact"/>
        <w:ind w:firstLine="640"/>
        <w:jc w:val="both"/>
        <w:outlineLvl w:val="2"/>
      </w:pPr>
      <w:r>
        <w:rPr>
          <w:rFonts w:ascii="黑体" w:hAnsi="黑体" w:eastAsia="黑体"/>
          <w:sz w:val="32"/>
        </w:rPr>
        <w:t>十二、其他需说明的事项</w:t>
      </w:r>
    </w:p>
    <w:p w14:paraId="0071BE70">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459D2BB0">
      <w:r>
        <w:br w:type="page"/>
      </w:r>
    </w:p>
    <w:p w14:paraId="3BE99E5E">
      <w:pPr>
        <w:spacing w:line="240" w:lineRule="auto"/>
        <w:jc w:val="center"/>
        <w:outlineLvl w:val="1"/>
      </w:pPr>
      <w:r>
        <w:rPr>
          <w:rFonts w:ascii="黑体" w:hAnsi="黑体" w:eastAsia="黑体"/>
          <w:sz w:val="32"/>
        </w:rPr>
        <w:t>第三部分 专业名词解释</w:t>
      </w:r>
    </w:p>
    <w:p w14:paraId="407D276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DA2C80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3872AEC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3CEA3EE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7D081A30">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4A1C9E9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66222A4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781CF2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4B34D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F8521F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53FC6E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5C497D87">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64903A0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048E221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1DE4F73F">
      <w:r>
        <w:br w:type="page"/>
      </w:r>
    </w:p>
    <w:p w14:paraId="5D265E43">
      <w:pPr>
        <w:spacing w:line="240" w:lineRule="auto"/>
        <w:jc w:val="center"/>
        <w:outlineLvl w:val="1"/>
      </w:pPr>
      <w:r>
        <w:rPr>
          <w:rFonts w:ascii="黑体" w:hAnsi="黑体" w:eastAsia="黑体"/>
          <w:sz w:val="32"/>
        </w:rPr>
        <w:t>第四部分 部门决算报表（见附表）</w:t>
      </w:r>
    </w:p>
    <w:p w14:paraId="20FDDE57">
      <w:pPr>
        <w:spacing w:line="240" w:lineRule="auto"/>
        <w:ind w:firstLine="640"/>
        <w:jc w:val="both"/>
      </w:pPr>
      <w:r>
        <w:rPr>
          <w:rFonts w:ascii="仿宋_GB2312" w:hAnsi="仿宋_GB2312" w:eastAsia="仿宋_GB2312"/>
          <w:b w:val="0"/>
          <w:sz w:val="32"/>
        </w:rPr>
        <w:t>一、《收入支出决算总表》</w:t>
      </w:r>
    </w:p>
    <w:p w14:paraId="5EF5ACD2">
      <w:pPr>
        <w:spacing w:line="240" w:lineRule="auto"/>
        <w:ind w:firstLine="640"/>
        <w:jc w:val="both"/>
      </w:pPr>
      <w:r>
        <w:rPr>
          <w:rFonts w:ascii="仿宋_GB2312" w:hAnsi="仿宋_GB2312" w:eastAsia="仿宋_GB2312"/>
          <w:b w:val="0"/>
          <w:sz w:val="32"/>
        </w:rPr>
        <w:t>二、《收入决算表》</w:t>
      </w:r>
    </w:p>
    <w:p w14:paraId="137E7397">
      <w:pPr>
        <w:spacing w:line="240" w:lineRule="auto"/>
        <w:ind w:firstLine="640"/>
        <w:jc w:val="both"/>
      </w:pPr>
      <w:r>
        <w:rPr>
          <w:rFonts w:ascii="仿宋_GB2312" w:hAnsi="仿宋_GB2312" w:eastAsia="仿宋_GB2312"/>
          <w:b w:val="0"/>
          <w:sz w:val="32"/>
        </w:rPr>
        <w:t>三、《支出决算表》</w:t>
      </w:r>
    </w:p>
    <w:p w14:paraId="6A47E9E7">
      <w:pPr>
        <w:spacing w:line="240" w:lineRule="auto"/>
        <w:ind w:firstLine="640"/>
        <w:jc w:val="both"/>
      </w:pPr>
      <w:r>
        <w:rPr>
          <w:rFonts w:ascii="仿宋_GB2312" w:hAnsi="仿宋_GB2312" w:eastAsia="仿宋_GB2312"/>
          <w:b w:val="0"/>
          <w:sz w:val="32"/>
        </w:rPr>
        <w:t>四、《财政拨款收入支出决算总表》</w:t>
      </w:r>
    </w:p>
    <w:p w14:paraId="0397FC09">
      <w:pPr>
        <w:spacing w:line="240" w:lineRule="auto"/>
        <w:ind w:firstLine="640"/>
        <w:jc w:val="both"/>
      </w:pPr>
      <w:r>
        <w:rPr>
          <w:rFonts w:ascii="仿宋_GB2312" w:hAnsi="仿宋_GB2312" w:eastAsia="仿宋_GB2312"/>
          <w:b w:val="0"/>
          <w:sz w:val="32"/>
        </w:rPr>
        <w:t>五、《一般公共预算财政拨款支出决算表》</w:t>
      </w:r>
    </w:p>
    <w:p w14:paraId="7B490DEA">
      <w:pPr>
        <w:spacing w:line="240" w:lineRule="auto"/>
        <w:ind w:firstLine="640"/>
        <w:jc w:val="both"/>
      </w:pPr>
      <w:r>
        <w:rPr>
          <w:rFonts w:ascii="仿宋_GB2312" w:hAnsi="仿宋_GB2312" w:eastAsia="仿宋_GB2312"/>
          <w:b w:val="0"/>
          <w:sz w:val="32"/>
        </w:rPr>
        <w:t>六、《一般公共预算财政拨款基本支出决算表》</w:t>
      </w:r>
    </w:p>
    <w:p w14:paraId="45E10E21">
      <w:pPr>
        <w:spacing w:line="240" w:lineRule="auto"/>
        <w:ind w:firstLine="640"/>
        <w:jc w:val="both"/>
      </w:pPr>
      <w:r>
        <w:rPr>
          <w:rFonts w:ascii="仿宋_GB2312" w:hAnsi="仿宋_GB2312" w:eastAsia="仿宋_GB2312"/>
          <w:b w:val="0"/>
          <w:sz w:val="32"/>
        </w:rPr>
        <w:t>七、《政府性基金预算财政拨款收入支出决算表》</w:t>
      </w:r>
    </w:p>
    <w:p w14:paraId="56DE1FC5">
      <w:pPr>
        <w:spacing w:line="240" w:lineRule="auto"/>
        <w:ind w:firstLine="640"/>
        <w:jc w:val="both"/>
      </w:pPr>
      <w:r>
        <w:rPr>
          <w:rFonts w:ascii="仿宋_GB2312" w:hAnsi="仿宋_GB2312" w:eastAsia="仿宋_GB2312"/>
          <w:b w:val="0"/>
          <w:sz w:val="32"/>
        </w:rPr>
        <w:t>八、《国有资本经营预算财政拨款收入支出决算表》</w:t>
      </w:r>
    </w:p>
    <w:p w14:paraId="5C90B90E">
      <w:pPr>
        <w:spacing w:line="240" w:lineRule="auto"/>
        <w:ind w:firstLine="640"/>
        <w:jc w:val="both"/>
      </w:pPr>
      <w:r>
        <w:rPr>
          <w:rFonts w:ascii="仿宋_GB2312" w:hAnsi="仿宋_GB2312" w:eastAsia="仿宋_GB2312"/>
          <w:b w:val="0"/>
          <w:sz w:val="32"/>
        </w:rPr>
        <w:t>九、《财政拨款“三公”经费支出决算表》</w:t>
      </w:r>
    </w:p>
    <w:p w14:paraId="6B9A00FE">
      <w:pPr>
        <w:spacing w:line="240" w:lineRule="auto"/>
        <w:ind w:firstLine="640"/>
        <w:jc w:val="both"/>
      </w:pPr>
    </w:p>
    <w:p w14:paraId="13B897FB">
      <w:pPr>
        <w:spacing w:line="240" w:lineRule="auto"/>
        <w:ind w:firstLine="640"/>
        <w:jc w:val="both"/>
      </w:pPr>
    </w:p>
    <w:p w14:paraId="43A00BF2">
      <w:pPr>
        <w:spacing w:line="240" w:lineRule="auto"/>
        <w:ind w:firstLine="640"/>
        <w:jc w:val="both"/>
      </w:pPr>
    </w:p>
    <w:p w14:paraId="3C488AA2">
      <w:pPr>
        <w:spacing w:line="240" w:lineRule="auto"/>
        <w:ind w:firstLine="640"/>
        <w:jc w:val="both"/>
      </w:pPr>
    </w:p>
    <w:p w14:paraId="5DF57DC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50F2B4A"/>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836EF2"/>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0A37B39"/>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5D6C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24038b9e-8f5e-4c25-a458-731935e5b648</errorID>
      <errorWord>2月31日</errorWord>
      <group>L1_Sensitive</group>
      <groupName>敏感问题</groupName>
      <ability>L2_UserSensitive</ability>
      <abilityName>自定义敏感词</abilityName>
      <candidateList/>
      <explain>来自自定义敏感词库。</explain>
      <paraID>7483CB36</paraID>
      <start>8</start>
      <end>13</end>
      <status>unmodified</status>
      <modifiedWord/>
      <trackRevisions>false</trackRevisions>
    </reviewItem>
    <reviewItem>
      <errorID>12a4f8bf-22dc-4c9b-9bf0-26356d4a5415</errorID>
      <errorWord>民族团结</errorWord>
      <group>L1_Sensitive</group>
      <groupName>敏感问题</groupName>
      <ability>L2_UserSensitive</ability>
      <abilityName>自定义敏感词</abilityName>
      <candidateList/>
      <explain>来自自定义敏感词库。</explain>
      <paraID>1CEDBBD6</paraID>
      <start>185</start>
      <end>189</end>
      <status>unmodified</status>
      <modifiedWord/>
      <trackRevisions>false</trackRevisions>
    </reviewItem>
    <reviewItem>
      <errorID>cb7de7ca-65ae-474f-8f9f-c867a6cc6346</errorID>
      <errorWord>民族团结</errorWord>
      <group>L1_Sensitive</group>
      <groupName>敏感问题</groupName>
      <ability>L2_UserSensitive</ability>
      <abilityName>自定义敏感词</abilityName>
      <candidateList/>
      <explain>来自自定义敏感词库。</explain>
      <paraID>1CEDBBD6</paraID>
      <start>198</start>
      <end>202</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a29b14-df91-4709-bbbe-b7d621bd73f3}">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3250</Words>
  <Characters>3827</Characters>
  <Lines>0</Lines>
  <Paragraphs>0</Paragraphs>
  <TotalTime>8</TotalTime>
  <ScaleCrop>false</ScaleCrop>
  <LinksUpToDate>false</LinksUpToDate>
  <CharactersWithSpaces>3835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