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特克斯县自然资源局2024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ED7C5DF">
      <w:r>
        <w:br w:type="page"/>
      </w:r>
    </w:p>
    <w:p w14:paraId="1F63A9CB">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6348AA9E">
      <w:pPr>
        <w:spacing w:line="640" w:lineRule="exact"/>
        <w:ind w:firstLine="640"/>
        <w:jc w:val="both"/>
        <w:outlineLvl w:val="2"/>
      </w:pPr>
      <w:r>
        <w:rPr>
          <w:rFonts w:ascii="黑体" w:hAnsi="黑体" w:eastAsia="黑体"/>
          <w:sz w:val="32"/>
        </w:rPr>
        <w:t>一、主要职能</w:t>
      </w:r>
    </w:p>
    <w:p w14:paraId="5A8C62D7">
      <w:pPr>
        <w:spacing w:line="580" w:lineRule="exact"/>
        <w:ind w:firstLine="640"/>
        <w:jc w:val="both"/>
      </w:pPr>
      <w:r>
        <w:rPr>
          <w:rFonts w:ascii="仿宋_GB2312" w:hAnsi="仿宋_GB2312" w:eastAsia="仿宋_GB2312"/>
          <w:sz w:val="32"/>
        </w:rPr>
        <w:t>1.履行全民所有土地、矿产、森林、草原、湿地、水等自然资源所有者职责和所有国土空间用途管制职责。</w:t>
      </w:r>
    </w:p>
    <w:p w14:paraId="264008D4">
      <w:pPr>
        <w:spacing w:line="580" w:lineRule="exact"/>
        <w:ind w:firstLine="640"/>
        <w:jc w:val="both"/>
      </w:pPr>
      <w:r>
        <w:rPr>
          <w:rFonts w:ascii="仿宋_GB2312" w:hAnsi="仿宋_GB2312" w:eastAsia="仿宋_GB2312"/>
          <w:sz w:val="32"/>
        </w:rPr>
        <w:t>2.负责自然资源调查监测评价。</w:t>
      </w:r>
    </w:p>
    <w:p w14:paraId="1B57218A">
      <w:pPr>
        <w:spacing w:line="580" w:lineRule="exact"/>
        <w:ind w:firstLine="640"/>
        <w:jc w:val="both"/>
      </w:pPr>
      <w:r>
        <w:rPr>
          <w:rFonts w:ascii="仿宋_GB2312" w:hAnsi="仿宋_GB2312" w:eastAsia="仿宋_GB2312"/>
          <w:sz w:val="32"/>
        </w:rPr>
        <w:t>3.负责自然资源统一确权登记工作。</w:t>
      </w:r>
    </w:p>
    <w:p w14:paraId="2FA849BE">
      <w:pPr>
        <w:spacing w:line="580" w:lineRule="exact"/>
        <w:ind w:firstLine="640"/>
        <w:jc w:val="both"/>
      </w:pPr>
      <w:r>
        <w:rPr>
          <w:rFonts w:ascii="仿宋_GB2312" w:hAnsi="仿宋_GB2312" w:eastAsia="仿宋_GB2312"/>
          <w:sz w:val="32"/>
        </w:rPr>
        <w:t>4.负责自然资源资产有偿使用工作。</w:t>
      </w:r>
    </w:p>
    <w:p w14:paraId="7E87A3DB">
      <w:pPr>
        <w:spacing w:line="580" w:lineRule="exact"/>
        <w:ind w:firstLine="640"/>
        <w:jc w:val="both"/>
      </w:pPr>
      <w:r>
        <w:rPr>
          <w:rFonts w:ascii="仿宋_GB2312" w:hAnsi="仿宋_GB2312" w:eastAsia="仿宋_GB2312"/>
          <w:sz w:val="32"/>
        </w:rPr>
        <w:t>5.负责自然资源的合理开发利用。</w:t>
      </w:r>
    </w:p>
    <w:p w14:paraId="156EC82B">
      <w:pPr>
        <w:spacing w:line="580" w:lineRule="exact"/>
        <w:ind w:firstLine="640"/>
        <w:jc w:val="both"/>
      </w:pPr>
      <w:r>
        <w:rPr>
          <w:rFonts w:ascii="仿宋_GB2312" w:hAnsi="仿宋_GB2312" w:eastAsia="仿宋_GB2312"/>
          <w:sz w:val="32"/>
        </w:rPr>
        <w:t>6.负责建立空间规划体系并监督实施。</w:t>
      </w:r>
    </w:p>
    <w:p w14:paraId="154DF302">
      <w:pPr>
        <w:spacing w:line="580" w:lineRule="exact"/>
        <w:ind w:firstLine="640"/>
        <w:jc w:val="both"/>
      </w:pPr>
      <w:r>
        <w:rPr>
          <w:rFonts w:ascii="仿宋_GB2312" w:hAnsi="仿宋_GB2312" w:eastAsia="仿宋_GB2312"/>
          <w:sz w:val="32"/>
        </w:rPr>
        <w:t>7.贯彻执行国家、自治区、自治州有关城乡规划的方针、政策和法律法规，拟订城乡规划的政策和规章制度。</w:t>
      </w:r>
    </w:p>
    <w:p w14:paraId="17D8E23E">
      <w:pPr>
        <w:spacing w:line="580" w:lineRule="exact"/>
        <w:ind w:firstLine="640"/>
        <w:jc w:val="both"/>
      </w:pPr>
      <w:r>
        <w:rPr>
          <w:rFonts w:ascii="仿宋_GB2312" w:hAnsi="仿宋_GB2312" w:eastAsia="仿宋_GB2312"/>
          <w:sz w:val="32"/>
        </w:rPr>
        <w:t>8.组织编制城乡总体规划及相关规划的审查报批。</w:t>
      </w:r>
    </w:p>
    <w:p w14:paraId="366AF75F">
      <w:pPr>
        <w:spacing w:line="580" w:lineRule="exact"/>
        <w:ind w:firstLine="640"/>
        <w:jc w:val="both"/>
      </w:pPr>
      <w:r>
        <w:rPr>
          <w:rFonts w:ascii="仿宋_GB2312" w:hAnsi="仿宋_GB2312" w:eastAsia="仿宋_GB2312"/>
          <w:sz w:val="32"/>
        </w:rPr>
        <w:t>9.负责城乡建设用地和建设项目的规划管理工作。</w:t>
      </w:r>
    </w:p>
    <w:p w14:paraId="58910ED2">
      <w:pPr>
        <w:spacing w:line="580" w:lineRule="exact"/>
        <w:ind w:firstLine="640"/>
        <w:jc w:val="both"/>
      </w:pPr>
      <w:r>
        <w:rPr>
          <w:rFonts w:ascii="仿宋_GB2312" w:hAnsi="仿宋_GB2312" w:eastAsia="仿宋_GB2312"/>
          <w:sz w:val="32"/>
        </w:rPr>
        <w:t>10.负责城乡规划编制、审查、审批、修改、工作，负责区域内规划行业和规划设计市场的管理。</w:t>
      </w:r>
    </w:p>
    <w:p w14:paraId="47308ABF">
      <w:pPr>
        <w:spacing w:line="580" w:lineRule="exact"/>
        <w:ind w:firstLine="640"/>
        <w:jc w:val="both"/>
        <w:rPr>
          <w:w w:val="95"/>
          <w:sz w:val="32"/>
        </w:rPr>
      </w:pPr>
      <w:r>
        <w:rPr>
          <w:rFonts w:ascii="仿宋_GB2312" w:hAnsi="仿宋_GB2312" w:eastAsia="仿宋_GB2312"/>
          <w:w w:val="95"/>
          <w:sz w:val="32"/>
        </w:rPr>
        <w:t>11</w:t>
      </w:r>
      <w:r>
        <w:rPr>
          <w:rFonts w:hint="eastAsia" w:ascii="仿宋_GB2312" w:hAnsi="仿宋_GB2312" w:eastAsia="仿宋_GB2312"/>
          <w:w w:val="95"/>
          <w:sz w:val="32"/>
          <w:lang w:eastAsia="zh-CN"/>
        </w:rPr>
        <w:t>.负</w:t>
      </w:r>
      <w:r>
        <w:rPr>
          <w:rFonts w:ascii="仿宋_GB2312" w:hAnsi="仿宋_GB2312" w:eastAsia="仿宋_GB2312"/>
          <w:w w:val="95"/>
          <w:sz w:val="32"/>
        </w:rPr>
        <w:t>责组织城乡规划管理信息系统建设和规划档案资料管理。</w:t>
      </w:r>
    </w:p>
    <w:p w14:paraId="5E89C7C8">
      <w:pPr>
        <w:spacing w:line="580" w:lineRule="exact"/>
        <w:ind w:firstLine="640"/>
        <w:jc w:val="both"/>
      </w:pPr>
      <w:r>
        <w:rPr>
          <w:rFonts w:ascii="仿宋_GB2312" w:hAnsi="仿宋_GB2312" w:eastAsia="仿宋_GB2312"/>
          <w:sz w:val="32"/>
        </w:rPr>
        <w:t>12.组织历史文化名城（镇、村）、历史文化街区、历史文化建筑、风景名胜区规划编制工作。</w:t>
      </w:r>
    </w:p>
    <w:p w14:paraId="626F4B2C">
      <w:pPr>
        <w:spacing w:line="580" w:lineRule="exact"/>
        <w:ind w:firstLine="640"/>
        <w:jc w:val="both"/>
      </w:pPr>
      <w:r>
        <w:rPr>
          <w:rFonts w:ascii="仿宋_GB2312" w:hAnsi="仿宋_GB2312" w:eastAsia="仿宋_GB2312"/>
          <w:sz w:val="32"/>
        </w:rPr>
        <w:t>13.负责统筹国土空间生态修复。</w:t>
      </w:r>
    </w:p>
    <w:p w14:paraId="70BA99B1">
      <w:pPr>
        <w:spacing w:line="580" w:lineRule="exact"/>
        <w:ind w:firstLine="640"/>
        <w:jc w:val="both"/>
      </w:pPr>
      <w:r>
        <w:rPr>
          <w:rFonts w:ascii="仿宋_GB2312" w:hAnsi="仿宋_GB2312" w:eastAsia="仿宋_GB2312"/>
          <w:sz w:val="32"/>
        </w:rPr>
        <w:t>14.负责组织实施最严格的耕地保护制度。</w:t>
      </w:r>
    </w:p>
    <w:p w14:paraId="03096D0E">
      <w:pPr>
        <w:spacing w:line="580" w:lineRule="exact"/>
        <w:ind w:firstLine="640"/>
        <w:jc w:val="both"/>
      </w:pPr>
      <w:r>
        <w:rPr>
          <w:rFonts w:ascii="仿宋_GB2312" w:hAnsi="仿宋_GB2312" w:eastAsia="仿宋_GB2312"/>
          <w:sz w:val="32"/>
        </w:rPr>
        <w:t>15.负责管理地质</w:t>
      </w:r>
      <w:r>
        <w:rPr>
          <w:rFonts w:hint="eastAsia" w:ascii="仿宋_GB2312" w:hAnsi="仿宋_GB2312" w:eastAsia="仿宋_GB2312"/>
          <w:sz w:val="32"/>
          <w:lang w:eastAsia="zh-CN"/>
        </w:rPr>
        <w:t>勘察</w:t>
      </w:r>
      <w:r>
        <w:rPr>
          <w:rFonts w:ascii="仿宋_GB2312" w:hAnsi="仿宋_GB2312" w:eastAsia="仿宋_GB2312"/>
          <w:sz w:val="32"/>
        </w:rPr>
        <w:t>行业和地质工作。</w:t>
      </w:r>
    </w:p>
    <w:p w14:paraId="54F6EF2D">
      <w:pPr>
        <w:spacing w:line="580" w:lineRule="exact"/>
        <w:ind w:firstLine="640"/>
        <w:jc w:val="both"/>
      </w:pPr>
      <w:r>
        <w:rPr>
          <w:rFonts w:ascii="仿宋_GB2312" w:hAnsi="仿宋_GB2312" w:eastAsia="仿宋_GB2312"/>
          <w:sz w:val="32"/>
        </w:rPr>
        <w:t>16.负责落实综合防灾减灾规划相关要求。</w:t>
      </w:r>
    </w:p>
    <w:p w14:paraId="12D67C06">
      <w:pPr>
        <w:spacing w:line="580" w:lineRule="exact"/>
        <w:ind w:firstLine="640"/>
        <w:jc w:val="both"/>
      </w:pPr>
      <w:r>
        <w:rPr>
          <w:rFonts w:ascii="仿宋_GB2312" w:hAnsi="仿宋_GB2312" w:eastAsia="仿宋_GB2312"/>
          <w:sz w:val="32"/>
        </w:rPr>
        <w:t>17.负责矿产资源管理工作，规范矿产资源合理利用和保护。</w:t>
      </w:r>
    </w:p>
    <w:p w14:paraId="304885ED">
      <w:pPr>
        <w:spacing w:line="580" w:lineRule="exact"/>
        <w:ind w:firstLine="640"/>
        <w:jc w:val="both"/>
      </w:pPr>
      <w:r>
        <w:rPr>
          <w:rFonts w:ascii="仿宋_GB2312" w:hAnsi="仿宋_GB2312" w:eastAsia="仿宋_GB2312"/>
          <w:sz w:val="32"/>
        </w:rPr>
        <w:t>18.负责测绘地理信息管理工作。</w:t>
      </w:r>
    </w:p>
    <w:p w14:paraId="6CC5A698">
      <w:pPr>
        <w:spacing w:line="580" w:lineRule="exact"/>
        <w:ind w:firstLine="640"/>
        <w:jc w:val="both"/>
      </w:pPr>
      <w:r>
        <w:rPr>
          <w:rFonts w:ascii="仿宋_GB2312" w:hAnsi="仿宋_GB2312" w:eastAsia="仿宋_GB2312"/>
          <w:sz w:val="32"/>
        </w:rPr>
        <w:t>19.加快自然资源领域的科学技术应用，落实好自然资源领域科技创新发展和人才培养战略和措施，推动创新能力建设，推进自然资源信息化和信息资料的公共服务。</w:t>
      </w:r>
    </w:p>
    <w:p w14:paraId="5E448735">
      <w:pPr>
        <w:spacing w:line="580" w:lineRule="exact"/>
        <w:ind w:firstLine="640"/>
        <w:jc w:val="both"/>
      </w:pPr>
      <w:r>
        <w:rPr>
          <w:rFonts w:ascii="仿宋_GB2312" w:hAnsi="仿宋_GB2312" w:eastAsia="仿宋_GB2312"/>
          <w:sz w:val="32"/>
        </w:rPr>
        <w:t>20.查处自然资源开发利用和国土空间规则及测绘的违法案件，重大违法案件及时上报县委、县人民政府和上级自然资源主管部门。</w:t>
      </w:r>
    </w:p>
    <w:p w14:paraId="7FD92973">
      <w:pPr>
        <w:spacing w:line="580" w:lineRule="exact"/>
        <w:ind w:firstLine="640"/>
        <w:jc w:val="both"/>
      </w:pPr>
      <w:r>
        <w:rPr>
          <w:rFonts w:ascii="仿宋_GB2312" w:hAnsi="仿宋_GB2312" w:eastAsia="仿宋_GB2312"/>
          <w:sz w:val="32"/>
        </w:rPr>
        <w:t>21.统一管理和协调特克斯县林业和草原局。</w:t>
      </w:r>
    </w:p>
    <w:p w14:paraId="4E53D685">
      <w:pPr>
        <w:spacing w:line="580" w:lineRule="exact"/>
        <w:ind w:firstLine="640"/>
        <w:jc w:val="both"/>
      </w:pPr>
      <w:r>
        <w:rPr>
          <w:rFonts w:ascii="仿宋_GB2312" w:hAnsi="仿宋_GB2312" w:eastAsia="仿宋_GB2312"/>
          <w:sz w:val="32"/>
        </w:rPr>
        <w:t>22.完成县委、县人民政府交办的其他任务。</w:t>
      </w:r>
    </w:p>
    <w:p w14:paraId="52AF2042">
      <w:pPr>
        <w:spacing w:line="640" w:lineRule="exact"/>
        <w:ind w:firstLine="640"/>
        <w:jc w:val="both"/>
        <w:outlineLvl w:val="2"/>
      </w:pPr>
      <w:r>
        <w:rPr>
          <w:rFonts w:ascii="黑体" w:hAnsi="黑体" w:eastAsia="黑体"/>
          <w:sz w:val="32"/>
        </w:rPr>
        <w:t>二、机构设置及人员情况</w:t>
      </w:r>
    </w:p>
    <w:p w14:paraId="7B1C7A67">
      <w:pPr>
        <w:spacing w:line="580" w:lineRule="exact"/>
        <w:ind w:firstLine="640"/>
        <w:jc w:val="both"/>
      </w:pPr>
      <w:r>
        <w:rPr>
          <w:rFonts w:ascii="仿宋_GB2312" w:hAnsi="仿宋_GB2312" w:eastAsia="仿宋_GB2312"/>
          <w:sz w:val="32"/>
        </w:rPr>
        <w:t>特克斯县自然资源局2024年度，实有人数70人，其中：在职人员37人，增加1人；离休人员0人，增加0人；退休人员33人,增加0人。</w:t>
      </w:r>
    </w:p>
    <w:p w14:paraId="7024F83C">
      <w:pPr>
        <w:spacing w:line="580" w:lineRule="exact"/>
        <w:ind w:firstLine="640"/>
        <w:jc w:val="both"/>
      </w:pPr>
      <w:r>
        <w:rPr>
          <w:rFonts w:ascii="仿宋_GB2312" w:hAnsi="仿宋_GB2312" w:eastAsia="仿宋_GB2312"/>
          <w:sz w:val="32"/>
        </w:rPr>
        <w:t>特克斯县自然资源局无下属预算</w:t>
      </w:r>
      <w:r>
        <w:rPr>
          <w:rFonts w:hint="eastAsia" w:ascii="仿宋_GB2312" w:hAnsi="仿宋_GB2312" w:eastAsia="仿宋_GB2312"/>
          <w:sz w:val="32"/>
          <w:lang w:eastAsia="zh-CN"/>
        </w:rPr>
        <w:t>单位</w:t>
      </w:r>
      <w:r>
        <w:rPr>
          <w:rFonts w:ascii="仿宋_GB2312" w:hAnsi="仿宋_GB2312" w:eastAsia="仿宋_GB2312"/>
          <w:sz w:val="32"/>
        </w:rPr>
        <w:t>，下设6个科室，分别是：办公室、自然资源开发利用保护和国土空间用途管制科、自然资源调查监测和确权登记科、国土空间规划和测绘地理信息科、地质勘查和矿产资源保护管理科、执法监察科。</w:t>
      </w:r>
    </w:p>
    <w:p w14:paraId="5F054646">
      <w:r>
        <w:br w:type="page"/>
      </w:r>
    </w:p>
    <w:p w14:paraId="083FC6B1">
      <w:pPr>
        <w:spacing w:line="240" w:lineRule="auto"/>
        <w:jc w:val="center"/>
        <w:outlineLvl w:val="1"/>
      </w:pPr>
      <w:r>
        <w:rPr>
          <w:rFonts w:ascii="黑体" w:hAnsi="黑体" w:eastAsia="黑体"/>
          <w:sz w:val="32"/>
        </w:rPr>
        <w:t>第二部分 部门决算情况说明</w:t>
      </w:r>
    </w:p>
    <w:p w14:paraId="5CEF0AFF">
      <w:pPr>
        <w:spacing w:line="640" w:lineRule="exact"/>
        <w:ind w:firstLine="640"/>
        <w:jc w:val="both"/>
        <w:outlineLvl w:val="2"/>
      </w:pPr>
      <w:r>
        <w:rPr>
          <w:rFonts w:ascii="黑体" w:hAnsi="黑体" w:eastAsia="黑体"/>
          <w:sz w:val="32"/>
        </w:rPr>
        <w:t>一、收入支出决算总体情况说明</w:t>
      </w:r>
    </w:p>
    <w:p w14:paraId="7401D3B2">
      <w:pPr>
        <w:spacing w:line="580" w:lineRule="exact"/>
        <w:ind w:firstLine="640"/>
        <w:jc w:val="both"/>
      </w:pPr>
      <w:r>
        <w:rPr>
          <w:rFonts w:ascii="仿宋_GB2312" w:hAnsi="仿宋_GB2312" w:eastAsia="仿宋_GB2312"/>
          <w:b/>
          <w:sz w:val="32"/>
        </w:rPr>
        <w:t>2024年度收入总计2,891.63万元，</w:t>
      </w:r>
      <w:r>
        <w:rPr>
          <w:rFonts w:ascii="仿宋_GB2312" w:hAnsi="仿宋_GB2312" w:eastAsia="仿宋_GB2312"/>
          <w:b w:val="0"/>
          <w:sz w:val="32"/>
        </w:rPr>
        <w:t>其中：本年收入合计2,891.63万元，使用非财政拨款结余（含专用结余）0.00万元，年初结转和结余0.00万元。</w:t>
      </w:r>
    </w:p>
    <w:p w14:paraId="43448CB3">
      <w:pPr>
        <w:spacing w:line="580" w:lineRule="exact"/>
        <w:ind w:firstLine="640"/>
        <w:jc w:val="both"/>
      </w:pPr>
      <w:r>
        <w:rPr>
          <w:rFonts w:ascii="仿宋_GB2312" w:hAnsi="仿宋_GB2312" w:eastAsia="仿宋_GB2312"/>
          <w:b/>
          <w:sz w:val="32"/>
        </w:rPr>
        <w:t>2024年度支出总计2,891.63万元，</w:t>
      </w:r>
      <w:r>
        <w:rPr>
          <w:rFonts w:ascii="仿宋_GB2312" w:hAnsi="仿宋_GB2312" w:eastAsia="仿宋_GB2312"/>
          <w:b w:val="0"/>
          <w:sz w:val="32"/>
        </w:rPr>
        <w:t>其中：本年支出合计</w:t>
      </w:r>
      <w:r>
        <w:rPr>
          <w:rFonts w:ascii="仿宋_GB2312" w:hAnsi="仿宋_GB2312" w:eastAsia="仿宋_GB2312"/>
          <w:b w:val="0"/>
          <w:w w:val="97"/>
          <w:sz w:val="32"/>
        </w:rPr>
        <w:t>2,891.63万元，结余分配0.00万元，年末结转和结余0.00万元。</w:t>
      </w:r>
    </w:p>
    <w:p w14:paraId="52C2E6F9">
      <w:pPr>
        <w:spacing w:line="580" w:lineRule="exact"/>
        <w:ind w:firstLine="640"/>
        <w:jc w:val="both"/>
      </w:pPr>
      <w:r>
        <w:rPr>
          <w:rFonts w:ascii="仿宋_GB2312" w:hAnsi="仿宋_GB2312" w:eastAsia="仿宋_GB2312"/>
          <w:b w:val="0"/>
          <w:sz w:val="32"/>
        </w:rPr>
        <w:t>收入支出总体与上年相比，减少587.12万元，下降16.88%，主要原因是：本年度减少自然资源利用与保护支出耕地开垦费项目、特克斯自然资源统一确权登记项目、中央自然灾害防治体系建设补助资金、新疆特克斯县喀拉托海镇铁列克提村、达根别勒村泥石流专项勘察地质灾害防治项目等</w:t>
      </w:r>
      <w:r>
        <w:rPr>
          <w:rFonts w:hint="eastAsia" w:ascii="仿宋_GB2312" w:hAnsi="仿宋_GB2312" w:eastAsia="仿宋_GB2312"/>
          <w:b w:val="0"/>
          <w:sz w:val="32"/>
          <w:lang w:eastAsia="zh-CN"/>
        </w:rPr>
        <w:t>，</w:t>
      </w:r>
      <w:r>
        <w:rPr>
          <w:rFonts w:ascii="仿宋_GB2312" w:hAnsi="仿宋_GB2312" w:eastAsia="仿宋_GB2312"/>
          <w:b w:val="0"/>
          <w:sz w:val="32"/>
        </w:rPr>
        <w:t>导致经费较上年减少。</w:t>
      </w:r>
    </w:p>
    <w:p w14:paraId="719B75F6">
      <w:pPr>
        <w:spacing w:line="640" w:lineRule="exact"/>
        <w:ind w:firstLine="640"/>
        <w:jc w:val="both"/>
        <w:outlineLvl w:val="2"/>
      </w:pPr>
      <w:r>
        <w:rPr>
          <w:rFonts w:ascii="黑体" w:hAnsi="黑体" w:eastAsia="黑体"/>
          <w:sz w:val="32"/>
        </w:rPr>
        <w:t>二、收入决算情况说明</w:t>
      </w:r>
    </w:p>
    <w:p w14:paraId="7A2B9617">
      <w:pPr>
        <w:spacing w:line="580" w:lineRule="exact"/>
        <w:ind w:firstLine="640"/>
        <w:jc w:val="both"/>
      </w:pPr>
      <w:r>
        <w:rPr>
          <w:rFonts w:ascii="仿宋_GB2312" w:hAnsi="仿宋_GB2312" w:eastAsia="仿宋_GB2312"/>
          <w:b/>
          <w:sz w:val="32"/>
        </w:rPr>
        <w:t>本年收入2,891.63万元，</w:t>
      </w:r>
      <w:r>
        <w:rPr>
          <w:rFonts w:ascii="仿宋_GB2312" w:hAnsi="仿宋_GB2312" w:eastAsia="仿宋_GB2312"/>
          <w:b w:val="0"/>
          <w:sz w:val="32"/>
        </w:rPr>
        <w:t>其中：财政拨款收入2,885.97万元，占99.80%；上级补助收入0.00万元，占0.00%；事业收入0.00万元，占0.00%；经营收入0.00万元，占0.00%；附属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上缴收入0.00万元，占0.00%；其他收入5.66万元，占0.20%。</w:t>
      </w:r>
    </w:p>
    <w:p w14:paraId="4B3EE31A">
      <w:pPr>
        <w:spacing w:line="640" w:lineRule="exact"/>
        <w:ind w:firstLine="640"/>
        <w:jc w:val="both"/>
        <w:outlineLvl w:val="2"/>
      </w:pPr>
      <w:r>
        <w:rPr>
          <w:rFonts w:ascii="黑体" w:hAnsi="黑体" w:eastAsia="黑体"/>
          <w:sz w:val="32"/>
        </w:rPr>
        <w:t>三、支出决算情况说明</w:t>
      </w:r>
    </w:p>
    <w:p w14:paraId="0EC735EC">
      <w:pPr>
        <w:spacing w:line="580" w:lineRule="exact"/>
        <w:ind w:firstLine="640"/>
        <w:jc w:val="both"/>
      </w:pPr>
      <w:r>
        <w:rPr>
          <w:rFonts w:ascii="仿宋_GB2312" w:hAnsi="仿宋_GB2312" w:eastAsia="仿宋_GB2312"/>
          <w:b/>
          <w:sz w:val="32"/>
        </w:rPr>
        <w:t>本年支出2,891.63万元，</w:t>
      </w:r>
      <w:r>
        <w:rPr>
          <w:rFonts w:ascii="仿宋_GB2312" w:hAnsi="仿宋_GB2312" w:eastAsia="仿宋_GB2312"/>
          <w:b w:val="0"/>
          <w:sz w:val="32"/>
        </w:rPr>
        <w:t>其中：基本支出612.25万元，占21.17%；项目支出2,279.38万元，占78.83%；上缴上级支出0.00万元，占0.00%；经营支出0.00万元，占0.00%；对附属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22022779">
      <w:pPr>
        <w:spacing w:line="640" w:lineRule="exact"/>
        <w:ind w:firstLine="640"/>
        <w:jc w:val="both"/>
        <w:outlineLvl w:val="2"/>
      </w:pPr>
      <w:r>
        <w:rPr>
          <w:rFonts w:ascii="黑体" w:hAnsi="黑体" w:eastAsia="黑体"/>
          <w:sz w:val="32"/>
        </w:rPr>
        <w:t>四、财政拨款收入支出决算总体情况说明</w:t>
      </w:r>
    </w:p>
    <w:p w14:paraId="45DA66D9">
      <w:pPr>
        <w:spacing w:line="580" w:lineRule="exact"/>
        <w:ind w:firstLine="640"/>
        <w:jc w:val="both"/>
      </w:pPr>
      <w:r>
        <w:rPr>
          <w:rFonts w:ascii="仿宋_GB2312" w:hAnsi="仿宋_GB2312" w:eastAsia="仿宋_GB2312"/>
          <w:b/>
          <w:sz w:val="32"/>
        </w:rPr>
        <w:t>2024年度财政拨款收入总计2,885.97万元，</w:t>
      </w:r>
      <w:r>
        <w:rPr>
          <w:rFonts w:ascii="仿宋_GB2312" w:hAnsi="仿宋_GB2312" w:eastAsia="仿宋_GB2312"/>
          <w:b w:val="0"/>
          <w:sz w:val="32"/>
        </w:rPr>
        <w:t>其中：年初财政拨款结转和结余0.00万元，本年财政拨款收入2,885.97万元。</w:t>
      </w:r>
      <w:r>
        <w:rPr>
          <w:rFonts w:ascii="仿宋_GB2312" w:hAnsi="仿宋_GB2312" w:eastAsia="仿宋_GB2312"/>
          <w:b/>
          <w:sz w:val="32"/>
        </w:rPr>
        <w:t>财政拨款支出总计2,885.97万元，</w:t>
      </w:r>
      <w:r>
        <w:rPr>
          <w:rFonts w:ascii="仿宋_GB2312" w:hAnsi="仿宋_GB2312" w:eastAsia="仿宋_GB2312"/>
          <w:b w:val="0"/>
          <w:sz w:val="32"/>
        </w:rPr>
        <w:t>其中：年末财政拨款结转和结余0.00万元，本年财政拨款支出2,885.97万元。</w:t>
      </w:r>
    </w:p>
    <w:p w14:paraId="46668D6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592.78万元，下降17.04%，主要原因是：本年度减少自然资源利用与保护支出耕地开垦费项目、特克斯自然资源统一确权登记项目、中央自然灾害防治体系建设补助资金、新疆特克斯县喀拉托海镇铁列克提村、达根别勒村泥石流专项勘察地质灾害防治项目等</w:t>
      </w:r>
      <w:r>
        <w:rPr>
          <w:rFonts w:hint="eastAsia" w:ascii="仿宋_GB2312" w:hAnsi="仿宋_GB2312" w:eastAsia="仿宋_GB2312"/>
          <w:b w:val="0"/>
          <w:sz w:val="32"/>
          <w:lang w:eastAsia="zh-CN"/>
        </w:rPr>
        <w:t>，</w:t>
      </w:r>
      <w:r>
        <w:rPr>
          <w:rFonts w:ascii="仿宋_GB2312" w:hAnsi="仿宋_GB2312" w:eastAsia="仿宋_GB2312"/>
          <w:b w:val="0"/>
          <w:sz w:val="32"/>
        </w:rPr>
        <w:t>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年初预算数968.00万元，决算数2,885.97万元，预决算差异率198.14%，主要原因是：1.年中追加伊犁浩新房地产开发有限公司</w:t>
      </w:r>
      <w:r>
        <w:rPr>
          <w:rFonts w:hint="eastAsia" w:ascii="仿宋_GB2312" w:hAnsi="仿宋_GB2312" w:eastAsia="仿宋_GB2312"/>
          <w:b w:val="0"/>
          <w:sz w:val="32"/>
          <w:lang w:eastAsia="zh-CN"/>
        </w:rPr>
        <w:t>“</w:t>
      </w:r>
      <w:r>
        <w:rPr>
          <w:rFonts w:ascii="仿宋_GB2312" w:hAnsi="仿宋_GB2312" w:eastAsia="仿宋_GB2312"/>
          <w:b w:val="0"/>
          <w:sz w:val="32"/>
        </w:rPr>
        <w:t>天麓小镇</w:t>
      </w:r>
      <w:r>
        <w:rPr>
          <w:rFonts w:hint="eastAsia" w:ascii="仿宋_GB2312" w:hAnsi="仿宋_GB2312" w:eastAsia="仿宋_GB2312"/>
          <w:b w:val="0"/>
          <w:sz w:val="32"/>
          <w:lang w:eastAsia="zh-CN"/>
        </w:rPr>
        <w:t>”</w:t>
      </w:r>
      <w:r>
        <w:rPr>
          <w:rFonts w:ascii="仿宋_GB2312" w:hAnsi="仿宋_GB2312" w:eastAsia="仿宋_GB2312"/>
          <w:b w:val="0"/>
          <w:sz w:val="32"/>
        </w:rPr>
        <w:t>项目未开发商业用地收回补偿项目、伊犁汇通矿业发展有限公司特克斯县青布拉克铜镍矿收回补偿项目、特克斯县城镇供排水一体化建设项目征地补偿支出、土地征收成片开发方案编制项目等。2.本年在职人员增加，年中追加人员经费及人员工资、社保、公积金基数调增部分资金，导致预决算存在差异。</w:t>
      </w:r>
    </w:p>
    <w:p w14:paraId="43F9D553">
      <w:pPr>
        <w:spacing w:line="640" w:lineRule="exact"/>
        <w:ind w:firstLine="640"/>
        <w:jc w:val="both"/>
        <w:outlineLvl w:val="2"/>
      </w:pPr>
      <w:r>
        <w:rPr>
          <w:rFonts w:ascii="黑体" w:hAnsi="黑体" w:eastAsia="黑体"/>
          <w:sz w:val="32"/>
        </w:rPr>
        <w:t>五、一般公共预算财政拨款支出决算情况说明</w:t>
      </w:r>
    </w:p>
    <w:p w14:paraId="502AF7BD">
      <w:pPr>
        <w:spacing w:line="640" w:lineRule="exact"/>
        <w:ind w:firstLine="640"/>
        <w:jc w:val="both"/>
        <w:outlineLvl w:val="3"/>
      </w:pPr>
      <w:r>
        <w:rPr>
          <w:rFonts w:ascii="楷体_GB2312" w:hAnsi="楷体_GB2312" w:eastAsia="楷体_GB2312"/>
          <w:b/>
          <w:sz w:val="32"/>
        </w:rPr>
        <w:t>（一）一般公共预算财政拨款支出决算总体情况</w:t>
      </w:r>
    </w:p>
    <w:p w14:paraId="4B217A85">
      <w:pPr>
        <w:spacing w:line="580" w:lineRule="exact"/>
        <w:ind w:firstLine="640"/>
        <w:jc w:val="both"/>
      </w:pPr>
      <w:r>
        <w:rPr>
          <w:rFonts w:ascii="仿宋_GB2312" w:hAnsi="仿宋_GB2312" w:eastAsia="仿宋_GB2312"/>
          <w:b/>
          <w:sz w:val="32"/>
        </w:rPr>
        <w:t>2024年度一般公共预算财政拨款支出926.56万元，</w:t>
      </w:r>
      <w:r>
        <w:rPr>
          <w:rFonts w:ascii="仿宋_GB2312" w:hAnsi="仿宋_GB2312" w:eastAsia="仿宋_GB2312"/>
          <w:b w:val="0"/>
          <w:sz w:val="32"/>
        </w:rPr>
        <w:t>占本年支出合计的32.04%。</w:t>
      </w:r>
      <w:r>
        <w:rPr>
          <w:rFonts w:ascii="仿宋_GB2312" w:hAnsi="仿宋_GB2312" w:eastAsia="仿宋_GB2312"/>
          <w:b/>
          <w:sz w:val="32"/>
        </w:rPr>
        <w:t>与上年相比，</w:t>
      </w:r>
      <w:r>
        <w:rPr>
          <w:rFonts w:ascii="仿宋_GB2312" w:hAnsi="仿宋_GB2312" w:eastAsia="仿宋_GB2312"/>
          <w:b w:val="0"/>
          <w:sz w:val="32"/>
        </w:rPr>
        <w:t>减少783.24万元，下降45.81%，主要原因是：本年度减少自然资源利用与保护支出耕地开垦费项目、特克斯自然资源统一确权登记项目、中央自然灾害防治体系建设补助资金、新疆特克斯县喀拉托海镇铁列克提村、达根别勒村泥石流专项勘察地质灾害防治项目等</w:t>
      </w:r>
      <w:r>
        <w:rPr>
          <w:rFonts w:hint="eastAsia" w:ascii="仿宋_GB2312" w:hAnsi="仿宋_GB2312" w:eastAsia="仿宋_GB2312"/>
          <w:b w:val="0"/>
          <w:sz w:val="32"/>
          <w:lang w:eastAsia="zh-CN"/>
        </w:rPr>
        <w:t>，</w:t>
      </w:r>
      <w:r>
        <w:rPr>
          <w:rFonts w:ascii="仿宋_GB2312" w:hAnsi="仿宋_GB2312" w:eastAsia="仿宋_GB2312"/>
          <w:b w:val="0"/>
          <w:sz w:val="32"/>
        </w:rPr>
        <w:t>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年初预算数908.00万元，决算数926.56万元，预决算差异率2.04%，主要原因是：本年在职人员增加，年中追加人员经费及人员工资、社保、公积金基数调增部分资金，导致预决算存在差异。</w:t>
      </w:r>
    </w:p>
    <w:p w14:paraId="20E9CFB4">
      <w:pPr>
        <w:spacing w:line="640" w:lineRule="exact"/>
        <w:ind w:firstLine="640"/>
        <w:jc w:val="both"/>
        <w:outlineLvl w:val="3"/>
      </w:pPr>
      <w:r>
        <w:rPr>
          <w:rFonts w:ascii="楷体_GB2312" w:hAnsi="楷体_GB2312" w:eastAsia="楷体_GB2312"/>
          <w:b/>
          <w:sz w:val="32"/>
        </w:rPr>
        <w:t>（二）一般公共预算财政拨款支出决算结构情况</w:t>
      </w:r>
    </w:p>
    <w:p w14:paraId="3C061B36">
      <w:pPr>
        <w:spacing w:line="580" w:lineRule="exact"/>
        <w:ind w:firstLine="640"/>
        <w:jc w:val="both"/>
      </w:pPr>
      <w:r>
        <w:rPr>
          <w:rFonts w:ascii="仿宋_GB2312" w:hAnsi="仿宋_GB2312" w:eastAsia="仿宋_GB2312"/>
          <w:b w:val="0"/>
          <w:sz w:val="32"/>
        </w:rPr>
        <w:t>1.社会保障和就业支出(类)64.67万元,占6.98%。</w:t>
      </w:r>
    </w:p>
    <w:p w14:paraId="77D3557A">
      <w:pPr>
        <w:spacing w:line="580" w:lineRule="exact"/>
        <w:ind w:firstLine="640"/>
        <w:jc w:val="both"/>
      </w:pPr>
      <w:r>
        <w:rPr>
          <w:rFonts w:ascii="仿宋_GB2312" w:hAnsi="仿宋_GB2312" w:eastAsia="仿宋_GB2312"/>
          <w:b w:val="0"/>
          <w:sz w:val="32"/>
        </w:rPr>
        <w:t>2.卫生健康支出(类)25.17万元,占2.72%。</w:t>
      </w:r>
    </w:p>
    <w:p w14:paraId="5743EF45">
      <w:pPr>
        <w:spacing w:line="580" w:lineRule="exact"/>
        <w:ind w:firstLine="640"/>
        <w:jc w:val="both"/>
      </w:pPr>
      <w:r>
        <w:rPr>
          <w:rFonts w:ascii="仿宋_GB2312" w:hAnsi="仿宋_GB2312" w:eastAsia="仿宋_GB2312"/>
          <w:b w:val="0"/>
          <w:sz w:val="32"/>
        </w:rPr>
        <w:t>3.自然资源海洋气象等支出(类)491.08万元,占53.00%。</w:t>
      </w:r>
    </w:p>
    <w:p w14:paraId="411733BA">
      <w:pPr>
        <w:spacing w:line="580" w:lineRule="exact"/>
        <w:ind w:firstLine="640"/>
        <w:jc w:val="both"/>
      </w:pPr>
      <w:r>
        <w:rPr>
          <w:rFonts w:ascii="仿宋_GB2312" w:hAnsi="仿宋_GB2312" w:eastAsia="仿宋_GB2312"/>
          <w:b w:val="0"/>
          <w:sz w:val="32"/>
        </w:rPr>
        <w:t>4.住房保障支出(类)46.23万元,占4.99%。</w:t>
      </w:r>
    </w:p>
    <w:p w14:paraId="697E2A7F">
      <w:pPr>
        <w:spacing w:line="580" w:lineRule="exact"/>
        <w:ind w:firstLine="640"/>
        <w:jc w:val="both"/>
      </w:pPr>
      <w:r>
        <w:rPr>
          <w:rFonts w:ascii="仿宋_GB2312" w:hAnsi="仿宋_GB2312" w:eastAsia="仿宋_GB2312"/>
          <w:b w:val="0"/>
          <w:sz w:val="32"/>
        </w:rPr>
        <w:t>5.灾害防治及应急管理支出(类)299.40万元,占32.31%。</w:t>
      </w:r>
    </w:p>
    <w:p w14:paraId="0EA1EC85">
      <w:pPr>
        <w:spacing w:line="640" w:lineRule="exact"/>
        <w:ind w:firstLine="640"/>
        <w:jc w:val="both"/>
        <w:outlineLvl w:val="3"/>
      </w:pPr>
      <w:r>
        <w:rPr>
          <w:rFonts w:ascii="楷体_GB2312" w:hAnsi="楷体_GB2312" w:eastAsia="楷体_GB2312"/>
          <w:b/>
          <w:sz w:val="32"/>
        </w:rPr>
        <w:t>（三）一般公共预算财政拨款支出决算具体情况</w:t>
      </w:r>
    </w:p>
    <w:p w14:paraId="2BB364A4">
      <w:pPr>
        <w:spacing w:line="580" w:lineRule="exact"/>
        <w:ind w:firstLine="640"/>
        <w:jc w:val="both"/>
      </w:pPr>
      <w:r>
        <w:rPr>
          <w:rFonts w:ascii="仿宋_GB2312" w:hAnsi="仿宋_GB2312" w:eastAsia="仿宋_GB2312"/>
          <w:b w:val="0"/>
          <w:sz w:val="32"/>
        </w:rPr>
        <w:t>1.社会保障和就业支出(类)行政事业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基本养老保险缴费支出(项):支出决算数为59.78万元，比上年决算增加5.48万元，增长10.09%,主要原因是：本年在职人员增加，在职人员工资基数调增，养老缴费基数上涨，相应支出增加。</w:t>
      </w:r>
    </w:p>
    <w:p w14:paraId="448E79CD">
      <w:pPr>
        <w:spacing w:line="580" w:lineRule="exact"/>
        <w:ind w:firstLine="640"/>
        <w:jc w:val="both"/>
      </w:pPr>
      <w:r>
        <w:rPr>
          <w:rFonts w:ascii="仿宋_GB2312" w:hAnsi="仿宋_GB2312" w:eastAsia="仿宋_GB2312"/>
          <w:b w:val="0"/>
          <w:sz w:val="32"/>
        </w:rPr>
        <w:t>2.社会保障和就业支出(类)行政事业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职业年金缴费支出(项):支出决算数为3.16万元，比上年决算增加3.16万元，增长100.00%,主要原因是：本年新增1名辞职人员，职业年金</w:t>
      </w:r>
      <w:r>
        <w:rPr>
          <w:rFonts w:hint="eastAsia" w:ascii="仿宋_GB2312" w:hAnsi="仿宋_GB2312" w:eastAsia="仿宋_GB2312"/>
          <w:b w:val="0"/>
          <w:sz w:val="32"/>
          <w:lang w:eastAsia="zh-CN"/>
        </w:rPr>
        <w:t>单位</w:t>
      </w:r>
      <w:r>
        <w:rPr>
          <w:rFonts w:ascii="仿宋_GB2312" w:hAnsi="仿宋_GB2312" w:eastAsia="仿宋_GB2312"/>
          <w:b w:val="0"/>
          <w:sz w:val="32"/>
        </w:rPr>
        <w:t>缴费支出增加。</w:t>
      </w:r>
    </w:p>
    <w:p w14:paraId="3878DD4B">
      <w:pPr>
        <w:spacing w:line="580" w:lineRule="exact"/>
        <w:ind w:firstLine="640"/>
        <w:jc w:val="both"/>
      </w:pPr>
      <w:r>
        <w:rPr>
          <w:rFonts w:ascii="仿宋_GB2312" w:hAnsi="仿宋_GB2312" w:eastAsia="仿宋_GB2312"/>
          <w:b w:val="0"/>
          <w:sz w:val="32"/>
        </w:rPr>
        <w:t>3.社会保障和就业支出(类)抚恤(款)死亡抚恤(项):支出决算数为1.73万元，比上年决算增加0.00万元，增长0.00%,主要原因是：本年度遗属补助人员较上年无变化</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经费与上年一致</w:t>
      </w:r>
      <w:r>
        <w:rPr>
          <w:rFonts w:ascii="仿宋_GB2312" w:hAnsi="仿宋_GB2312" w:eastAsia="仿宋_GB2312"/>
          <w:b w:val="0"/>
          <w:sz w:val="32"/>
        </w:rPr>
        <w:t>。</w:t>
      </w:r>
    </w:p>
    <w:p w14:paraId="1DA97243">
      <w:pPr>
        <w:spacing w:line="580" w:lineRule="exact"/>
        <w:ind w:firstLine="640"/>
        <w:jc w:val="both"/>
      </w:pPr>
      <w:r>
        <w:rPr>
          <w:rFonts w:ascii="仿宋_GB2312" w:hAnsi="仿宋_GB2312" w:eastAsia="仿宋_GB2312"/>
          <w:b w:val="0"/>
          <w:sz w:val="32"/>
        </w:rPr>
        <w:t>4.卫生健康支出(类)行政事业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医疗(项):支出决算数为7.91万元，比上年决算减少0.41万元，下降4.93%,主要原因是：本年在职人员调入</w:t>
      </w:r>
      <w:r>
        <w:rPr>
          <w:rFonts w:hint="eastAsia" w:ascii="仿宋_GB2312" w:hAnsi="仿宋_GB2312" w:eastAsia="仿宋_GB2312"/>
          <w:b w:val="0"/>
          <w:sz w:val="32"/>
          <w:lang w:val="en-US" w:eastAsia="zh-CN"/>
        </w:rPr>
        <w:t>辞职</w:t>
      </w:r>
      <w:r>
        <w:rPr>
          <w:rFonts w:ascii="仿宋_GB2312" w:hAnsi="仿宋_GB2312" w:eastAsia="仿宋_GB2312"/>
          <w:b w:val="0"/>
          <w:sz w:val="32"/>
        </w:rPr>
        <w:t>，人员职级不同，缴费基数不同，导致行政</w:t>
      </w:r>
      <w:r>
        <w:rPr>
          <w:rFonts w:hint="eastAsia" w:ascii="仿宋_GB2312" w:hAnsi="仿宋_GB2312" w:eastAsia="仿宋_GB2312"/>
          <w:b w:val="0"/>
          <w:sz w:val="32"/>
          <w:lang w:eastAsia="zh-CN"/>
        </w:rPr>
        <w:t>单位</w:t>
      </w:r>
      <w:r>
        <w:rPr>
          <w:rFonts w:ascii="仿宋_GB2312" w:hAnsi="仿宋_GB2312" w:eastAsia="仿宋_GB2312"/>
          <w:b w:val="0"/>
          <w:sz w:val="32"/>
        </w:rPr>
        <w:t>医疗较上年减少。</w:t>
      </w:r>
    </w:p>
    <w:p w14:paraId="4326462B">
      <w:pPr>
        <w:spacing w:line="580" w:lineRule="exact"/>
        <w:ind w:firstLine="640"/>
        <w:jc w:val="both"/>
      </w:pPr>
      <w:r>
        <w:rPr>
          <w:rFonts w:ascii="仿宋_GB2312" w:hAnsi="仿宋_GB2312" w:eastAsia="仿宋_GB2312"/>
          <w:b w:val="0"/>
          <w:sz w:val="32"/>
        </w:rPr>
        <w:t>5.卫生健康支出(类)行政事业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医疗(项):支出决算数为16.68万元，比上年决算增加0.55万元，增长3.41%,主要原因是：本年在职人员工资基数调增，医疗缴费基数上涨，相应支出增加。</w:t>
      </w:r>
    </w:p>
    <w:p w14:paraId="299B16E3">
      <w:pPr>
        <w:spacing w:line="580" w:lineRule="exact"/>
        <w:ind w:firstLine="640"/>
        <w:jc w:val="both"/>
      </w:pPr>
      <w:r>
        <w:rPr>
          <w:rFonts w:ascii="仿宋_GB2312" w:hAnsi="仿宋_GB2312" w:eastAsia="仿宋_GB2312"/>
          <w:b w:val="0"/>
          <w:sz w:val="32"/>
        </w:rPr>
        <w:t>6.卫生健康支出(类)行政事业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医疗(款)公务员医疗补助(项):支出决算数为0.16万元，比上年决算减少0.02万元，下降11.11%,主要原因是：本年在职人员调入</w:t>
      </w:r>
      <w:r>
        <w:rPr>
          <w:rFonts w:hint="eastAsia" w:ascii="仿宋_GB2312" w:hAnsi="仿宋_GB2312" w:eastAsia="仿宋_GB2312"/>
          <w:b w:val="0"/>
          <w:sz w:val="32"/>
          <w:lang w:val="en-US" w:eastAsia="zh-CN"/>
        </w:rPr>
        <w:t>辞职</w:t>
      </w:r>
      <w:r>
        <w:rPr>
          <w:rFonts w:ascii="仿宋_GB2312" w:hAnsi="仿宋_GB2312" w:eastAsia="仿宋_GB2312"/>
          <w:b w:val="0"/>
          <w:sz w:val="32"/>
        </w:rPr>
        <w:t>，人员职级不同，缴费基数不同，导致公务员医疗补助较上年减少。</w:t>
      </w:r>
    </w:p>
    <w:p w14:paraId="0F7A9052">
      <w:pPr>
        <w:spacing w:line="580" w:lineRule="exact"/>
        <w:ind w:firstLine="640"/>
        <w:jc w:val="both"/>
      </w:pPr>
      <w:r>
        <w:rPr>
          <w:rFonts w:ascii="仿宋_GB2312" w:hAnsi="仿宋_GB2312" w:eastAsia="仿宋_GB2312"/>
          <w:b w:val="0"/>
          <w:sz w:val="32"/>
        </w:rPr>
        <w:t>7.卫生健康支出(类)行政事业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医疗支出(项):支出决算数为0.43万元，比上年决算减少0.38万元，下降46.91%,主要原因是：本年度大病医疗缴费比例降低，每人22.5元降低每人10元，导致经费较上年减少。</w:t>
      </w:r>
    </w:p>
    <w:p w14:paraId="65F5747A">
      <w:pPr>
        <w:spacing w:line="580" w:lineRule="exact"/>
        <w:ind w:firstLine="640"/>
        <w:jc w:val="both"/>
      </w:pPr>
      <w:r>
        <w:rPr>
          <w:rFonts w:ascii="仿宋_GB2312" w:hAnsi="仿宋_GB2312" w:eastAsia="仿宋_GB2312"/>
          <w:b w:val="0"/>
          <w:sz w:val="32"/>
        </w:rPr>
        <w:t>8.自然资源海洋气象等支出(类)自然资源事务(款)行政运行(项):支出决算数为470.51万元，比上年决算增加19.30万元，增长4.28%,主要原因是：本年新增在职人员，人员经费增加，导致经费较上年有所增加。</w:t>
      </w:r>
    </w:p>
    <w:p w14:paraId="4A8AEE84">
      <w:pPr>
        <w:spacing w:line="580" w:lineRule="exact"/>
        <w:ind w:firstLine="640"/>
        <w:jc w:val="both"/>
      </w:pPr>
      <w:r>
        <w:rPr>
          <w:rFonts w:ascii="仿宋_GB2312" w:hAnsi="仿宋_GB2312" w:eastAsia="仿宋_GB2312"/>
          <w:b w:val="0"/>
          <w:sz w:val="32"/>
        </w:rPr>
        <w:t>9.自然资源海洋气象等支出(类)自然资源事务(款)自然资源利用与保护(项):支出决算数为0.00万元，比上年决算减少333.82万元，下降100.00%,主要原因是：本年度减少自然资源利用与保护支出耕地开垦费项目。</w:t>
      </w:r>
    </w:p>
    <w:p w14:paraId="536C87E6">
      <w:pPr>
        <w:spacing w:line="580" w:lineRule="exact"/>
        <w:ind w:firstLine="640"/>
        <w:jc w:val="both"/>
      </w:pPr>
      <w:r>
        <w:rPr>
          <w:rFonts w:ascii="仿宋_GB2312" w:hAnsi="仿宋_GB2312" w:eastAsia="仿宋_GB2312"/>
          <w:b w:val="0"/>
          <w:sz w:val="32"/>
        </w:rPr>
        <w:t>10.自然资源海洋气象等支出(类)自然资源事务(款)自然资源调查与确权登记(项):支出决算数为20.57万元，比上年决算减少29.43万元，下降58.86%,主要原因是：本年度减少特克斯自然资源统一确权登记项目。</w:t>
      </w:r>
    </w:p>
    <w:p w14:paraId="2850D778">
      <w:pPr>
        <w:spacing w:line="580" w:lineRule="exact"/>
        <w:ind w:firstLine="640"/>
        <w:jc w:val="both"/>
      </w:pPr>
      <w:r>
        <w:rPr>
          <w:rFonts w:ascii="仿宋_GB2312" w:hAnsi="仿宋_GB2312" w:eastAsia="仿宋_GB2312"/>
          <w:b w:val="0"/>
          <w:sz w:val="32"/>
        </w:rPr>
        <w:t>11.住房保障支出(类)住房改革支出(款)住房公积金(项):支出决算数为46.23万元，比上年决算增加3.53万元，增长8.27%,主要原因是：本年在职人员增加，</w:t>
      </w:r>
      <w:r>
        <w:rPr>
          <w:rFonts w:hint="eastAsia" w:ascii="仿宋_GB2312" w:hAnsi="仿宋_GB2312" w:eastAsia="仿宋_GB2312"/>
          <w:b w:val="0"/>
          <w:sz w:val="32"/>
          <w:lang w:val="en-US" w:eastAsia="zh-CN"/>
        </w:rPr>
        <w:t>人员工资调增，</w:t>
      </w:r>
      <w:r>
        <w:rPr>
          <w:rFonts w:ascii="仿宋_GB2312" w:hAnsi="仿宋_GB2312" w:eastAsia="仿宋_GB2312"/>
          <w:b w:val="0"/>
          <w:sz w:val="32"/>
        </w:rPr>
        <w:t>住房公积金支出较上年增加。</w:t>
      </w:r>
    </w:p>
    <w:p w14:paraId="423CCE8F">
      <w:pPr>
        <w:spacing w:line="580" w:lineRule="exact"/>
        <w:ind w:firstLine="640"/>
        <w:jc w:val="both"/>
      </w:pPr>
      <w:r>
        <w:rPr>
          <w:rFonts w:ascii="仿宋_GB2312" w:hAnsi="仿宋_GB2312" w:eastAsia="仿宋_GB2312"/>
          <w:b w:val="0"/>
          <w:sz w:val="32"/>
        </w:rPr>
        <w:t>12.灾害防治及应急管理支出(类)自然灾害防治(款)地质灾害防治(项):支出决算数为299.40万元，比上年决算减少451.20万元，下降60.11%,主要原因是：本年度减少中央自然灾害防治体系建设补助资金、新疆特克斯县喀拉托海镇铁列克提村、达根别勒村泥石流专项勘察地质灾害防治项目等。</w:t>
      </w:r>
    </w:p>
    <w:p w14:paraId="2C4CDB18">
      <w:pPr>
        <w:spacing w:line="640" w:lineRule="exact"/>
        <w:ind w:firstLine="640"/>
        <w:jc w:val="both"/>
        <w:outlineLvl w:val="2"/>
      </w:pPr>
      <w:r>
        <w:rPr>
          <w:rFonts w:ascii="黑体" w:hAnsi="黑体" w:eastAsia="黑体"/>
          <w:sz w:val="32"/>
        </w:rPr>
        <w:t>六、一般公共预算财政拨款基本支出决算情况说明</w:t>
      </w:r>
    </w:p>
    <w:p w14:paraId="4C564C85">
      <w:pPr>
        <w:spacing w:line="580" w:lineRule="exact"/>
        <w:ind w:firstLine="640"/>
        <w:jc w:val="both"/>
      </w:pPr>
      <w:r>
        <w:rPr>
          <w:rFonts w:ascii="仿宋_GB2312" w:hAnsi="仿宋_GB2312" w:eastAsia="仿宋_GB2312"/>
          <w:b w:val="0"/>
          <w:sz w:val="32"/>
        </w:rPr>
        <w:t>2024年度一般公共预算财政拨款基本支出606.59万元，其中：</w:t>
      </w:r>
      <w:r>
        <w:rPr>
          <w:rFonts w:ascii="仿宋_GB2312" w:hAnsi="仿宋_GB2312" w:eastAsia="仿宋_GB2312"/>
          <w:b/>
          <w:sz w:val="32"/>
        </w:rPr>
        <w:t>人员经费592.43万元，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基本养老保险缴费、职业年金缴费、职工基本医疗保险缴费、公务员医疗补助缴费、其他社会保障缴费、住房公积金、退休费、生活补助。</w:t>
      </w:r>
    </w:p>
    <w:p w14:paraId="19024408">
      <w:pPr>
        <w:spacing w:line="580" w:lineRule="exact"/>
        <w:ind w:firstLine="640"/>
        <w:jc w:val="both"/>
      </w:pPr>
      <w:r>
        <w:rPr>
          <w:rFonts w:ascii="仿宋_GB2312" w:hAnsi="仿宋_GB2312" w:eastAsia="仿宋_GB2312"/>
          <w:b/>
          <w:sz w:val="32"/>
        </w:rPr>
        <w:t>公用经费14.15万元，</w:t>
      </w:r>
      <w:r>
        <w:rPr>
          <w:rFonts w:ascii="仿宋_GB2312" w:hAnsi="仿宋_GB2312" w:eastAsia="仿宋_GB2312"/>
          <w:b w:val="0"/>
          <w:sz w:val="32"/>
        </w:rPr>
        <w:t>包括：办公费、电费、邮电费、取暖费、差旅费、工会经费、公务用车运行维护费、税金及附加费用。</w:t>
      </w:r>
    </w:p>
    <w:p w14:paraId="4C80EEA7">
      <w:pPr>
        <w:spacing w:line="640" w:lineRule="exact"/>
        <w:ind w:firstLine="640"/>
        <w:jc w:val="both"/>
        <w:outlineLvl w:val="2"/>
      </w:pPr>
      <w:r>
        <w:rPr>
          <w:rFonts w:ascii="黑体" w:hAnsi="黑体" w:eastAsia="黑体"/>
          <w:sz w:val="32"/>
        </w:rPr>
        <w:t>七、政府性基金预算财政拨款收入支出决算情况说明</w:t>
      </w:r>
    </w:p>
    <w:p w14:paraId="34473FEF">
      <w:pPr>
        <w:spacing w:line="580" w:lineRule="exact"/>
        <w:ind w:firstLine="640"/>
        <w:jc w:val="both"/>
      </w:pPr>
      <w:r>
        <w:rPr>
          <w:rFonts w:ascii="仿宋_GB2312" w:hAnsi="仿宋_GB2312" w:eastAsia="仿宋_GB2312"/>
          <w:b/>
          <w:sz w:val="32"/>
        </w:rPr>
        <w:t>2024年度政府性基金预算财政拨款收入总计1,959.41万元，</w:t>
      </w:r>
      <w:r>
        <w:rPr>
          <w:rFonts w:ascii="仿宋_GB2312" w:hAnsi="仿宋_GB2312" w:eastAsia="仿宋_GB2312"/>
          <w:b w:val="0"/>
          <w:sz w:val="32"/>
        </w:rPr>
        <w:t>其中：年初结转和结余0.00万元，本年收入1,959.41万元。</w:t>
      </w:r>
      <w:r>
        <w:rPr>
          <w:rFonts w:ascii="仿宋_GB2312" w:hAnsi="仿宋_GB2312" w:eastAsia="仿宋_GB2312"/>
          <w:b/>
          <w:sz w:val="32"/>
        </w:rPr>
        <w:t>政府性基金预算财政拨款支出总计1,959.41万元，</w:t>
      </w:r>
      <w:r>
        <w:rPr>
          <w:rFonts w:ascii="仿宋_GB2312" w:hAnsi="仿宋_GB2312" w:eastAsia="仿宋_GB2312"/>
          <w:b w:val="0"/>
          <w:sz w:val="32"/>
        </w:rPr>
        <w:t>其中：年末结转和结余0.00万元，本年支出1,959.41万元。</w:t>
      </w:r>
    </w:p>
    <w:p w14:paraId="6C817EBD">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增加190.46万元，增长10.77%，主要原因是：本年度</w:t>
      </w:r>
      <w:r>
        <w:rPr>
          <w:rFonts w:hint="eastAsia" w:ascii="仿宋_GB2312" w:hAnsi="仿宋_GB2312" w:eastAsia="仿宋_GB2312"/>
          <w:b w:val="0"/>
          <w:sz w:val="32"/>
          <w:lang w:val="en-US" w:eastAsia="zh-CN"/>
        </w:rPr>
        <w:t>增加</w:t>
      </w:r>
      <w:r>
        <w:rPr>
          <w:rFonts w:ascii="仿宋_GB2312" w:hAnsi="仿宋_GB2312" w:eastAsia="仿宋_GB2312"/>
          <w:b w:val="0"/>
          <w:sz w:val="32"/>
        </w:rPr>
        <w:t>伊犁浩新房地产开发有限公司</w:t>
      </w:r>
      <w:r>
        <w:rPr>
          <w:rFonts w:hint="eastAsia" w:ascii="仿宋_GB2312" w:hAnsi="仿宋_GB2312" w:eastAsia="仿宋_GB2312"/>
          <w:b w:val="0"/>
          <w:sz w:val="32"/>
          <w:lang w:eastAsia="zh-CN"/>
        </w:rPr>
        <w:t>“</w:t>
      </w:r>
      <w:r>
        <w:rPr>
          <w:rFonts w:ascii="仿宋_GB2312" w:hAnsi="仿宋_GB2312" w:eastAsia="仿宋_GB2312"/>
          <w:b w:val="0"/>
          <w:sz w:val="32"/>
        </w:rPr>
        <w:t>天麓小镇</w:t>
      </w:r>
      <w:r>
        <w:rPr>
          <w:rFonts w:hint="eastAsia" w:ascii="仿宋_GB2312" w:hAnsi="仿宋_GB2312" w:eastAsia="仿宋_GB2312"/>
          <w:b w:val="0"/>
          <w:sz w:val="32"/>
          <w:lang w:eastAsia="zh-CN"/>
        </w:rPr>
        <w:t>”</w:t>
      </w:r>
      <w:r>
        <w:rPr>
          <w:rFonts w:ascii="仿宋_GB2312" w:hAnsi="仿宋_GB2312" w:eastAsia="仿宋_GB2312"/>
          <w:b w:val="0"/>
          <w:sz w:val="32"/>
        </w:rPr>
        <w:t>项目未开发商业用地收回补偿项目、伊犁汇通矿业发展有限公司特克斯县青布拉克铜镍矿收回补偿项目、特克斯县城镇供排水一体化建设项目征地补偿支出、土地征收成片开发方案编制项目。</w:t>
      </w:r>
      <w:r>
        <w:rPr>
          <w:rFonts w:ascii="仿宋_GB2312" w:hAnsi="仿宋_GB2312" w:eastAsia="仿宋_GB2312"/>
          <w:b/>
          <w:sz w:val="32"/>
        </w:rPr>
        <w:t>与年初预算相比，</w:t>
      </w:r>
      <w:r>
        <w:rPr>
          <w:rFonts w:ascii="仿宋_GB2312" w:hAnsi="仿宋_GB2312" w:eastAsia="仿宋_GB2312"/>
          <w:b w:val="0"/>
          <w:sz w:val="32"/>
        </w:rPr>
        <w:t>年初预算数60.00万元，决算数1,959.41万元，预决算差异率3165.68%，主要原因是：年中追加伊犁浩新房地产开发有限公司</w:t>
      </w:r>
      <w:r>
        <w:rPr>
          <w:rFonts w:hint="eastAsia" w:ascii="仿宋_GB2312" w:hAnsi="仿宋_GB2312" w:eastAsia="仿宋_GB2312"/>
          <w:b w:val="0"/>
          <w:sz w:val="32"/>
          <w:lang w:eastAsia="zh-CN"/>
        </w:rPr>
        <w:t>“</w:t>
      </w:r>
      <w:r>
        <w:rPr>
          <w:rFonts w:ascii="仿宋_GB2312" w:hAnsi="仿宋_GB2312" w:eastAsia="仿宋_GB2312"/>
          <w:b w:val="0"/>
          <w:sz w:val="32"/>
        </w:rPr>
        <w:t>天麓小镇</w:t>
      </w:r>
      <w:r>
        <w:rPr>
          <w:rFonts w:hint="eastAsia" w:ascii="仿宋_GB2312" w:hAnsi="仿宋_GB2312" w:eastAsia="仿宋_GB2312"/>
          <w:b w:val="0"/>
          <w:sz w:val="32"/>
          <w:lang w:eastAsia="zh-CN"/>
        </w:rPr>
        <w:t>”</w:t>
      </w:r>
      <w:r>
        <w:rPr>
          <w:rFonts w:ascii="仿宋_GB2312" w:hAnsi="仿宋_GB2312" w:eastAsia="仿宋_GB2312"/>
          <w:b w:val="0"/>
          <w:sz w:val="32"/>
        </w:rPr>
        <w:t>项目未开发商业用地收回补偿项目、伊犁汇通矿业发展有限公司特克斯县青布拉克铜镍矿收回补偿项目、特克斯县城镇供排水一体化建设项目征地补偿支出项目、土地征收成片开发方案编制项目等。</w:t>
      </w:r>
    </w:p>
    <w:p w14:paraId="44D54A74">
      <w:pPr>
        <w:spacing w:line="580" w:lineRule="exact"/>
        <w:ind w:firstLine="640"/>
        <w:jc w:val="both"/>
      </w:pPr>
      <w:r>
        <w:rPr>
          <w:rFonts w:ascii="仿宋_GB2312" w:hAnsi="仿宋_GB2312" w:eastAsia="仿宋_GB2312"/>
          <w:b w:val="0"/>
          <w:sz w:val="32"/>
        </w:rPr>
        <w:t>政府性基金预算财政拨款支出1,959.41万元。</w:t>
      </w:r>
    </w:p>
    <w:p w14:paraId="14C73831">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1.城乡社区支出(类)国有土地使用权出让收入安排的支出(款)征地和拆迁补偿支出(项):支出决算数为1,387.84万元，比上年决算增加981.78万元，增长241.78%,主要原因是：本年度</w:t>
      </w:r>
      <w:r>
        <w:rPr>
          <w:rFonts w:hint="eastAsia" w:ascii="仿宋_GB2312" w:hAnsi="仿宋_GB2312" w:eastAsia="仿宋_GB2312"/>
          <w:b w:val="0"/>
          <w:sz w:val="32"/>
          <w:lang w:val="en-US" w:eastAsia="zh-CN"/>
        </w:rPr>
        <w:t>增加</w:t>
      </w:r>
      <w:r>
        <w:rPr>
          <w:rFonts w:ascii="仿宋_GB2312" w:hAnsi="仿宋_GB2312" w:eastAsia="仿宋_GB2312"/>
          <w:b w:val="0"/>
          <w:sz w:val="32"/>
        </w:rPr>
        <w:t>伊犁浩新房地产开发有限公司</w:t>
      </w:r>
      <w:r>
        <w:rPr>
          <w:rFonts w:hint="eastAsia" w:ascii="仿宋_GB2312" w:hAnsi="仿宋_GB2312" w:eastAsia="仿宋_GB2312"/>
          <w:b w:val="0"/>
          <w:sz w:val="32"/>
          <w:lang w:eastAsia="zh-CN"/>
        </w:rPr>
        <w:t>“</w:t>
      </w:r>
      <w:r>
        <w:rPr>
          <w:rFonts w:ascii="仿宋_GB2312" w:hAnsi="仿宋_GB2312" w:eastAsia="仿宋_GB2312"/>
          <w:b w:val="0"/>
          <w:sz w:val="32"/>
        </w:rPr>
        <w:t>天麓小镇</w:t>
      </w:r>
      <w:r>
        <w:rPr>
          <w:rFonts w:hint="eastAsia" w:ascii="仿宋_GB2312" w:hAnsi="仿宋_GB2312" w:eastAsia="仿宋_GB2312"/>
          <w:b w:val="0"/>
          <w:sz w:val="32"/>
          <w:lang w:eastAsia="zh-CN"/>
        </w:rPr>
        <w:t>”</w:t>
      </w:r>
      <w:r>
        <w:rPr>
          <w:rFonts w:ascii="仿宋_GB2312" w:hAnsi="仿宋_GB2312" w:eastAsia="仿宋_GB2312"/>
          <w:b w:val="0"/>
          <w:sz w:val="32"/>
        </w:rPr>
        <w:t>项目未开发商业用地收回补偿项目、伊犁汇通矿业发展有限公司特克斯县青布拉克铜镍矿收回补偿项目、特克斯县城镇供排水一体化建设项目征地补偿支出项目。</w:t>
      </w:r>
    </w:p>
    <w:p w14:paraId="3A21A017">
      <w:pPr>
        <w:spacing w:line="580" w:lineRule="exact"/>
        <w:ind w:firstLine="640"/>
        <w:jc w:val="both"/>
      </w:pPr>
      <w:r>
        <w:rPr>
          <w:rFonts w:ascii="仿宋_GB2312" w:hAnsi="仿宋_GB2312" w:eastAsia="仿宋_GB2312"/>
          <w:b w:val="0"/>
          <w:sz w:val="32"/>
        </w:rPr>
        <w:t>2.城乡社区支出(类)国有土地使用权出让收入安排的支出(款)土地开发支出(项):支出决算数为403.70万元，比上年决算减少709.71万元，下降63.74%,主要原因是：本年土地出让业务费、耕地占用税项目经费较上年减少。</w:t>
      </w:r>
    </w:p>
    <w:p w14:paraId="06903AFF">
      <w:pPr>
        <w:spacing w:line="580" w:lineRule="exact"/>
        <w:ind w:firstLine="640"/>
        <w:jc w:val="both"/>
      </w:pPr>
      <w:r>
        <w:rPr>
          <w:rFonts w:ascii="仿宋_GB2312" w:hAnsi="仿宋_GB2312" w:eastAsia="仿宋_GB2312"/>
          <w:b w:val="0"/>
          <w:sz w:val="32"/>
        </w:rPr>
        <w:t>3.城乡社区支出(类)国有土地使用权出让收入安排的支出(款)土地出让业务支出(项):支出决算数为167.87万元，比上年决算减少81.60万元，下降32.71%,主要原因是：本年建设用地报件费、地质灾害危险性评估费、测绘费等较上年减少。</w:t>
      </w:r>
    </w:p>
    <w:p w14:paraId="48B12034">
      <w:pPr>
        <w:spacing w:line="640" w:lineRule="exact"/>
        <w:ind w:firstLine="640"/>
        <w:jc w:val="both"/>
        <w:outlineLvl w:val="2"/>
      </w:pPr>
      <w:r>
        <w:rPr>
          <w:rFonts w:ascii="黑体" w:hAnsi="黑体" w:eastAsia="黑体"/>
          <w:sz w:val="32"/>
        </w:rPr>
        <w:t>八、国有资本经营预算财政拨款收入支出决算情况说明</w:t>
      </w:r>
    </w:p>
    <w:p w14:paraId="1972DB45">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220062B3">
      <w:pPr>
        <w:spacing w:line="640" w:lineRule="exact"/>
        <w:ind w:firstLine="640"/>
        <w:jc w:val="both"/>
        <w:outlineLvl w:val="2"/>
      </w:pPr>
      <w:r>
        <w:rPr>
          <w:rFonts w:ascii="黑体" w:hAnsi="黑体" w:eastAsia="黑体"/>
          <w:sz w:val="32"/>
        </w:rPr>
        <w:t>九、财政拨款“三公”经费支出决算情况说明</w:t>
      </w:r>
    </w:p>
    <w:p w14:paraId="3A18ED5D">
      <w:pPr>
        <w:spacing w:line="580" w:lineRule="exact"/>
        <w:ind w:firstLine="640"/>
        <w:jc w:val="both"/>
      </w:pPr>
      <w:r>
        <w:rPr>
          <w:rFonts w:ascii="仿宋_GB2312" w:hAnsi="仿宋_GB2312" w:eastAsia="仿宋_GB2312"/>
          <w:b/>
          <w:sz w:val="32"/>
        </w:rPr>
        <w:t>2024年度财政拨款“三公”经费支出1.07万元，</w:t>
      </w:r>
      <w:r>
        <w:rPr>
          <w:rFonts w:ascii="仿宋_GB2312" w:hAnsi="仿宋_GB2312" w:eastAsia="仿宋_GB2312"/>
          <w:b w:val="0"/>
          <w:sz w:val="32"/>
        </w:rPr>
        <w:t>比上年减少0.38万元，下降26.21%，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1.07万元，占100.00%，比上年减少0.38万元，下降26.21%，主要原因是：严格落实中央八项规定精神，厉行节约，减少公务用车运行维护费。公务接待费支出0.00万元，占0.00%，比上年增加0.00万元，增长0.00%，主要原因是：2023年与2024年均未安排公务接待费支出。</w:t>
      </w:r>
    </w:p>
    <w:p w14:paraId="3BE40D92">
      <w:pPr>
        <w:spacing w:line="580" w:lineRule="exact"/>
        <w:ind w:firstLine="640"/>
        <w:jc w:val="both"/>
      </w:pPr>
      <w:r>
        <w:rPr>
          <w:rFonts w:ascii="仿宋_GB2312" w:hAnsi="仿宋_GB2312" w:eastAsia="仿宋_GB2312"/>
          <w:b/>
          <w:sz w:val="32"/>
        </w:rPr>
        <w:t>具体情况如下：</w:t>
      </w:r>
    </w:p>
    <w:p w14:paraId="3D50022D">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41F04A4A">
      <w:pPr>
        <w:spacing w:line="580" w:lineRule="exact"/>
        <w:ind w:firstLine="640"/>
        <w:jc w:val="both"/>
      </w:pPr>
      <w:r>
        <w:rPr>
          <w:rFonts w:ascii="仿宋_GB2312" w:hAnsi="仿宋_GB2312" w:eastAsia="仿宋_GB2312"/>
          <w:b w:val="0"/>
          <w:sz w:val="32"/>
        </w:rPr>
        <w:t>公务用车购置及运行维护费1.07万元，其中：公务用车购置费0.00万元，公务用车运行维护费1.07万元。公务用车运行维护费开支内容包括车辆加油费、保险费、审车费等。公务用车购置数0辆，公务用车保有量2辆。国有资产占用情况中固定资产车辆2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固定资产车辆与公务用车保有量一致无差异。</w:t>
      </w:r>
    </w:p>
    <w:p w14:paraId="388393E2">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129932B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1.07万元，决算数1.07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1.07万元，决算数1.07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273D6ED3">
      <w:pPr>
        <w:spacing w:line="640" w:lineRule="exact"/>
        <w:ind w:firstLine="640"/>
        <w:jc w:val="both"/>
        <w:outlineLvl w:val="2"/>
      </w:pPr>
      <w:r>
        <w:rPr>
          <w:rFonts w:ascii="黑体" w:hAnsi="黑体" w:eastAsia="黑体"/>
          <w:sz w:val="32"/>
        </w:rPr>
        <w:t>十、其他重要事项的情况说明</w:t>
      </w:r>
    </w:p>
    <w:p w14:paraId="0C6C7F13">
      <w:pPr>
        <w:spacing w:line="640" w:lineRule="exact"/>
        <w:ind w:firstLine="640"/>
        <w:jc w:val="both"/>
        <w:outlineLvl w:val="3"/>
      </w:pPr>
      <w:r>
        <w:rPr>
          <w:rFonts w:ascii="楷体_GB2312" w:hAnsi="楷体_GB2312" w:eastAsia="楷体_GB2312"/>
          <w:b/>
          <w:sz w:val="32"/>
        </w:rPr>
        <w:t>（一）机关运行经费及公用经费支出情况</w:t>
      </w:r>
    </w:p>
    <w:p w14:paraId="2A5DA453">
      <w:pPr>
        <w:spacing w:line="580" w:lineRule="exact"/>
        <w:ind w:firstLine="640"/>
        <w:jc w:val="both"/>
      </w:pPr>
      <w:r>
        <w:rPr>
          <w:rFonts w:ascii="仿宋_GB2312" w:hAnsi="仿宋_GB2312" w:eastAsia="仿宋_GB2312"/>
          <w:b w:val="0"/>
          <w:sz w:val="32"/>
        </w:rPr>
        <w:t>2024年度特克斯县自然资源局（行政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）机关运行经费支出14.15万元，比上年增加2.07万元，增长17.14%，主要原因是：本年更新、维护补充办公用品，导致机关运行经费较上年增加。</w:t>
      </w:r>
    </w:p>
    <w:p w14:paraId="25B33B06">
      <w:pPr>
        <w:spacing w:line="640" w:lineRule="exact"/>
        <w:ind w:firstLine="640"/>
        <w:jc w:val="both"/>
        <w:outlineLvl w:val="3"/>
      </w:pPr>
      <w:r>
        <w:rPr>
          <w:rFonts w:ascii="楷体_GB2312" w:hAnsi="楷体_GB2312" w:eastAsia="楷体_GB2312"/>
          <w:b/>
          <w:sz w:val="32"/>
        </w:rPr>
        <w:t>（二）政府采购情况</w:t>
      </w:r>
    </w:p>
    <w:p w14:paraId="737E2F68">
      <w:pPr>
        <w:spacing w:line="580" w:lineRule="exact"/>
        <w:ind w:firstLine="640"/>
        <w:jc w:val="both"/>
      </w:pPr>
      <w:r>
        <w:rPr>
          <w:rFonts w:ascii="仿宋_GB2312" w:hAnsi="仿宋_GB2312" w:eastAsia="仿宋_GB2312"/>
          <w:b w:val="0"/>
          <w:sz w:val="32"/>
        </w:rPr>
        <w:t>2024年度政府采购支出总额830.93万元，其中：政府采购货物支出0.00万元、政府采购工程支出0.00万元、政府采购服务支出830.93万元。</w:t>
      </w:r>
    </w:p>
    <w:p w14:paraId="0352A8AA">
      <w:pPr>
        <w:spacing w:line="580" w:lineRule="exact"/>
        <w:ind w:firstLine="640"/>
        <w:jc w:val="both"/>
      </w:pPr>
      <w:r>
        <w:rPr>
          <w:rFonts w:ascii="仿宋_GB2312" w:hAnsi="仿宋_GB2312" w:eastAsia="仿宋_GB2312"/>
          <w:b w:val="0"/>
          <w:sz w:val="32"/>
        </w:rPr>
        <w:t>授予中小企业合同金额307.93万元，占政府采购支出总额的37.06%，其中：授予小微企业合同金额216.93万元，占政府采购支出总额的26.11%。</w:t>
      </w:r>
    </w:p>
    <w:p w14:paraId="60D04883">
      <w:pPr>
        <w:spacing w:line="640" w:lineRule="exact"/>
        <w:ind w:firstLine="640"/>
        <w:jc w:val="both"/>
        <w:outlineLvl w:val="3"/>
      </w:pPr>
      <w:r>
        <w:rPr>
          <w:rFonts w:ascii="楷体_GB2312" w:hAnsi="楷体_GB2312" w:eastAsia="楷体_GB2312"/>
          <w:b/>
          <w:sz w:val="32"/>
        </w:rPr>
        <w:t>（三）国有资产占用情况说明</w:t>
      </w:r>
    </w:p>
    <w:p w14:paraId="70F07045">
      <w:pPr>
        <w:spacing w:line="580" w:lineRule="exact"/>
        <w:ind w:firstLine="640"/>
        <w:jc w:val="both"/>
      </w:pPr>
      <w:r>
        <w:rPr>
          <w:rFonts w:ascii="仿宋_GB2312" w:hAnsi="仿宋_GB2312" w:eastAsia="仿宋_GB2312"/>
          <w:b w:val="0"/>
          <w:sz w:val="32"/>
        </w:rPr>
        <w:t>截至2024年12月31日，房屋3,601.52平方米，价值469.91万元。车辆2辆，价值36.54万元，其中：副部（省）级及以上领导用车0辆、主要负责人用车0辆、机要通信用车0辆、应急保障用车0辆、执法执勤用车0辆、特种专业技术用车0辆、离退休干部服务用车0辆、其他用车2辆，其他用车主要是：</w:t>
      </w:r>
      <w:r>
        <w:rPr>
          <w:rFonts w:hint="eastAsia" w:ascii="仿宋_GB2312" w:hAnsi="仿宋_GB2312" w:eastAsia="仿宋_GB2312"/>
          <w:b w:val="0"/>
          <w:sz w:val="32"/>
          <w:lang w:val="en-US" w:eastAsia="zh-CN"/>
        </w:rPr>
        <w:t>一般公务用车</w:t>
      </w:r>
      <w:r>
        <w:rPr>
          <w:rFonts w:ascii="仿宋_GB2312" w:hAnsi="仿宋_GB2312" w:eastAsia="仿宋_GB2312"/>
          <w:b w:val="0"/>
          <w:sz w:val="32"/>
        </w:rPr>
        <w:t>。单价100万元（含）以上设备（不含车辆）0台（套）。</w:t>
      </w:r>
    </w:p>
    <w:p w14:paraId="5192E68D">
      <w:pPr>
        <w:spacing w:line="640" w:lineRule="exact"/>
        <w:ind w:firstLine="640"/>
        <w:jc w:val="both"/>
        <w:outlineLvl w:val="2"/>
      </w:pPr>
      <w:r>
        <w:rPr>
          <w:rFonts w:ascii="黑体" w:hAnsi="黑体" w:eastAsia="黑体"/>
          <w:sz w:val="32"/>
        </w:rPr>
        <w:t>十一、预算绩效的情况说明</w:t>
      </w:r>
    </w:p>
    <w:p w14:paraId="3D000050">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2,891.63万元，实际执行总额2,891.63万元；预算绩效评价项目7个，全年预算数2,073.83万元，全年执行数2,073.83万元。预算绩效管理取得的成效：一是提高预算编制科学性和合理性,优化资金结构。二是绩效目标对业务工作进行监督，促进了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完成，充分发挥了预算绩效管理工作效用。发现的问题及原因：一是对绩效目标偏差问题缺乏有效分析，从而导致填报的内容相对简单。二是在部门整体支出的资金安排和使用上仍有不可预见性，在经费支出科学化精细化管理上还有待加强。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78E2687B">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018A35CA">
        <w:tblPrEx>
          <w:tblCellMar>
            <w:top w:w="0" w:type="dxa"/>
            <w:left w:w="108" w:type="dxa"/>
            <w:bottom w:w="0" w:type="dxa"/>
            <w:right w:w="108" w:type="dxa"/>
          </w:tblCellMar>
        </w:tblPrEx>
        <w:tc>
          <w:tcPr>
            <w:tcW w:w="8840" w:type="dxa"/>
            <w:gridSpan w:val="8"/>
            <w:vAlign w:val="center"/>
          </w:tcPr>
          <w:p w14:paraId="565AFC5D">
            <w:pPr>
              <w:jc w:val="center"/>
            </w:pPr>
            <w:r>
              <w:rPr>
                <w:rFonts w:hint="eastAsia" w:ascii="宋体" w:hAnsi="宋体"/>
                <w:sz w:val="24"/>
                <w:lang w:eastAsia="zh-CN"/>
              </w:rPr>
              <w:t>单位</w:t>
            </w:r>
            <w:r>
              <w:rPr>
                <w:rFonts w:ascii="宋体" w:hAnsi="宋体" w:eastAsia="宋体"/>
                <w:sz w:val="24"/>
              </w:rPr>
              <w:t>整体支出绩效自评表</w:t>
            </w:r>
          </w:p>
        </w:tc>
      </w:tr>
      <w:tr w14:paraId="217B5245">
        <w:tblPrEx>
          <w:tblCellMar>
            <w:top w:w="0" w:type="dxa"/>
            <w:left w:w="108" w:type="dxa"/>
            <w:bottom w:w="0" w:type="dxa"/>
            <w:right w:w="108" w:type="dxa"/>
          </w:tblCellMar>
        </w:tblPrEx>
        <w:tc>
          <w:tcPr>
            <w:tcW w:w="8840" w:type="dxa"/>
            <w:gridSpan w:val="8"/>
            <w:vAlign w:val="center"/>
          </w:tcPr>
          <w:p w14:paraId="3340F95A">
            <w:pPr>
              <w:jc w:val="center"/>
            </w:pPr>
            <w:r>
              <w:rPr>
                <w:rFonts w:ascii="宋体" w:hAnsi="宋体" w:eastAsia="宋体"/>
                <w:sz w:val="24"/>
              </w:rPr>
              <w:t>（2024年度）</w:t>
            </w:r>
          </w:p>
        </w:tc>
      </w:tr>
      <w:tr w14:paraId="5B03EE3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F23E3B">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86BE14">
            <w:pPr>
              <w:jc w:val="center"/>
            </w:pPr>
            <w:r>
              <w:rPr>
                <w:rFonts w:ascii="宋体" w:hAnsi="宋体" w:eastAsia="宋体"/>
                <w:sz w:val="16"/>
              </w:rPr>
              <w:t>特克斯县自然资源局</w:t>
            </w:r>
          </w:p>
        </w:tc>
      </w:tr>
      <w:tr w14:paraId="718DEB0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08E67C">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FC6684">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748D57">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16A844">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424719">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15BE1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CA9A6D">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6F652E">
            <w:pPr>
              <w:jc w:val="center"/>
            </w:pPr>
            <w:r>
              <w:rPr>
                <w:rFonts w:ascii="宋体" w:hAnsi="宋体" w:eastAsia="宋体"/>
                <w:sz w:val="16"/>
              </w:rPr>
              <w:t>得分</w:t>
            </w:r>
          </w:p>
        </w:tc>
      </w:tr>
      <w:tr w14:paraId="0795CBB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40FF7D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C8B02B">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A9236D">
            <w:pPr>
              <w:jc w:val="center"/>
            </w:pPr>
            <w:r>
              <w:rPr>
                <w:rFonts w:ascii="宋体" w:hAnsi="宋体" w:eastAsia="宋体"/>
                <w:sz w:val="16"/>
              </w:rPr>
              <w:t>652.53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376DC4">
            <w:pPr>
              <w:jc w:val="center"/>
            </w:pPr>
            <w:r>
              <w:rPr>
                <w:rFonts w:ascii="宋体" w:hAnsi="宋体" w:eastAsia="宋体"/>
                <w:sz w:val="16"/>
              </w:rPr>
              <w:t>2,891.63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6655DC">
            <w:pPr>
              <w:jc w:val="center"/>
            </w:pPr>
            <w:r>
              <w:rPr>
                <w:rFonts w:ascii="宋体" w:hAnsi="宋体" w:eastAsia="宋体"/>
                <w:sz w:val="16"/>
              </w:rPr>
              <w:t>2,891.63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0357FC">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EB60C3">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B6C48E">
            <w:pPr>
              <w:jc w:val="center"/>
            </w:pPr>
            <w:r>
              <w:rPr>
                <w:rFonts w:ascii="宋体" w:hAnsi="宋体" w:eastAsia="宋体"/>
                <w:sz w:val="16"/>
              </w:rPr>
              <w:t>10</w:t>
            </w:r>
          </w:p>
        </w:tc>
      </w:tr>
      <w:tr w14:paraId="43B7A11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2CBB9B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C57B2C">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ADDD4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E3BC51">
            <w:pPr>
              <w:jc w:val="center"/>
            </w:pPr>
            <w:r>
              <w:rPr>
                <w:rFonts w:ascii="宋体" w:hAnsi="宋体" w:eastAsia="宋体"/>
                <w:sz w:val="16"/>
              </w:rPr>
              <w:t>319.97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B8C1B4">
            <w:pPr>
              <w:jc w:val="center"/>
            </w:pPr>
            <w:r>
              <w:rPr>
                <w:rFonts w:ascii="宋体" w:hAnsi="宋体" w:eastAsia="宋体"/>
                <w:sz w:val="16"/>
              </w:rPr>
              <w:t>319.97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96102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F6EC7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E31DBB">
            <w:pPr>
              <w:jc w:val="center"/>
            </w:pPr>
            <w:r>
              <w:rPr>
                <w:rFonts w:ascii="宋体" w:hAnsi="宋体" w:eastAsia="宋体"/>
                <w:sz w:val="16"/>
              </w:rPr>
              <w:t>-</w:t>
            </w:r>
          </w:p>
        </w:tc>
      </w:tr>
      <w:tr w14:paraId="5416274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67A77B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B85F70">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6B6310">
            <w:pPr>
              <w:jc w:val="center"/>
            </w:pPr>
            <w:r>
              <w:rPr>
                <w:rFonts w:ascii="宋体" w:hAnsi="宋体" w:eastAsia="宋体"/>
                <w:sz w:val="16"/>
              </w:rPr>
              <w:t>647.03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A372C6">
            <w:pPr>
              <w:jc w:val="center"/>
            </w:pPr>
            <w:r>
              <w:rPr>
                <w:rFonts w:ascii="宋体" w:hAnsi="宋体" w:eastAsia="宋体"/>
                <w:sz w:val="16"/>
              </w:rPr>
              <w:t>2,566.00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1ED35F">
            <w:pPr>
              <w:jc w:val="center"/>
            </w:pPr>
            <w:r>
              <w:rPr>
                <w:rFonts w:ascii="宋体" w:hAnsi="宋体" w:eastAsia="宋体"/>
                <w:sz w:val="16"/>
              </w:rPr>
              <w:t>2,566.00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AF748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9C3A1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0CAB67">
            <w:pPr>
              <w:jc w:val="center"/>
            </w:pPr>
            <w:r>
              <w:rPr>
                <w:rFonts w:ascii="宋体" w:hAnsi="宋体" w:eastAsia="宋体"/>
                <w:sz w:val="16"/>
              </w:rPr>
              <w:t>-</w:t>
            </w:r>
          </w:p>
        </w:tc>
      </w:tr>
      <w:tr w14:paraId="3C80593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6ABC88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131B74">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BFC10D">
            <w:pPr>
              <w:jc w:val="center"/>
            </w:pPr>
            <w:r>
              <w:rPr>
                <w:rFonts w:ascii="宋体" w:hAnsi="宋体" w:eastAsia="宋体"/>
                <w:sz w:val="16"/>
              </w:rPr>
              <w:t>5.50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EE2B95">
            <w:pPr>
              <w:jc w:val="center"/>
            </w:pPr>
            <w:r>
              <w:rPr>
                <w:rFonts w:ascii="宋体" w:hAnsi="宋体" w:eastAsia="宋体"/>
                <w:sz w:val="16"/>
              </w:rPr>
              <w:t>5.66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A3B6EB">
            <w:pPr>
              <w:jc w:val="center"/>
            </w:pPr>
            <w:r>
              <w:rPr>
                <w:rFonts w:ascii="宋体" w:hAnsi="宋体" w:eastAsia="宋体"/>
                <w:sz w:val="16"/>
              </w:rPr>
              <w:t>5.66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6A52A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4E97D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8EFDF6">
            <w:pPr>
              <w:jc w:val="center"/>
            </w:pPr>
            <w:r>
              <w:rPr>
                <w:rFonts w:ascii="宋体" w:hAnsi="宋体" w:eastAsia="宋体"/>
                <w:sz w:val="16"/>
              </w:rPr>
              <w:t>-</w:t>
            </w:r>
          </w:p>
        </w:tc>
      </w:tr>
      <w:tr w14:paraId="70DF873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4653CA">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85C5782">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0EFA6B7">
            <w:pPr>
              <w:jc w:val="center"/>
            </w:pPr>
            <w:r>
              <w:rPr>
                <w:rFonts w:ascii="宋体" w:hAnsi="宋体" w:eastAsia="宋体"/>
                <w:sz w:val="16"/>
              </w:rPr>
              <w:t>实际完成情况</w:t>
            </w:r>
          </w:p>
        </w:tc>
      </w:tr>
      <w:tr w14:paraId="0DB671C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9E18FDC"/>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621C93">
            <w:pPr>
              <w:jc w:val="both"/>
            </w:pPr>
            <w:r>
              <w:rPr>
                <w:rFonts w:ascii="宋体" w:hAnsi="宋体" w:eastAsia="宋体"/>
                <w:sz w:val="16"/>
              </w:rPr>
              <w:t>2024年，贯彻落实自然资源部门的职责使命，围绕重点工作，严格规范资源管理，扎实推进全县重点工作和自然资源各项任务落实，一是深入开展新一轮找矿突破战略行动、做好重大项目用地保障，确保全县经济高质量发展；二是全面推进国土空间详细规划编制及村庄规划编制，保障“十四五”重大项目空间落位；三是严格耕地保护和粮食安全责任制，坚决守住耕地数量质量；四是抓好地质灾害防治工作，</w:t>
            </w:r>
            <w:r>
              <w:rPr>
                <w:rFonts w:hint="eastAsia" w:ascii="宋体" w:hAnsi="宋体"/>
                <w:sz w:val="16"/>
                <w:lang w:eastAsia="zh-CN"/>
              </w:rPr>
              <w:t>切实</w:t>
            </w:r>
            <w:r>
              <w:rPr>
                <w:rFonts w:ascii="宋体" w:hAnsi="宋体" w:eastAsia="宋体"/>
                <w:sz w:val="16"/>
              </w:rPr>
              <w:t>保护人民生命财产；五是聚焦民生服务，坚持不懈推进“放管服”改革；六是做好卫片执法，规范用地行为。</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4D8D27">
            <w:pPr>
              <w:jc w:val="both"/>
            </w:pPr>
            <w:r>
              <w:rPr>
                <w:rFonts w:ascii="宋体" w:hAnsi="宋体" w:eastAsia="宋体"/>
                <w:sz w:val="16"/>
              </w:rPr>
              <w:t>2024 年，特克斯县自然资源局履职尽责，成果丰硕。国土空间规划上，集结专业力量，经多轮研讨、调研与分析，完成国土空间详细规划初步成果，为 “十四五” 重大项目精准落位提供科学指引。耕地保护中，落实责任制，强化管控、巡查及部门联动，达成 “占补平衡” 与专项整治率 100%，严守了耕地红线。地质灾害防治时，</w:t>
            </w:r>
            <w:r>
              <w:rPr>
                <w:rFonts w:hint="eastAsia" w:ascii="宋体" w:hAnsi="宋体"/>
                <w:sz w:val="16"/>
                <w:lang w:eastAsia="zh-CN"/>
              </w:rPr>
              <w:t>依据</w:t>
            </w:r>
            <w:r>
              <w:rPr>
                <w:rFonts w:ascii="宋体" w:hAnsi="宋体" w:eastAsia="宋体"/>
                <w:sz w:val="16"/>
              </w:rPr>
              <w:t>隐患分布制定计划，对隐患点巡查 12次，排查风险，降低灾害危害。此外，以出让方式供地 1323.102 亩，助力经济建设；协助乡镇完成 30 个村庄规划编制，推动乡村振兴。</w:t>
            </w:r>
          </w:p>
        </w:tc>
      </w:tr>
      <w:tr w14:paraId="28A1F0B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8FEFFB">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16EEA3">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D89AA6">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F173E2">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17ED86">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2C645A">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BD15D6">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0066A2">
            <w:pPr>
              <w:jc w:val="center"/>
            </w:pPr>
            <w:r>
              <w:rPr>
                <w:rFonts w:ascii="宋体" w:hAnsi="宋体" w:eastAsia="宋体"/>
                <w:sz w:val="16"/>
              </w:rPr>
              <w:t>得分</w:t>
            </w:r>
          </w:p>
        </w:tc>
      </w:tr>
      <w:tr w14:paraId="1BC6B85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657D77">
            <w:pPr>
              <w:jc w:val="center"/>
            </w:pPr>
            <w:r>
              <w:rPr>
                <w:rFonts w:ascii="宋体" w:hAnsi="宋体" w:eastAsia="宋体"/>
                <w:sz w:val="16"/>
              </w:rPr>
              <w:t>社会效益</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7DEC3C">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414DB1">
            <w:pPr>
              <w:jc w:val="center"/>
            </w:pPr>
            <w:r>
              <w:rPr>
                <w:rFonts w:ascii="宋体" w:hAnsi="宋体" w:eastAsia="宋体"/>
                <w:sz w:val="16"/>
              </w:rPr>
              <w:t>以出让方式供应土地面积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1B99EE">
            <w:pPr>
              <w:jc w:val="center"/>
            </w:pPr>
            <w:r>
              <w:rPr>
                <w:rFonts w:ascii="宋体" w:hAnsi="宋体" w:eastAsia="宋体"/>
                <w:sz w:val="16"/>
              </w:rPr>
              <w:t>=1875.03亩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28241C">
            <w:pPr>
              <w:jc w:val="center"/>
            </w:pPr>
            <w:r>
              <w:rPr>
                <w:rFonts w:ascii="宋体" w:hAnsi="宋体" w:eastAsia="宋体"/>
                <w:sz w:val="16"/>
              </w:rPr>
              <w:t>2024年政府工作报告、特克斯县自然资源局2024年重点工作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B2414C">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0B6A44">
            <w:pPr>
              <w:jc w:val="center"/>
            </w:pPr>
            <w:r>
              <w:rPr>
                <w:rFonts w:ascii="宋体" w:hAnsi="宋体" w:eastAsia="宋体"/>
                <w:sz w:val="16"/>
              </w:rPr>
              <w:t>1323.102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49F540">
            <w:pPr>
              <w:jc w:val="center"/>
            </w:pPr>
            <w:r>
              <w:rPr>
                <w:rFonts w:ascii="宋体" w:hAnsi="宋体" w:eastAsia="宋体"/>
                <w:sz w:val="16"/>
              </w:rPr>
              <w:t>10.58</w:t>
            </w:r>
          </w:p>
        </w:tc>
      </w:tr>
      <w:tr w14:paraId="1AB5470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0B2979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52F89F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076D21">
            <w:pPr>
              <w:jc w:val="center"/>
            </w:pPr>
            <w:r>
              <w:rPr>
                <w:rFonts w:ascii="宋体" w:hAnsi="宋体" w:eastAsia="宋体"/>
                <w:sz w:val="16"/>
              </w:rPr>
              <w:t>初步形成特克斯县国土空间详细规划成果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BEABF7">
            <w:pPr>
              <w:jc w:val="center"/>
            </w:pPr>
            <w:r>
              <w:rPr>
                <w:rFonts w:ascii="宋体" w:hAnsi="宋体" w:eastAsia="宋体"/>
                <w:sz w:val="16"/>
              </w:rPr>
              <w: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28FAA1">
            <w:pPr>
              <w:jc w:val="center"/>
            </w:pPr>
            <w:r>
              <w:rPr>
                <w:rFonts w:ascii="宋体" w:hAnsi="宋体" w:eastAsia="宋体"/>
                <w:sz w:val="16"/>
              </w:rPr>
              <w:t>2024年政府工作报告、特克斯县自然资源局2024年重点工作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565192">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9059D9">
            <w:pPr>
              <w:jc w:val="center"/>
            </w:pPr>
            <w:r>
              <w:rPr>
                <w:rFonts w:ascii="宋体" w:hAnsi="宋体" w:eastAsia="宋体"/>
                <w:sz w:val="16"/>
              </w:rPr>
              <w:t>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ECACB4">
            <w:pPr>
              <w:jc w:val="center"/>
            </w:pPr>
            <w:r>
              <w:rPr>
                <w:rFonts w:ascii="宋体" w:hAnsi="宋体" w:eastAsia="宋体"/>
                <w:sz w:val="16"/>
              </w:rPr>
              <w:t>15</w:t>
            </w:r>
          </w:p>
        </w:tc>
      </w:tr>
      <w:tr w14:paraId="1A3E005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C0851E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857500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FFA5A3">
            <w:pPr>
              <w:jc w:val="center"/>
            </w:pPr>
            <w:r>
              <w:rPr>
                <w:rFonts w:ascii="宋体" w:hAnsi="宋体" w:eastAsia="宋体"/>
                <w:sz w:val="16"/>
              </w:rPr>
              <w:t>协助乡镇有序推进村庄规划编制个数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180477">
            <w:pPr>
              <w:jc w:val="center"/>
            </w:pPr>
            <w:r>
              <w:rPr>
                <w:rFonts w:ascii="宋体" w:hAnsi="宋体" w:eastAsia="宋体"/>
                <w:sz w:val="16"/>
              </w:rPr>
              <w:t>&gt;=10个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79BB78">
            <w:pPr>
              <w:jc w:val="center"/>
            </w:pPr>
            <w:r>
              <w:rPr>
                <w:rFonts w:ascii="宋体" w:hAnsi="宋体" w:eastAsia="宋体"/>
                <w:sz w:val="16"/>
              </w:rPr>
              <w:t>2024年政府工作报告、特克斯县自然资源局2024年重点工作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EC2BA5">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A91AB5">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C2B25C">
            <w:pPr>
              <w:jc w:val="center"/>
            </w:pPr>
            <w:r>
              <w:rPr>
                <w:rFonts w:ascii="宋体" w:hAnsi="宋体" w:eastAsia="宋体"/>
                <w:sz w:val="16"/>
              </w:rPr>
              <w:t>15</w:t>
            </w:r>
          </w:p>
        </w:tc>
      </w:tr>
      <w:tr w14:paraId="2BF254A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1E5A10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B40219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7F4A2B">
            <w:pPr>
              <w:jc w:val="center"/>
            </w:pPr>
            <w:r>
              <w:rPr>
                <w:rFonts w:ascii="宋体" w:hAnsi="宋体" w:eastAsia="宋体"/>
                <w:sz w:val="16"/>
              </w:rPr>
              <w:t>地质灾害隐患点巡查次数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C1521A">
            <w:pPr>
              <w:jc w:val="center"/>
            </w:pPr>
            <w:r>
              <w:rPr>
                <w:rFonts w:ascii="宋体" w:hAnsi="宋体" w:eastAsia="宋体"/>
                <w:sz w:val="16"/>
              </w:rPr>
              <w:t>&gt;=12次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344472">
            <w:pPr>
              <w:jc w:val="center"/>
            </w:pPr>
            <w:r>
              <w:rPr>
                <w:rFonts w:ascii="宋体" w:hAnsi="宋体" w:eastAsia="宋体"/>
                <w:sz w:val="16"/>
              </w:rPr>
              <w:t>2024年政府工作报告、特克斯县自然资源局2024年重点工作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1A7B30">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D5AC40">
            <w:pPr>
              <w:jc w:val="center"/>
            </w:pPr>
            <w:r>
              <w:rPr>
                <w:rFonts w:ascii="宋体" w:hAnsi="宋体" w:eastAsia="宋体"/>
                <w:sz w:val="16"/>
              </w:rPr>
              <w:t>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40FE5F">
            <w:pPr>
              <w:jc w:val="center"/>
            </w:pPr>
            <w:r>
              <w:rPr>
                <w:rFonts w:ascii="宋体" w:hAnsi="宋体" w:eastAsia="宋体"/>
                <w:sz w:val="16"/>
              </w:rPr>
              <w:t>15</w:t>
            </w:r>
          </w:p>
        </w:tc>
      </w:tr>
      <w:tr w14:paraId="4411C5D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E7AE6D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DA3AF2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95E68D">
            <w:pPr>
              <w:jc w:val="center"/>
            </w:pPr>
            <w:r>
              <w:rPr>
                <w:rFonts w:ascii="宋体" w:hAnsi="宋体" w:eastAsia="宋体"/>
                <w:sz w:val="16"/>
              </w:rPr>
              <w:t>卫片执法问题图斑整治率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3AD601">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6F4024">
            <w:pPr>
              <w:jc w:val="center"/>
            </w:pPr>
            <w:r>
              <w:rPr>
                <w:rFonts w:ascii="宋体" w:hAnsi="宋体" w:eastAsia="宋体"/>
                <w:sz w:val="16"/>
              </w:rPr>
              <w:t>2024年政府工作报告、特克斯县自然资源局2024年重点工作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C9172A">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72D0E8">
            <w:pPr>
              <w:jc w:val="center"/>
            </w:pPr>
            <w:r>
              <w:rPr>
                <w:rFonts w:ascii="宋体" w:hAnsi="宋体" w:eastAsia="宋体"/>
                <w:sz w:val="16"/>
              </w:rPr>
              <w: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BA9DF0">
            <w:pPr>
              <w:jc w:val="center"/>
            </w:pPr>
            <w:r>
              <w:rPr>
                <w:rFonts w:ascii="宋体" w:hAnsi="宋体" w:eastAsia="宋体"/>
                <w:sz w:val="16"/>
              </w:rPr>
              <w:t>15</w:t>
            </w:r>
          </w:p>
        </w:tc>
      </w:tr>
      <w:tr w14:paraId="521CAEA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890DAD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FDEA9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31897E">
            <w:pPr>
              <w:jc w:val="center"/>
            </w:pPr>
            <w:r>
              <w:rPr>
                <w:rFonts w:ascii="宋体" w:hAnsi="宋体" w:eastAsia="宋体"/>
                <w:sz w:val="16"/>
              </w:rPr>
              <w:t>落实耕地“占补平衡”及专项整治率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6C10DC">
            <w:pPr>
              <w:jc w:val="center"/>
            </w:pPr>
            <w:r>
              <w:rPr>
                <w:rFonts w:ascii="宋体" w:hAnsi="宋体" w:eastAsia="宋体"/>
                <w:sz w:val="16"/>
              </w:rPr>
              <w:t>&gt;=100%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F64C5A">
            <w:pPr>
              <w:jc w:val="center"/>
            </w:pPr>
            <w:r>
              <w:rPr>
                <w:rFonts w:ascii="宋体" w:hAnsi="宋体" w:eastAsia="宋体"/>
                <w:sz w:val="16"/>
              </w:rPr>
              <w:t>2024年政府工作报告、特克斯县自然资源局2024年重点工作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693FF6">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B89517">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2B0F48">
            <w:pPr>
              <w:jc w:val="center"/>
            </w:pPr>
            <w:r>
              <w:rPr>
                <w:rFonts w:ascii="宋体" w:hAnsi="宋体" w:eastAsia="宋体"/>
                <w:sz w:val="16"/>
              </w:rPr>
              <w:t>15</w:t>
            </w:r>
          </w:p>
        </w:tc>
      </w:tr>
    </w:tbl>
    <w:p w14:paraId="0C0548C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96"/>
        <w:gridCol w:w="632"/>
        <w:gridCol w:w="632"/>
        <w:gridCol w:w="632"/>
        <w:gridCol w:w="632"/>
        <w:gridCol w:w="632"/>
        <w:gridCol w:w="632"/>
        <w:gridCol w:w="632"/>
      </w:tblGrid>
      <w:tr w14:paraId="612FF639">
        <w:tblPrEx>
          <w:tblCellMar>
            <w:top w:w="0" w:type="dxa"/>
            <w:left w:w="108" w:type="dxa"/>
            <w:bottom w:w="0" w:type="dxa"/>
            <w:right w:w="108" w:type="dxa"/>
          </w:tblCellMar>
        </w:tblPrEx>
        <w:tc>
          <w:tcPr>
            <w:tcW w:w="8848" w:type="dxa"/>
            <w:gridSpan w:val="14"/>
            <w:vAlign w:val="center"/>
          </w:tcPr>
          <w:p w14:paraId="649C4104">
            <w:pPr>
              <w:jc w:val="center"/>
            </w:pPr>
            <w:r>
              <w:rPr>
                <w:rFonts w:ascii="宋体" w:hAnsi="宋体" w:eastAsia="宋体"/>
                <w:sz w:val="24"/>
              </w:rPr>
              <w:t>项目支出绩效自评表</w:t>
            </w:r>
          </w:p>
        </w:tc>
      </w:tr>
      <w:tr w14:paraId="447246D0">
        <w:tblPrEx>
          <w:tblCellMar>
            <w:top w:w="0" w:type="dxa"/>
            <w:left w:w="108" w:type="dxa"/>
            <w:bottom w:w="0" w:type="dxa"/>
            <w:right w:w="108" w:type="dxa"/>
          </w:tblCellMar>
        </w:tblPrEx>
        <w:tc>
          <w:tcPr>
            <w:tcW w:w="8848" w:type="dxa"/>
            <w:gridSpan w:val="14"/>
            <w:vAlign w:val="center"/>
          </w:tcPr>
          <w:p w14:paraId="154E91FE">
            <w:pPr>
              <w:jc w:val="center"/>
            </w:pPr>
            <w:r>
              <w:rPr>
                <w:rFonts w:ascii="宋体" w:hAnsi="宋体" w:eastAsia="宋体"/>
                <w:sz w:val="24"/>
              </w:rPr>
              <w:t>(2024年度)</w:t>
            </w:r>
          </w:p>
        </w:tc>
      </w:tr>
      <w:tr w14:paraId="17B8F9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193D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0047797">
            <w:pPr>
              <w:jc w:val="center"/>
            </w:pPr>
            <w:r>
              <w:rPr>
                <w:rFonts w:ascii="宋体" w:hAnsi="宋体" w:eastAsia="宋体"/>
                <w:sz w:val="16"/>
              </w:rPr>
              <w:t>伊犁浩新房地产开发有限公司“天麓小镇”项目未开发商业用地收回补偿项目</w:t>
            </w:r>
          </w:p>
        </w:tc>
      </w:tr>
      <w:tr w14:paraId="37C8F6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4F6F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6F86AA">
            <w:pPr>
              <w:jc w:val="center"/>
            </w:pPr>
            <w:r>
              <w:rPr>
                <w:rFonts w:ascii="宋体" w:hAnsi="宋体" w:eastAsia="宋体"/>
                <w:sz w:val="16"/>
              </w:rPr>
              <w:t>特克斯县自然资源局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43D96">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EC1532">
            <w:pPr>
              <w:jc w:val="center"/>
            </w:pPr>
            <w:r>
              <w:rPr>
                <w:rFonts w:ascii="宋体" w:hAnsi="宋体" w:eastAsia="宋体"/>
                <w:sz w:val="16"/>
              </w:rPr>
              <w:t>特克斯县自然资源局</w:t>
            </w:r>
          </w:p>
        </w:tc>
      </w:tr>
      <w:tr w14:paraId="02A754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33870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E6D3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0065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117D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3881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4598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2DA0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CE497">
            <w:pPr>
              <w:jc w:val="center"/>
            </w:pPr>
            <w:r>
              <w:rPr>
                <w:rFonts w:ascii="宋体" w:hAnsi="宋体" w:eastAsia="宋体"/>
                <w:sz w:val="16"/>
              </w:rPr>
              <w:t>得分</w:t>
            </w:r>
          </w:p>
        </w:tc>
      </w:tr>
      <w:tr w14:paraId="380AFD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1D9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C9A0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65C5F">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AF918">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86A84">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4DC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D9D0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4FD98">
            <w:pPr>
              <w:jc w:val="center"/>
            </w:pPr>
            <w:r>
              <w:rPr>
                <w:rFonts w:ascii="宋体" w:hAnsi="宋体" w:eastAsia="宋体"/>
                <w:sz w:val="16"/>
              </w:rPr>
              <w:t>10.00</w:t>
            </w:r>
          </w:p>
        </w:tc>
      </w:tr>
      <w:tr w14:paraId="4F0793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6A7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00E9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1280E">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700EB">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244C2">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738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3C4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AC083">
            <w:pPr>
              <w:jc w:val="center"/>
            </w:pPr>
            <w:r>
              <w:rPr>
                <w:rFonts w:ascii="宋体" w:hAnsi="宋体" w:eastAsia="宋体"/>
                <w:sz w:val="16"/>
              </w:rPr>
              <w:t>—</w:t>
            </w:r>
          </w:p>
        </w:tc>
      </w:tr>
      <w:tr w14:paraId="47590F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AB9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B7DD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934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3D1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8CF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27B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917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5A126">
            <w:pPr>
              <w:jc w:val="center"/>
            </w:pPr>
            <w:r>
              <w:rPr>
                <w:rFonts w:ascii="宋体" w:hAnsi="宋体" w:eastAsia="宋体"/>
                <w:sz w:val="16"/>
              </w:rPr>
              <w:t>—</w:t>
            </w:r>
          </w:p>
        </w:tc>
      </w:tr>
      <w:tr w14:paraId="43F485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8B426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65E06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BDB866">
            <w:pPr>
              <w:jc w:val="center"/>
            </w:pPr>
            <w:r>
              <w:rPr>
                <w:rFonts w:ascii="宋体" w:hAnsi="宋体" w:eastAsia="宋体"/>
                <w:sz w:val="16"/>
              </w:rPr>
              <w:t>实际完成情况</w:t>
            </w:r>
          </w:p>
        </w:tc>
      </w:tr>
      <w:tr w14:paraId="438135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344B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BC52BB">
            <w:pPr>
              <w:jc w:val="both"/>
            </w:pPr>
            <w:r>
              <w:rPr>
                <w:rFonts w:ascii="宋体" w:hAnsi="宋体" w:eastAsia="宋体"/>
                <w:sz w:val="16"/>
              </w:rPr>
              <w:t>退还浩新房地产开发有限公司“天麓小镇”项目未开发商业用地土地出让金。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1DFC9F">
            <w:pPr>
              <w:jc w:val="both"/>
            </w:pPr>
            <w:r>
              <w:rPr>
                <w:rFonts w:ascii="宋体" w:hAnsi="宋体" w:eastAsia="宋体"/>
                <w:sz w:val="16"/>
              </w:rPr>
              <w:t>严格依照财政审批流程，与多部门积极沟通协调，阐明项目情况，按时将500万元精准拨付至浩新房地产开发有限公司账户，实现了资金退还工作的高效、合规，切实保障了企业权益。</w:t>
            </w:r>
          </w:p>
        </w:tc>
      </w:tr>
      <w:tr w14:paraId="7E510D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699F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4D5D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991A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4EA8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FB1C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0D49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F8A8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DD00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5820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E4F5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4E89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195A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D4D1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70614">
            <w:pPr>
              <w:jc w:val="center"/>
            </w:pPr>
            <w:r>
              <w:rPr>
                <w:rFonts w:ascii="宋体" w:hAnsi="宋体" w:eastAsia="宋体"/>
                <w:sz w:val="16"/>
              </w:rPr>
              <w:t>偏差原因分析及改进措施</w:t>
            </w:r>
          </w:p>
        </w:tc>
      </w:tr>
      <w:tr w14:paraId="6EA3D3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49FD4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F6B3D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FEC4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0C9DB">
            <w:pPr>
              <w:jc w:val="center"/>
            </w:pPr>
            <w:r>
              <w:rPr>
                <w:rFonts w:ascii="宋体" w:hAnsi="宋体" w:eastAsia="宋体"/>
                <w:sz w:val="16"/>
              </w:rPr>
              <w:t>收回土地面积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7A7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28BE1">
            <w:pPr>
              <w:jc w:val="center"/>
            </w:pPr>
            <w:r>
              <w:rPr>
                <w:rFonts w:ascii="宋体" w:hAnsi="宋体" w:eastAsia="宋体"/>
                <w:sz w:val="16"/>
              </w:rPr>
              <w:t>=138.39亩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22A1A">
            <w:pPr>
              <w:jc w:val="center"/>
            </w:pPr>
            <w:r>
              <w:rPr>
                <w:rFonts w:ascii="宋体" w:hAnsi="宋体" w:eastAsia="宋体"/>
                <w:sz w:val="16"/>
              </w:rPr>
              <w:t>138.39亩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14E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680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E1B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45C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E29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FCB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50231">
            <w:pPr>
              <w:jc w:val="center"/>
            </w:pPr>
          </w:p>
        </w:tc>
      </w:tr>
      <w:tr w14:paraId="622926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903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A2A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F9AB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37225">
            <w:pPr>
              <w:jc w:val="center"/>
            </w:pPr>
            <w:r>
              <w:rPr>
                <w:rFonts w:ascii="宋体" w:hAnsi="宋体" w:eastAsia="宋体"/>
                <w:sz w:val="16"/>
              </w:rPr>
              <w:t>用地收回土地出让金退还完成率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B336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365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29A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CB5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570D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3E6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A3D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B56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C14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447BE">
            <w:pPr>
              <w:jc w:val="center"/>
            </w:pPr>
          </w:p>
        </w:tc>
      </w:tr>
      <w:tr w14:paraId="717F4C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0EA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4F7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C835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8ABC1">
            <w:pPr>
              <w:jc w:val="center"/>
            </w:pPr>
            <w:r>
              <w:rPr>
                <w:rFonts w:ascii="宋体" w:hAnsi="宋体" w:eastAsia="宋体"/>
                <w:sz w:val="16"/>
              </w:rPr>
              <w:t>征地补偿发放及时率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A9B8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E39E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B04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B1EF6">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A985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DBA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37A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FB3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B77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5A38D">
            <w:pPr>
              <w:jc w:val="center"/>
            </w:pPr>
            <w:r>
              <w:rPr>
                <w:rFonts w:ascii="宋体" w:hAnsi="宋体" w:eastAsia="宋体"/>
                <w:sz w:val="16"/>
              </w:rPr>
              <w:t>原因：资金足额到位，征地补偿金发放率较高，因此超出预期目标。</w:t>
            </w:r>
          </w:p>
        </w:tc>
      </w:tr>
      <w:tr w14:paraId="1EE31B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32F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3BF7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B041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CA1B5">
            <w:pPr>
              <w:jc w:val="center"/>
            </w:pPr>
            <w:r>
              <w:rPr>
                <w:rFonts w:ascii="宋体" w:hAnsi="宋体" w:eastAsia="宋体"/>
                <w:sz w:val="16"/>
              </w:rPr>
              <w:t>征地拆迁项目预算控制率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D32F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0E79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5B6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73D81">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721B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0E1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62D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943F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9F7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E6515">
            <w:pPr>
              <w:jc w:val="center"/>
            </w:pPr>
            <w:r>
              <w:rPr>
                <w:rFonts w:ascii="宋体" w:hAnsi="宋体" w:eastAsia="宋体"/>
                <w:sz w:val="16"/>
              </w:rPr>
              <w:t>原因：资金足额到位，征地补偿金预算控制率较高，因此超出预期目标。</w:t>
            </w:r>
          </w:p>
        </w:tc>
      </w:tr>
      <w:tr w14:paraId="0454CE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25FA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F27D7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84F7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744DA">
            <w:pPr>
              <w:jc w:val="center"/>
            </w:pPr>
            <w:r>
              <w:rPr>
                <w:rFonts w:ascii="宋体" w:hAnsi="宋体" w:eastAsia="宋体"/>
                <w:sz w:val="16"/>
              </w:rPr>
              <w:t>改善辖区设施等基础配套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5D9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37512">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39CC7">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FC8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FD6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D07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95C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B7DF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BC6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EF653">
            <w:pPr>
              <w:jc w:val="center"/>
            </w:pPr>
          </w:p>
        </w:tc>
      </w:tr>
      <w:tr w14:paraId="38661C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B99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FBC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40516">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9F633">
            <w:pPr>
              <w:jc w:val="center"/>
            </w:pPr>
            <w:r>
              <w:rPr>
                <w:rFonts w:ascii="宋体" w:hAnsi="宋体" w:eastAsia="宋体"/>
                <w:sz w:val="16"/>
              </w:rPr>
              <w:t>优化辖区城乡建设，改善人居环境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C7D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4160E">
            <w:pPr>
              <w:jc w:val="center"/>
            </w:pPr>
            <w:r>
              <w:rPr>
                <w:rFonts w:ascii="宋体" w:hAnsi="宋体" w:eastAsia="宋体"/>
                <w:sz w:val="16"/>
              </w:rPr>
              <w:t>显著优化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3F3DE">
            <w:pPr>
              <w:jc w:val="center"/>
            </w:pPr>
            <w:r>
              <w:rPr>
                <w:rFonts w:ascii="宋体" w:hAnsi="宋体" w:eastAsia="宋体"/>
                <w:sz w:val="16"/>
              </w:rPr>
              <w:t>显著优化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3B0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05C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A25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592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0FB5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9F5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CD295">
            <w:pPr>
              <w:jc w:val="center"/>
            </w:pPr>
          </w:p>
        </w:tc>
      </w:tr>
      <w:tr w14:paraId="50E01E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6D4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C00C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5748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DC572">
            <w:pPr>
              <w:jc w:val="center"/>
            </w:pPr>
            <w:r>
              <w:rPr>
                <w:rFonts w:ascii="宋体" w:hAnsi="宋体" w:eastAsia="宋体"/>
                <w:sz w:val="16"/>
              </w:rPr>
              <w:t>受补偿对象满意度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BA9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7790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458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9957D">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F01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1F9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D90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FE88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82D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FEEFB">
            <w:pPr>
              <w:jc w:val="center"/>
            </w:pPr>
            <w:r>
              <w:rPr>
                <w:rFonts w:ascii="宋体" w:hAnsi="宋体" w:eastAsia="宋体"/>
                <w:sz w:val="16"/>
              </w:rPr>
              <w:t>原因：项目完成较好，群众满意度较高，超出预期目标。</w:t>
            </w:r>
          </w:p>
        </w:tc>
      </w:tr>
      <w:tr w14:paraId="5B2F6CD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60E65D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12C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4E1E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6886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5E5D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93732">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9747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2540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A5A7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9C35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FA1DC1"/>
        </w:tc>
      </w:tr>
    </w:tbl>
    <w:p w14:paraId="13151107">
      <w:r>
        <w:br w:type="page"/>
      </w:r>
    </w:p>
    <w:tbl>
      <w:tblPr>
        <w:tblStyle w:val="9"/>
        <w:tblW w:w="0" w:type="auto"/>
        <w:tblInd w:w="0" w:type="dxa"/>
        <w:tblLayout w:type="autofit"/>
        <w:tblCellMar>
          <w:top w:w="0" w:type="dxa"/>
          <w:left w:w="108" w:type="dxa"/>
          <w:bottom w:w="0" w:type="dxa"/>
          <w:right w:w="108" w:type="dxa"/>
        </w:tblCellMar>
      </w:tblPr>
      <w:tblGrid>
        <w:gridCol w:w="609"/>
        <w:gridCol w:w="571"/>
        <w:gridCol w:w="571"/>
        <w:gridCol w:w="571"/>
        <w:gridCol w:w="590"/>
        <w:gridCol w:w="1016"/>
        <w:gridCol w:w="1016"/>
        <w:gridCol w:w="609"/>
        <w:gridCol w:w="590"/>
        <w:gridCol w:w="571"/>
        <w:gridCol w:w="571"/>
        <w:gridCol w:w="574"/>
        <w:gridCol w:w="573"/>
        <w:gridCol w:w="628"/>
      </w:tblGrid>
      <w:tr w14:paraId="75190F90">
        <w:tblPrEx>
          <w:tblCellMar>
            <w:top w:w="0" w:type="dxa"/>
            <w:left w:w="108" w:type="dxa"/>
            <w:bottom w:w="0" w:type="dxa"/>
            <w:right w:w="108" w:type="dxa"/>
          </w:tblCellMar>
        </w:tblPrEx>
        <w:tc>
          <w:tcPr>
            <w:tcW w:w="8848" w:type="dxa"/>
            <w:gridSpan w:val="14"/>
            <w:vAlign w:val="center"/>
          </w:tcPr>
          <w:p w14:paraId="5708A0BE">
            <w:pPr>
              <w:jc w:val="center"/>
            </w:pPr>
            <w:r>
              <w:rPr>
                <w:rFonts w:ascii="宋体" w:hAnsi="宋体" w:eastAsia="宋体"/>
                <w:sz w:val="24"/>
              </w:rPr>
              <w:t>项目支出绩效自评表</w:t>
            </w:r>
          </w:p>
        </w:tc>
      </w:tr>
      <w:tr w14:paraId="471328C9">
        <w:tblPrEx>
          <w:tblCellMar>
            <w:top w:w="0" w:type="dxa"/>
            <w:left w:w="108" w:type="dxa"/>
            <w:bottom w:w="0" w:type="dxa"/>
            <w:right w:w="108" w:type="dxa"/>
          </w:tblCellMar>
        </w:tblPrEx>
        <w:tc>
          <w:tcPr>
            <w:tcW w:w="8848" w:type="dxa"/>
            <w:gridSpan w:val="14"/>
            <w:vAlign w:val="center"/>
          </w:tcPr>
          <w:p w14:paraId="52E0A19F">
            <w:pPr>
              <w:jc w:val="center"/>
            </w:pPr>
            <w:r>
              <w:rPr>
                <w:rFonts w:ascii="宋体" w:hAnsi="宋体" w:eastAsia="宋体"/>
                <w:sz w:val="24"/>
              </w:rPr>
              <w:t>(2024年度)</w:t>
            </w:r>
          </w:p>
        </w:tc>
      </w:tr>
      <w:tr w14:paraId="2682D2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5EB5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CB7BA2">
            <w:pPr>
              <w:jc w:val="center"/>
            </w:pPr>
            <w:r>
              <w:rPr>
                <w:rFonts w:ascii="宋体" w:hAnsi="宋体" w:eastAsia="宋体"/>
                <w:sz w:val="16"/>
              </w:rPr>
              <w:t>农村宅基地和集体建设用地使用权确权登记发证工作变更及修补测专项项目</w:t>
            </w:r>
          </w:p>
        </w:tc>
      </w:tr>
      <w:tr w14:paraId="32AFB5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8ECE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DF22C4">
            <w:pPr>
              <w:jc w:val="center"/>
            </w:pPr>
            <w:r>
              <w:rPr>
                <w:rFonts w:ascii="宋体" w:hAnsi="宋体" w:eastAsia="宋体"/>
                <w:sz w:val="16"/>
              </w:rPr>
              <w:t>特克斯县自然资源局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01D3B">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1F5751">
            <w:pPr>
              <w:jc w:val="center"/>
            </w:pPr>
            <w:r>
              <w:rPr>
                <w:rFonts w:ascii="宋体" w:hAnsi="宋体" w:eastAsia="宋体"/>
                <w:sz w:val="16"/>
              </w:rPr>
              <w:t>特克斯县自然资源局</w:t>
            </w:r>
          </w:p>
        </w:tc>
      </w:tr>
      <w:tr w14:paraId="67D16B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B2BB9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DAB1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6C46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BFB4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407E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087E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17D9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02C10">
            <w:pPr>
              <w:jc w:val="center"/>
            </w:pPr>
            <w:r>
              <w:rPr>
                <w:rFonts w:ascii="宋体" w:hAnsi="宋体" w:eastAsia="宋体"/>
                <w:sz w:val="16"/>
              </w:rPr>
              <w:t>得分</w:t>
            </w:r>
          </w:p>
        </w:tc>
      </w:tr>
      <w:tr w14:paraId="44DCED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BD8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8E60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6D494">
            <w:pPr>
              <w:jc w:val="center"/>
            </w:pPr>
            <w:r>
              <w:rPr>
                <w:rFonts w:ascii="宋体" w:hAnsi="宋体" w:eastAsia="宋体"/>
                <w:sz w:val="16"/>
              </w:rPr>
              <w:t>38.60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59990">
            <w:pPr>
              <w:jc w:val="center"/>
            </w:pPr>
            <w:r>
              <w:rPr>
                <w:rFonts w:ascii="宋体" w:hAnsi="宋体" w:eastAsia="宋体"/>
                <w:sz w:val="16"/>
              </w:rPr>
              <w:t>38.60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6D4B3">
            <w:pPr>
              <w:jc w:val="center"/>
            </w:pPr>
            <w:r>
              <w:rPr>
                <w:rFonts w:ascii="宋体" w:hAnsi="宋体" w:eastAsia="宋体"/>
                <w:sz w:val="16"/>
              </w:rPr>
              <w:t>38.60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4D0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FBDE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11A27">
            <w:pPr>
              <w:jc w:val="center"/>
            </w:pPr>
            <w:r>
              <w:rPr>
                <w:rFonts w:ascii="宋体" w:hAnsi="宋体" w:eastAsia="宋体"/>
                <w:sz w:val="16"/>
              </w:rPr>
              <w:t>10.00</w:t>
            </w:r>
          </w:p>
        </w:tc>
      </w:tr>
      <w:tr w14:paraId="78EA24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92E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F681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E6025">
            <w:pPr>
              <w:jc w:val="center"/>
            </w:pPr>
            <w:r>
              <w:rPr>
                <w:rFonts w:ascii="宋体" w:hAnsi="宋体" w:eastAsia="宋体"/>
                <w:sz w:val="16"/>
              </w:rPr>
              <w:t>38.60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6599F">
            <w:pPr>
              <w:jc w:val="center"/>
            </w:pPr>
            <w:r>
              <w:rPr>
                <w:rFonts w:ascii="宋体" w:hAnsi="宋体" w:eastAsia="宋体"/>
                <w:sz w:val="16"/>
              </w:rPr>
              <w:t>38.60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B6D7D">
            <w:pPr>
              <w:jc w:val="center"/>
            </w:pPr>
            <w:r>
              <w:rPr>
                <w:rFonts w:ascii="宋体" w:hAnsi="宋体" w:eastAsia="宋体"/>
                <w:sz w:val="16"/>
              </w:rPr>
              <w:t>38.60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A3B9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C8B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22C28">
            <w:pPr>
              <w:jc w:val="center"/>
            </w:pPr>
            <w:r>
              <w:rPr>
                <w:rFonts w:ascii="宋体" w:hAnsi="宋体" w:eastAsia="宋体"/>
                <w:sz w:val="16"/>
              </w:rPr>
              <w:t>—</w:t>
            </w:r>
          </w:p>
        </w:tc>
      </w:tr>
      <w:tr w14:paraId="76E18A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313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5568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A8D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595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FF5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106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D40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0A819">
            <w:pPr>
              <w:jc w:val="center"/>
            </w:pPr>
            <w:r>
              <w:rPr>
                <w:rFonts w:ascii="宋体" w:hAnsi="宋体" w:eastAsia="宋体"/>
                <w:sz w:val="16"/>
              </w:rPr>
              <w:t>—</w:t>
            </w:r>
          </w:p>
        </w:tc>
      </w:tr>
      <w:tr w14:paraId="5FB64C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3F33C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30856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D532CF">
            <w:pPr>
              <w:jc w:val="center"/>
            </w:pPr>
            <w:r>
              <w:rPr>
                <w:rFonts w:ascii="宋体" w:hAnsi="宋体" w:eastAsia="宋体"/>
                <w:sz w:val="16"/>
              </w:rPr>
              <w:t>实际完成情况</w:t>
            </w:r>
          </w:p>
        </w:tc>
      </w:tr>
      <w:tr w14:paraId="31F554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AC59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478611">
            <w:pPr>
              <w:jc w:val="both"/>
            </w:pPr>
            <w:r>
              <w:rPr>
                <w:rFonts w:ascii="宋体" w:hAnsi="宋体" w:eastAsia="宋体"/>
                <w:sz w:val="16"/>
              </w:rPr>
              <w:t>在现有农村宅基地和集体建设用地使用权确权登记成果基础上，补充调查农村宗地权籍数据，按照房地一体调查规范，建立标准数据库，到2023年底完成特克斯县约3216宗农村宅基地和集体建设用地使用权确权登记发证变更及修补测工作，实现不动产登记城乡全覆盖。</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EB8015">
            <w:pPr>
              <w:jc w:val="both"/>
            </w:pPr>
            <w:r>
              <w:rPr>
                <w:rFonts w:ascii="宋体" w:hAnsi="宋体" w:eastAsia="宋体"/>
                <w:sz w:val="16"/>
              </w:rPr>
              <w:t>2024 年，农村宅基地和集体建设用地使用权确权登记发证变更及修补测专项项目顺利推进。5 月 31 日，项目组提前完成 1286 宗确权登记发证及修补测工作，符合指标要求，同时建成 1 个标准数据库，成果验收合格率达 100%。成本控制良好，宗地单价 300 元 / 宗，未</w:t>
            </w:r>
            <w:r>
              <w:rPr>
                <w:rFonts w:hint="eastAsia" w:ascii="宋体" w:hAnsi="宋体"/>
                <w:sz w:val="16"/>
                <w:lang w:eastAsia="zh-CN"/>
              </w:rPr>
              <w:t>超过</w:t>
            </w:r>
            <w:r>
              <w:rPr>
                <w:rFonts w:ascii="宋体" w:hAnsi="宋体" w:eastAsia="宋体"/>
                <w:sz w:val="16"/>
              </w:rPr>
              <w:t>预算。项目推动不动产登记城乡全覆盖，为乡村振兴提供产权保障与融资条件，群众满意度 95%，圆满完成年度目标，成为土地确权高效执行的范例。</w:t>
            </w:r>
          </w:p>
        </w:tc>
      </w:tr>
      <w:tr w14:paraId="297720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E435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3C92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D871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4A7B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5C2A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E820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4DD7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5B42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54B2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8BDF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D635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4D5A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F41E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239F8">
            <w:pPr>
              <w:jc w:val="center"/>
            </w:pPr>
            <w:r>
              <w:rPr>
                <w:rFonts w:ascii="宋体" w:hAnsi="宋体" w:eastAsia="宋体"/>
                <w:sz w:val="16"/>
              </w:rPr>
              <w:t>偏差原因分析及改进措施</w:t>
            </w:r>
          </w:p>
        </w:tc>
      </w:tr>
      <w:tr w14:paraId="524EE6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E9FA7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2CF70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83044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D5CDB">
            <w:pPr>
              <w:jc w:val="center"/>
            </w:pPr>
            <w:r>
              <w:rPr>
                <w:rFonts w:ascii="宋体" w:hAnsi="宋体" w:eastAsia="宋体"/>
                <w:sz w:val="16"/>
              </w:rPr>
              <w:t>完成登记发证及修补测宗数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522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38F1B">
            <w:pPr>
              <w:jc w:val="center"/>
            </w:pPr>
            <w:r>
              <w:rPr>
                <w:rFonts w:ascii="宋体" w:hAnsi="宋体" w:eastAsia="宋体"/>
                <w:sz w:val="16"/>
              </w:rPr>
              <w:t>&gt;=1286宗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475FA">
            <w:pPr>
              <w:jc w:val="center"/>
            </w:pPr>
            <w:r>
              <w:rPr>
                <w:rFonts w:ascii="宋体" w:hAnsi="宋体" w:eastAsia="宋体"/>
                <w:sz w:val="16"/>
              </w:rPr>
              <w:t>1286宗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F36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49B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AA2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EAC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8F1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A2B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CA9E1">
            <w:pPr>
              <w:jc w:val="center"/>
            </w:pPr>
          </w:p>
        </w:tc>
      </w:tr>
      <w:tr w14:paraId="352D07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F22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848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AF9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7B549">
            <w:pPr>
              <w:jc w:val="center"/>
            </w:pPr>
            <w:r>
              <w:rPr>
                <w:rFonts w:ascii="宋体" w:hAnsi="宋体" w:eastAsia="宋体"/>
                <w:sz w:val="16"/>
              </w:rPr>
              <w:t>形成数据库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34B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C0C3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5F89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A5B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F12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BD0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6AE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908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D56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99395">
            <w:pPr>
              <w:jc w:val="center"/>
            </w:pPr>
          </w:p>
        </w:tc>
      </w:tr>
      <w:tr w14:paraId="7F8E6E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83B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697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4E6B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47C8A">
            <w:pPr>
              <w:jc w:val="center"/>
            </w:pPr>
            <w:r>
              <w:rPr>
                <w:rFonts w:ascii="宋体" w:hAnsi="宋体" w:eastAsia="宋体"/>
                <w:sz w:val="16"/>
              </w:rPr>
              <w:t>达到验收要求的合格率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EAA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608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FFF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535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26C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27E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70F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84E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ABE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6CE7A">
            <w:pPr>
              <w:jc w:val="center"/>
            </w:pPr>
          </w:p>
        </w:tc>
      </w:tr>
      <w:tr w14:paraId="16DE1F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61D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9A6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6B54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28227">
            <w:pPr>
              <w:jc w:val="center"/>
            </w:pPr>
            <w:r>
              <w:rPr>
                <w:rFonts w:ascii="宋体" w:hAnsi="宋体" w:eastAsia="宋体"/>
                <w:sz w:val="16"/>
              </w:rPr>
              <w:t>项目计划完成时间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3B0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301B0">
            <w:pPr>
              <w:jc w:val="center"/>
            </w:pPr>
            <w:r>
              <w:rPr>
                <w:rFonts w:ascii="宋体" w:hAnsi="宋体" w:eastAsia="宋体"/>
                <w:sz w:val="16"/>
              </w:rPr>
              <w:t>2024-12-30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6F0FF">
            <w:pPr>
              <w:jc w:val="center"/>
            </w:pPr>
            <w:r>
              <w:rPr>
                <w:rFonts w:ascii="宋体" w:hAnsi="宋体" w:eastAsia="宋体"/>
                <w:sz w:val="16"/>
              </w:rPr>
              <w:t>2024-05-31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70F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B6C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D35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D83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0F7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B83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F610A">
            <w:pPr>
              <w:jc w:val="center"/>
            </w:pPr>
          </w:p>
        </w:tc>
      </w:tr>
      <w:tr w14:paraId="65147C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421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EA7F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3EE6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5E071">
            <w:pPr>
              <w:jc w:val="center"/>
            </w:pPr>
            <w:r>
              <w:rPr>
                <w:rFonts w:ascii="宋体" w:hAnsi="宋体" w:eastAsia="宋体"/>
                <w:sz w:val="16"/>
              </w:rPr>
              <w:t>登记发证及修补测宗地单价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84A3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69836">
            <w:pPr>
              <w:jc w:val="center"/>
            </w:pPr>
            <w:r>
              <w:rPr>
                <w:rFonts w:ascii="宋体" w:hAnsi="宋体" w:eastAsia="宋体"/>
                <w:sz w:val="16"/>
              </w:rPr>
              <w:t>&lt;=300元/宗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96712">
            <w:pPr>
              <w:jc w:val="center"/>
            </w:pPr>
            <w:r>
              <w:rPr>
                <w:rFonts w:ascii="宋体" w:hAnsi="宋体" w:eastAsia="宋体"/>
                <w:sz w:val="16"/>
              </w:rPr>
              <w:t>300元/宗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D6E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02C4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A34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48A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CC3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1BA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1969E">
            <w:pPr>
              <w:jc w:val="center"/>
            </w:pPr>
          </w:p>
        </w:tc>
      </w:tr>
      <w:tr w14:paraId="7D7CB5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01E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7668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D3D7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33BC4">
            <w:pPr>
              <w:jc w:val="center"/>
            </w:pPr>
            <w:r>
              <w:rPr>
                <w:rFonts w:ascii="宋体" w:hAnsi="宋体" w:eastAsia="宋体"/>
                <w:sz w:val="16"/>
              </w:rPr>
              <w:t>为实施乡村振兴战略提供产权保障和融资条件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0631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C2E37">
            <w:pPr>
              <w:jc w:val="center"/>
            </w:pPr>
            <w:r>
              <w:rPr>
                <w:rFonts w:ascii="宋体" w:hAnsi="宋体" w:eastAsia="宋体"/>
                <w:sz w:val="16"/>
              </w:rPr>
              <w:t>影响程度较高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8917D">
            <w:pPr>
              <w:jc w:val="center"/>
            </w:pPr>
            <w:r>
              <w:rPr>
                <w:rFonts w:ascii="宋体" w:hAnsi="宋体" w:eastAsia="宋体"/>
                <w:sz w:val="16"/>
              </w:rPr>
              <w:t>影响程度较高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148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D2E0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B8F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6D8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4FA5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EBE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721D2">
            <w:pPr>
              <w:jc w:val="center"/>
            </w:pPr>
          </w:p>
        </w:tc>
      </w:tr>
      <w:tr w14:paraId="31B3E6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919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0E1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4BEF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DA5E1">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6DF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CFE1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4CD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D7C1E">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EA3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1DB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B9B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9111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0DB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8B08B">
            <w:pPr>
              <w:jc w:val="center"/>
            </w:pPr>
            <w:r>
              <w:rPr>
                <w:rFonts w:ascii="宋体" w:hAnsi="宋体" w:eastAsia="宋体"/>
                <w:sz w:val="16"/>
              </w:rPr>
              <w:t>原因：项目完成较好，群众满意度较高，超出预期目标。</w:t>
            </w:r>
          </w:p>
        </w:tc>
      </w:tr>
      <w:tr w14:paraId="42A3566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42629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A38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197E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5E9E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E2A8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48FEB">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1131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2C52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76D6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7960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29D2D0"/>
        </w:tc>
      </w:tr>
    </w:tbl>
    <w:p w14:paraId="0313B24D">
      <w:r>
        <w:br w:type="page"/>
      </w:r>
    </w:p>
    <w:tbl>
      <w:tblPr>
        <w:tblStyle w:val="9"/>
        <w:tblW w:w="0" w:type="auto"/>
        <w:tblInd w:w="0" w:type="dxa"/>
        <w:tblLayout w:type="autofit"/>
        <w:tblCellMar>
          <w:top w:w="0" w:type="dxa"/>
          <w:left w:w="108" w:type="dxa"/>
          <w:bottom w:w="0" w:type="dxa"/>
          <w:right w:w="108" w:type="dxa"/>
        </w:tblCellMar>
      </w:tblPr>
      <w:tblGrid>
        <w:gridCol w:w="625"/>
        <w:gridCol w:w="613"/>
        <w:gridCol w:w="613"/>
        <w:gridCol w:w="613"/>
        <w:gridCol w:w="619"/>
        <w:gridCol w:w="856"/>
        <w:gridCol w:w="696"/>
        <w:gridCol w:w="631"/>
        <w:gridCol w:w="625"/>
        <w:gridCol w:w="613"/>
        <w:gridCol w:w="696"/>
        <w:gridCol w:w="614"/>
        <w:gridCol w:w="614"/>
        <w:gridCol w:w="632"/>
      </w:tblGrid>
      <w:tr w14:paraId="57F23C23">
        <w:tblPrEx>
          <w:tblCellMar>
            <w:top w:w="0" w:type="dxa"/>
            <w:left w:w="108" w:type="dxa"/>
            <w:bottom w:w="0" w:type="dxa"/>
            <w:right w:w="108" w:type="dxa"/>
          </w:tblCellMar>
        </w:tblPrEx>
        <w:tc>
          <w:tcPr>
            <w:tcW w:w="8848" w:type="dxa"/>
            <w:gridSpan w:val="14"/>
            <w:vAlign w:val="center"/>
          </w:tcPr>
          <w:p w14:paraId="76D1FFB5">
            <w:pPr>
              <w:jc w:val="center"/>
            </w:pPr>
            <w:r>
              <w:rPr>
                <w:rFonts w:ascii="宋体" w:hAnsi="宋体" w:eastAsia="宋体"/>
                <w:sz w:val="24"/>
              </w:rPr>
              <w:t>项目支出绩效自评表</w:t>
            </w:r>
          </w:p>
        </w:tc>
      </w:tr>
      <w:tr w14:paraId="211D33FC">
        <w:tblPrEx>
          <w:tblCellMar>
            <w:top w:w="0" w:type="dxa"/>
            <w:left w:w="108" w:type="dxa"/>
            <w:bottom w:w="0" w:type="dxa"/>
            <w:right w:w="108" w:type="dxa"/>
          </w:tblCellMar>
        </w:tblPrEx>
        <w:tc>
          <w:tcPr>
            <w:tcW w:w="8848" w:type="dxa"/>
            <w:gridSpan w:val="14"/>
            <w:vAlign w:val="center"/>
          </w:tcPr>
          <w:p w14:paraId="54608376">
            <w:pPr>
              <w:jc w:val="center"/>
            </w:pPr>
            <w:r>
              <w:rPr>
                <w:rFonts w:ascii="宋体" w:hAnsi="宋体" w:eastAsia="宋体"/>
                <w:sz w:val="24"/>
              </w:rPr>
              <w:t>(2024年度)</w:t>
            </w:r>
          </w:p>
        </w:tc>
      </w:tr>
      <w:tr w14:paraId="357A6F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B215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E692AE">
            <w:pPr>
              <w:jc w:val="center"/>
            </w:pPr>
            <w:r>
              <w:rPr>
                <w:rFonts w:ascii="宋体" w:hAnsi="宋体" w:eastAsia="宋体"/>
                <w:sz w:val="16"/>
              </w:rPr>
              <w:t>土地出让业务支出（年初基金本级）</w:t>
            </w:r>
          </w:p>
        </w:tc>
      </w:tr>
      <w:tr w14:paraId="1275CF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9208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3AC67F">
            <w:pPr>
              <w:jc w:val="center"/>
            </w:pPr>
            <w:r>
              <w:rPr>
                <w:rFonts w:ascii="宋体" w:hAnsi="宋体" w:eastAsia="宋体"/>
                <w:sz w:val="16"/>
              </w:rPr>
              <w:t>特克斯县自然资源局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0E27C">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6A50BB">
            <w:pPr>
              <w:jc w:val="center"/>
            </w:pPr>
            <w:r>
              <w:rPr>
                <w:rFonts w:ascii="宋体" w:hAnsi="宋体" w:eastAsia="宋体"/>
                <w:sz w:val="16"/>
              </w:rPr>
              <w:t>特克斯县自然资源局</w:t>
            </w:r>
          </w:p>
        </w:tc>
      </w:tr>
      <w:tr w14:paraId="43010C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71436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A943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C93B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0EC5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2E63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6838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51DF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18F6C">
            <w:pPr>
              <w:jc w:val="center"/>
            </w:pPr>
            <w:r>
              <w:rPr>
                <w:rFonts w:ascii="宋体" w:hAnsi="宋体" w:eastAsia="宋体"/>
                <w:sz w:val="16"/>
              </w:rPr>
              <w:t>得分</w:t>
            </w:r>
          </w:p>
        </w:tc>
      </w:tr>
      <w:tr w14:paraId="5A990D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5E2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F8AB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D2E0F">
            <w:pPr>
              <w:jc w:val="center"/>
            </w:pPr>
            <w:r>
              <w:rPr>
                <w:rFonts w:ascii="宋体" w:hAnsi="宋体" w:eastAsia="宋体"/>
                <w:sz w:val="16"/>
              </w:rPr>
              <w:t>167.86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112C3">
            <w:pPr>
              <w:jc w:val="center"/>
            </w:pPr>
            <w:r>
              <w:rPr>
                <w:rFonts w:ascii="宋体" w:hAnsi="宋体" w:eastAsia="宋体"/>
                <w:sz w:val="16"/>
              </w:rPr>
              <w:t>167.86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65F25">
            <w:pPr>
              <w:jc w:val="center"/>
            </w:pPr>
            <w:r>
              <w:rPr>
                <w:rFonts w:ascii="宋体" w:hAnsi="宋体" w:eastAsia="宋体"/>
                <w:sz w:val="16"/>
              </w:rPr>
              <w:t>167.86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31F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2314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84527">
            <w:pPr>
              <w:jc w:val="center"/>
            </w:pPr>
            <w:r>
              <w:rPr>
                <w:rFonts w:ascii="宋体" w:hAnsi="宋体" w:eastAsia="宋体"/>
                <w:sz w:val="16"/>
              </w:rPr>
              <w:t>10.00</w:t>
            </w:r>
          </w:p>
        </w:tc>
      </w:tr>
      <w:tr w14:paraId="161F66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9D3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AB04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C09BB">
            <w:pPr>
              <w:jc w:val="center"/>
            </w:pPr>
            <w:r>
              <w:rPr>
                <w:rFonts w:ascii="宋体" w:hAnsi="宋体" w:eastAsia="宋体"/>
                <w:sz w:val="16"/>
              </w:rPr>
              <w:t>167.86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D3DED">
            <w:pPr>
              <w:jc w:val="center"/>
            </w:pPr>
            <w:r>
              <w:rPr>
                <w:rFonts w:ascii="宋体" w:hAnsi="宋体" w:eastAsia="宋体"/>
                <w:sz w:val="16"/>
              </w:rPr>
              <w:t>167.86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DCF84">
            <w:pPr>
              <w:jc w:val="center"/>
            </w:pPr>
            <w:r>
              <w:rPr>
                <w:rFonts w:ascii="宋体" w:hAnsi="宋体" w:eastAsia="宋体"/>
                <w:sz w:val="16"/>
              </w:rPr>
              <w:t>167.86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FF3C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82C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21EC6">
            <w:pPr>
              <w:jc w:val="center"/>
            </w:pPr>
            <w:r>
              <w:rPr>
                <w:rFonts w:ascii="宋体" w:hAnsi="宋体" w:eastAsia="宋体"/>
                <w:sz w:val="16"/>
              </w:rPr>
              <w:t>—</w:t>
            </w:r>
          </w:p>
        </w:tc>
      </w:tr>
      <w:tr w14:paraId="4C00FC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D85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590C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ADF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256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28F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4A2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3A6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37073">
            <w:pPr>
              <w:jc w:val="center"/>
            </w:pPr>
            <w:r>
              <w:rPr>
                <w:rFonts w:ascii="宋体" w:hAnsi="宋体" w:eastAsia="宋体"/>
                <w:sz w:val="16"/>
              </w:rPr>
              <w:t>—</w:t>
            </w:r>
          </w:p>
        </w:tc>
      </w:tr>
      <w:tr w14:paraId="4F71AE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2CEA1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F7D1F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8966D4">
            <w:pPr>
              <w:jc w:val="center"/>
            </w:pPr>
            <w:r>
              <w:rPr>
                <w:rFonts w:ascii="宋体" w:hAnsi="宋体" w:eastAsia="宋体"/>
                <w:sz w:val="16"/>
              </w:rPr>
              <w:t>实际完成情况</w:t>
            </w:r>
          </w:p>
        </w:tc>
      </w:tr>
      <w:tr w14:paraId="406B81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99AE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589C8D">
            <w:pPr>
              <w:jc w:val="both"/>
            </w:pPr>
            <w:r>
              <w:rPr>
                <w:rFonts w:ascii="宋体" w:hAnsi="宋体" w:eastAsia="宋体"/>
                <w:sz w:val="16"/>
              </w:rPr>
              <w:t>保障聘用业务人员的工资和土地出让业务公用费的运行，确保土地勘界、评估、招拍挂及土地出让印花税等各项业务活动支出，盘活土地资源，增加财政收入。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E4E8A1">
            <w:pPr>
              <w:jc w:val="both"/>
            </w:pPr>
            <w:r>
              <w:rPr>
                <w:rFonts w:ascii="宋体" w:hAnsi="宋体" w:eastAsia="宋体"/>
                <w:sz w:val="16"/>
              </w:rPr>
              <w:t>2024 年，土地出让业务支出项目顺利推进。167.86 万元资金全额到位且合理运用，预算执行率 100%。保障 7.2 名业务人员，工资发放超预期，准确率 100%，发放及经费支付及时率均 90%。成本控制良好，人均工资社保及办公经费均低于指标。社会效益显著提升，为社会发展提供有力土地资源保障，群众满意度达 100%。项目整体成效显著，圆满完成既定目标，助力盘活土地、增加财政收入。</w:t>
            </w:r>
          </w:p>
        </w:tc>
      </w:tr>
      <w:tr w14:paraId="3F6806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D5AC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7815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35F3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26CA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B91B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9576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E01C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C20A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0D03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0C61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2336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CE35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0D44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A54FA">
            <w:pPr>
              <w:jc w:val="center"/>
            </w:pPr>
            <w:r>
              <w:rPr>
                <w:rFonts w:ascii="宋体" w:hAnsi="宋体" w:eastAsia="宋体"/>
                <w:sz w:val="16"/>
              </w:rPr>
              <w:t>偏差原因分析及改进措施</w:t>
            </w:r>
          </w:p>
        </w:tc>
      </w:tr>
      <w:tr w14:paraId="5B84EC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4DCF7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4CD92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65CC7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72DFA">
            <w:pPr>
              <w:jc w:val="center"/>
            </w:pPr>
            <w:r>
              <w:rPr>
                <w:rFonts w:ascii="宋体" w:hAnsi="宋体" w:eastAsia="宋体"/>
                <w:sz w:val="16"/>
              </w:rPr>
              <w:t>保障业务人员人数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CD46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D7570">
            <w:pPr>
              <w:jc w:val="center"/>
            </w:pPr>
            <w:r>
              <w:rPr>
                <w:rFonts w:ascii="宋体" w:hAnsi="宋体" w:eastAsia="宋体"/>
                <w:sz w:val="16"/>
              </w:rPr>
              <w:t>&lt;=8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CB5E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44743">
            <w:pPr>
              <w:jc w:val="center"/>
            </w:pPr>
            <w:r>
              <w:rPr>
                <w:rFonts w:ascii="宋体" w:hAnsi="宋体" w:eastAsia="宋体"/>
                <w:sz w:val="16"/>
              </w:rPr>
              <w:t>87.5%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8BE1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EEF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1A3CD">
            <w:pPr>
              <w:jc w:val="center"/>
            </w:pPr>
            <w:r>
              <w:rPr>
                <w:rFonts w:ascii="宋体" w:hAnsi="宋体" w:eastAsia="宋体"/>
                <w:sz w:val="16"/>
              </w:rPr>
              <w: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85C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898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9F1E4">
            <w:pPr>
              <w:jc w:val="center"/>
            </w:pPr>
            <w:r>
              <w:rPr>
                <w:rFonts w:ascii="宋体" w:hAnsi="宋体" w:eastAsia="宋体"/>
                <w:sz w:val="16"/>
              </w:rPr>
              <w:t>原因：由于削减聘用人员，聘用人员减少。</w:t>
            </w:r>
          </w:p>
        </w:tc>
      </w:tr>
      <w:tr w14:paraId="616CC5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D07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C04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94A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9ADF7">
            <w:pPr>
              <w:jc w:val="center"/>
            </w:pPr>
            <w:r>
              <w:rPr>
                <w:rFonts w:ascii="宋体" w:hAnsi="宋体" w:eastAsia="宋体"/>
                <w:sz w:val="16"/>
              </w:rPr>
              <w:t>工资发放次数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3EF6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56E2D">
            <w:pPr>
              <w:jc w:val="center"/>
            </w:pPr>
            <w:r>
              <w:rPr>
                <w:rFonts w:ascii="宋体" w:hAnsi="宋体" w:eastAsia="宋体"/>
                <w:sz w:val="16"/>
              </w:rPr>
              <w:t>&lt;=12次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0E2A0">
            <w:pPr>
              <w:jc w:val="center"/>
            </w:pPr>
            <w:r>
              <w:rPr>
                <w:rFonts w:ascii="宋体" w:hAnsi="宋体" w:eastAsia="宋体"/>
                <w:sz w:val="16"/>
              </w:rPr>
              <w: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92D3F">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CA2E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718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3F2E0">
            <w:pPr>
              <w:jc w:val="center"/>
            </w:pPr>
            <w:r>
              <w:rPr>
                <w:rFonts w:ascii="宋体" w:hAnsi="宋体" w:eastAsia="宋体"/>
                <w:sz w:val="16"/>
              </w:rPr>
              <w: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B26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051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3E376">
            <w:pPr>
              <w:jc w:val="center"/>
            </w:pPr>
            <w:r>
              <w:rPr>
                <w:rFonts w:ascii="宋体" w:hAnsi="宋体" w:eastAsia="宋体"/>
                <w:sz w:val="16"/>
              </w:rPr>
              <w:t>原因：因补发聘用人员2023年3个月工资，超出年度工资发放计划。</w:t>
            </w:r>
          </w:p>
        </w:tc>
      </w:tr>
      <w:tr w14:paraId="732B58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008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392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1BC7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A7591">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A862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EAF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BA0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6B1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B289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B2B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014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62E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697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3C88D">
            <w:pPr>
              <w:jc w:val="center"/>
            </w:pPr>
          </w:p>
        </w:tc>
      </w:tr>
      <w:tr w14:paraId="7BF70A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034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76A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9501A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7CEBB">
            <w:pPr>
              <w:jc w:val="center"/>
            </w:pPr>
            <w:r>
              <w:rPr>
                <w:rFonts w:ascii="宋体" w:hAnsi="宋体" w:eastAsia="宋体"/>
                <w:sz w:val="16"/>
              </w:rPr>
              <w:t>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0BB5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06F2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ED8F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805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BB43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6BA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AEF0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F80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D8F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F3F21">
            <w:pPr>
              <w:jc w:val="center"/>
            </w:pPr>
          </w:p>
        </w:tc>
      </w:tr>
      <w:tr w14:paraId="060480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30D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549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442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32F84">
            <w:pPr>
              <w:jc w:val="center"/>
            </w:pPr>
            <w:r>
              <w:rPr>
                <w:rFonts w:ascii="宋体" w:hAnsi="宋体" w:eastAsia="宋体"/>
                <w:sz w:val="16"/>
              </w:rPr>
              <w:t>运转经费支付及时率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D1DC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218B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419E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D23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6272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974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D57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B3E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8F0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9E852">
            <w:pPr>
              <w:jc w:val="center"/>
            </w:pPr>
          </w:p>
        </w:tc>
      </w:tr>
      <w:tr w14:paraId="5FEF7E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3E58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087DA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CF49C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93BC1">
            <w:pPr>
              <w:jc w:val="center"/>
            </w:pPr>
            <w:r>
              <w:rPr>
                <w:rFonts w:ascii="宋体" w:hAnsi="宋体" w:eastAsia="宋体"/>
                <w:sz w:val="16"/>
              </w:rPr>
              <w:t>月人均工资社保费用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575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B839B">
            <w:pPr>
              <w:jc w:val="center"/>
            </w:pPr>
            <w:r>
              <w:rPr>
                <w:rFonts w:ascii="宋体" w:hAnsi="宋体" w:eastAsia="宋体"/>
                <w:sz w:val="16"/>
              </w:rPr>
              <w:t>&lt;=0.32万元/人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0B93C">
            <w:pPr>
              <w:jc w:val="center"/>
            </w:pPr>
            <w:r>
              <w:rPr>
                <w:rFonts w:ascii="宋体" w:hAnsi="宋体" w:eastAsia="宋体"/>
                <w:sz w:val="16"/>
              </w:rPr>
              <w:t>0.318万元/人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75E3B">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9A703">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529D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7ABA3">
            <w:pPr>
              <w:jc w:val="center"/>
            </w:pPr>
            <w:r>
              <w:rPr>
                <w:rFonts w:ascii="宋体" w:hAnsi="宋体" w:eastAsia="宋体"/>
                <w:sz w:val="16"/>
              </w:rPr>
              <w:t>=0.33万元/人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471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B7A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10D36">
            <w:pPr>
              <w:jc w:val="center"/>
            </w:pPr>
            <w:r>
              <w:rPr>
                <w:rFonts w:ascii="宋体" w:hAnsi="宋体" w:eastAsia="宋体"/>
                <w:sz w:val="16"/>
              </w:rPr>
              <w:t>原因：因优化</w:t>
            </w:r>
            <w:r>
              <w:rPr>
                <w:rFonts w:hint="eastAsia" w:ascii="宋体" w:hAnsi="宋体"/>
                <w:sz w:val="16"/>
                <w:lang w:eastAsia="zh-CN"/>
              </w:rPr>
              <w:t>单位</w:t>
            </w:r>
            <w:r>
              <w:rPr>
                <w:rFonts w:ascii="宋体" w:hAnsi="宋体" w:eastAsia="宋体"/>
                <w:sz w:val="16"/>
              </w:rPr>
              <w:t>人员结构，聘用人员从10人减少为5人，平均月人数为7.5人</w:t>
            </w:r>
            <w:r>
              <w:rPr>
                <w:rFonts w:hint="eastAsia" w:ascii="宋体" w:hAnsi="宋体"/>
                <w:sz w:val="16"/>
                <w:lang w:eastAsia="zh-CN"/>
              </w:rPr>
              <w:t>。</w:t>
            </w:r>
          </w:p>
        </w:tc>
      </w:tr>
      <w:tr w14:paraId="5F54CC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46A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92B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AB7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ECAB9">
            <w:pPr>
              <w:jc w:val="center"/>
            </w:pPr>
            <w:r>
              <w:rPr>
                <w:rFonts w:ascii="宋体" w:hAnsi="宋体" w:eastAsia="宋体"/>
                <w:sz w:val="16"/>
              </w:rPr>
              <w:t>办公运转经费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E06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046F2">
            <w:pPr>
              <w:jc w:val="center"/>
            </w:pPr>
            <w:r>
              <w:rPr>
                <w:rFonts w:ascii="宋体" w:hAnsi="宋体" w:eastAsia="宋体"/>
                <w:sz w:val="16"/>
              </w:rPr>
              <w:t>&lt;=137.14万元/年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B47D3">
            <w:pPr>
              <w:jc w:val="center"/>
            </w:pPr>
            <w:r>
              <w:rPr>
                <w:rFonts w:ascii="宋体" w:hAnsi="宋体" w:eastAsia="宋体"/>
                <w:sz w:val="16"/>
              </w:rPr>
              <w:t>133.52万元/年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A8036">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8D547">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5955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6E84C">
            <w:pPr>
              <w:jc w:val="center"/>
            </w:pPr>
            <w:r>
              <w:rPr>
                <w:rFonts w:ascii="宋体" w:hAnsi="宋体" w:eastAsia="宋体"/>
                <w:sz w:val="16"/>
              </w:rPr>
              <w:t>=23.01万元/年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AF6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CBF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FA22D">
            <w:pPr>
              <w:jc w:val="center"/>
            </w:pPr>
            <w:r>
              <w:rPr>
                <w:rFonts w:ascii="宋体" w:hAnsi="宋体" w:eastAsia="宋体"/>
                <w:sz w:val="16"/>
              </w:rPr>
              <w:t>原因，因业务量变化，节约了经费支出，调整预算额度。</w:t>
            </w:r>
          </w:p>
        </w:tc>
      </w:tr>
      <w:tr w14:paraId="2222A2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689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A263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2166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275C2">
            <w:pPr>
              <w:jc w:val="center"/>
            </w:pPr>
            <w:r>
              <w:rPr>
                <w:rFonts w:ascii="宋体" w:hAnsi="宋体" w:eastAsia="宋体"/>
                <w:sz w:val="16"/>
              </w:rPr>
              <w:t>提升为社会发展提供土地资源保障服务能力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9CF0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581FD">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9DD61">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A73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F07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B40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1C373">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A122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68C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06B7C">
            <w:pPr>
              <w:jc w:val="center"/>
            </w:pPr>
          </w:p>
        </w:tc>
      </w:tr>
      <w:tr w14:paraId="09F77F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653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D5CD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2E6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AB195">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D72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F9CA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4B7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F3C02">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B89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A68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04E6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2231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17F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C3147">
            <w:pPr>
              <w:jc w:val="center"/>
            </w:pPr>
            <w:r>
              <w:rPr>
                <w:rFonts w:ascii="宋体" w:hAnsi="宋体" w:eastAsia="宋体"/>
                <w:sz w:val="16"/>
              </w:rPr>
              <w:t>原因：项目完成较好，群众满意度超预期目标。</w:t>
            </w:r>
          </w:p>
        </w:tc>
      </w:tr>
      <w:tr w14:paraId="700B6B2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2D9F6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F3D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9C2E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D059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98E5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7B617">
            <w:pPr>
              <w:jc w:val="center"/>
            </w:pPr>
            <w:r>
              <w:rPr>
                <w:rFonts w:ascii="宋体" w:hAnsi="宋体" w:eastAsia="宋体"/>
                <w:sz w:val="16"/>
              </w:rPr>
              <w:t>98.6分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E8C5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37EF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1180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4289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653D0D"/>
        </w:tc>
      </w:tr>
    </w:tbl>
    <w:p w14:paraId="288E1CE1">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4"/>
        <w:gridCol w:w="626"/>
        <w:gridCol w:w="856"/>
        <w:gridCol w:w="696"/>
        <w:gridCol w:w="629"/>
        <w:gridCol w:w="626"/>
        <w:gridCol w:w="624"/>
        <w:gridCol w:w="624"/>
        <w:gridCol w:w="624"/>
        <w:gridCol w:w="624"/>
        <w:gridCol w:w="631"/>
      </w:tblGrid>
      <w:tr w14:paraId="63A17724">
        <w:tblPrEx>
          <w:tblCellMar>
            <w:top w:w="0" w:type="dxa"/>
            <w:left w:w="108" w:type="dxa"/>
            <w:bottom w:w="0" w:type="dxa"/>
            <w:right w:w="108" w:type="dxa"/>
          </w:tblCellMar>
        </w:tblPrEx>
        <w:tc>
          <w:tcPr>
            <w:tcW w:w="8848" w:type="dxa"/>
            <w:gridSpan w:val="14"/>
            <w:vAlign w:val="center"/>
          </w:tcPr>
          <w:p w14:paraId="4670253B">
            <w:pPr>
              <w:jc w:val="center"/>
            </w:pPr>
            <w:r>
              <w:rPr>
                <w:rFonts w:ascii="宋体" w:hAnsi="宋体" w:eastAsia="宋体"/>
                <w:sz w:val="24"/>
              </w:rPr>
              <w:t>项目支出绩效自评表</w:t>
            </w:r>
          </w:p>
        </w:tc>
      </w:tr>
      <w:tr w14:paraId="5414787A">
        <w:tblPrEx>
          <w:tblCellMar>
            <w:top w:w="0" w:type="dxa"/>
            <w:left w:w="108" w:type="dxa"/>
            <w:bottom w:w="0" w:type="dxa"/>
            <w:right w:w="108" w:type="dxa"/>
          </w:tblCellMar>
        </w:tblPrEx>
        <w:tc>
          <w:tcPr>
            <w:tcW w:w="8848" w:type="dxa"/>
            <w:gridSpan w:val="14"/>
            <w:vAlign w:val="center"/>
          </w:tcPr>
          <w:p w14:paraId="577CDE1C">
            <w:pPr>
              <w:jc w:val="center"/>
            </w:pPr>
            <w:r>
              <w:rPr>
                <w:rFonts w:ascii="宋体" w:hAnsi="宋体" w:eastAsia="宋体"/>
                <w:sz w:val="24"/>
              </w:rPr>
              <w:t>(2024年度)</w:t>
            </w:r>
          </w:p>
        </w:tc>
      </w:tr>
      <w:tr w14:paraId="63155F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58AE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D545E5">
            <w:pPr>
              <w:jc w:val="center"/>
            </w:pPr>
            <w:r>
              <w:rPr>
                <w:rFonts w:ascii="宋体" w:hAnsi="宋体" w:eastAsia="宋体"/>
                <w:sz w:val="16"/>
              </w:rPr>
              <w:t>土地开发支出项目</w:t>
            </w:r>
          </w:p>
        </w:tc>
      </w:tr>
      <w:tr w14:paraId="3858D3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282B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8E5537">
            <w:pPr>
              <w:jc w:val="center"/>
            </w:pPr>
            <w:r>
              <w:rPr>
                <w:rFonts w:ascii="宋体" w:hAnsi="宋体" w:eastAsia="宋体"/>
                <w:sz w:val="16"/>
              </w:rPr>
              <w:t>特克斯县自然资源局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1A8D3">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E2F8BC">
            <w:pPr>
              <w:jc w:val="center"/>
            </w:pPr>
            <w:r>
              <w:rPr>
                <w:rFonts w:ascii="宋体" w:hAnsi="宋体" w:eastAsia="宋体"/>
                <w:sz w:val="16"/>
              </w:rPr>
              <w:t>特克斯县自然资源局</w:t>
            </w:r>
          </w:p>
        </w:tc>
      </w:tr>
      <w:tr w14:paraId="6E98DD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02D62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403F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4D33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CA5B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801F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1DA5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7459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05E00">
            <w:pPr>
              <w:jc w:val="center"/>
            </w:pPr>
            <w:r>
              <w:rPr>
                <w:rFonts w:ascii="宋体" w:hAnsi="宋体" w:eastAsia="宋体"/>
                <w:sz w:val="16"/>
              </w:rPr>
              <w:t>得分</w:t>
            </w:r>
          </w:p>
        </w:tc>
      </w:tr>
      <w:tr w14:paraId="04A851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382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4364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D7B9E">
            <w:pPr>
              <w:jc w:val="center"/>
            </w:pPr>
            <w:r>
              <w:rPr>
                <w:rFonts w:ascii="宋体" w:hAnsi="宋体" w:eastAsia="宋体"/>
                <w:sz w:val="16"/>
              </w:rPr>
              <w:t>391.85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89803">
            <w:pPr>
              <w:jc w:val="center"/>
            </w:pPr>
            <w:r>
              <w:rPr>
                <w:rFonts w:ascii="宋体" w:hAnsi="宋体" w:eastAsia="宋体"/>
                <w:sz w:val="16"/>
              </w:rPr>
              <w:t>391.85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7B820">
            <w:pPr>
              <w:jc w:val="center"/>
            </w:pPr>
            <w:r>
              <w:rPr>
                <w:rFonts w:ascii="宋体" w:hAnsi="宋体" w:eastAsia="宋体"/>
                <w:sz w:val="16"/>
              </w:rPr>
              <w:t>391.85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931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2DC5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8FDA6">
            <w:pPr>
              <w:jc w:val="center"/>
            </w:pPr>
            <w:r>
              <w:rPr>
                <w:rFonts w:ascii="宋体" w:hAnsi="宋体" w:eastAsia="宋体"/>
                <w:sz w:val="16"/>
              </w:rPr>
              <w:t>10.00</w:t>
            </w:r>
          </w:p>
        </w:tc>
      </w:tr>
      <w:tr w14:paraId="644778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571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5126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3B51E">
            <w:pPr>
              <w:jc w:val="center"/>
            </w:pPr>
            <w:r>
              <w:rPr>
                <w:rFonts w:ascii="宋体" w:hAnsi="宋体" w:eastAsia="宋体"/>
                <w:sz w:val="16"/>
              </w:rPr>
              <w:t>391.85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0A641">
            <w:pPr>
              <w:jc w:val="center"/>
            </w:pPr>
            <w:r>
              <w:rPr>
                <w:rFonts w:ascii="宋体" w:hAnsi="宋体" w:eastAsia="宋体"/>
                <w:sz w:val="16"/>
              </w:rPr>
              <w:t>391.85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607FE">
            <w:pPr>
              <w:jc w:val="center"/>
            </w:pPr>
            <w:r>
              <w:rPr>
                <w:rFonts w:ascii="宋体" w:hAnsi="宋体" w:eastAsia="宋体"/>
                <w:sz w:val="16"/>
              </w:rPr>
              <w:t>391.85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9F7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158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6A6A1">
            <w:pPr>
              <w:jc w:val="center"/>
            </w:pPr>
            <w:r>
              <w:rPr>
                <w:rFonts w:ascii="宋体" w:hAnsi="宋体" w:eastAsia="宋体"/>
                <w:sz w:val="16"/>
              </w:rPr>
              <w:t>—</w:t>
            </w:r>
          </w:p>
        </w:tc>
      </w:tr>
      <w:tr w14:paraId="5BACB2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0AB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E644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417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78B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67E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2A9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728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58BA6">
            <w:pPr>
              <w:jc w:val="center"/>
            </w:pPr>
            <w:r>
              <w:rPr>
                <w:rFonts w:ascii="宋体" w:hAnsi="宋体" w:eastAsia="宋体"/>
                <w:sz w:val="16"/>
              </w:rPr>
              <w:t>—</w:t>
            </w:r>
          </w:p>
        </w:tc>
      </w:tr>
      <w:tr w14:paraId="79FBAA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F0C18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86DDA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5177A7">
            <w:pPr>
              <w:jc w:val="center"/>
            </w:pPr>
            <w:r>
              <w:rPr>
                <w:rFonts w:ascii="宋体" w:hAnsi="宋体" w:eastAsia="宋体"/>
                <w:sz w:val="16"/>
              </w:rPr>
              <w:t>实际完成情况</w:t>
            </w:r>
          </w:p>
        </w:tc>
      </w:tr>
      <w:tr w14:paraId="4E6CDB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5238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163E06">
            <w:pPr>
              <w:jc w:val="both"/>
            </w:pPr>
            <w:r>
              <w:rPr>
                <w:rFonts w:ascii="宋体" w:hAnsi="宋体" w:eastAsia="宋体"/>
                <w:sz w:val="16"/>
              </w:rPr>
              <w:t>为了深入贯彻党中央、国务院《关于加强耕地保护和改进占补平衡的意见》，实施最严格的耕地保护制度，加强土地管理，完成耕地占用税、耕地开垦费缴纳，确保新增建设用地项目顺利报批，增加全县农业投入，促进农业的综合开发，促进社会经济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6CC698">
            <w:pPr>
              <w:jc w:val="both"/>
            </w:pPr>
            <w:r>
              <w:rPr>
                <w:rFonts w:ascii="宋体" w:hAnsi="宋体" w:eastAsia="宋体"/>
                <w:sz w:val="16"/>
              </w:rPr>
              <w:t>2024年严格落实相关条例及意见，按计划完成了耕地占用税、耕地开垦费的缴纳工作。缴纳耕地占用税批次数达4次，耕地开垦费批次数为2次，税费缴纳按时完成率及时率均达100%，占用税资金数360.63 万元，开垦费资金数31.22 万元，在坚守耕地红线、优化耕地布局方面效果显著。</w:t>
            </w:r>
          </w:p>
        </w:tc>
      </w:tr>
      <w:tr w14:paraId="550509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95DF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D4DA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6EEF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AF8E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0371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F1E2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A2D3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AC8B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CA15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AE54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E36A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2D7C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EFEB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7B5DE">
            <w:pPr>
              <w:jc w:val="center"/>
            </w:pPr>
            <w:r>
              <w:rPr>
                <w:rFonts w:ascii="宋体" w:hAnsi="宋体" w:eastAsia="宋体"/>
                <w:sz w:val="16"/>
              </w:rPr>
              <w:t>偏差原因分析及改进措施</w:t>
            </w:r>
          </w:p>
        </w:tc>
      </w:tr>
      <w:tr w14:paraId="2023B8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A5AFE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7CB51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DA48A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A7CF3">
            <w:pPr>
              <w:jc w:val="center"/>
            </w:pPr>
            <w:r>
              <w:rPr>
                <w:rFonts w:ascii="宋体" w:hAnsi="宋体" w:eastAsia="宋体"/>
                <w:sz w:val="16"/>
              </w:rPr>
              <w:t>缴纳耕地占用税批次数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3AC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809AD">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69BAC">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182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C28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6A6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2E9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430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75B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32BFF">
            <w:pPr>
              <w:jc w:val="center"/>
            </w:pPr>
          </w:p>
        </w:tc>
      </w:tr>
      <w:tr w14:paraId="7EA8BB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595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C76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40E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3D473">
            <w:pPr>
              <w:jc w:val="center"/>
            </w:pPr>
            <w:r>
              <w:rPr>
                <w:rFonts w:ascii="宋体" w:hAnsi="宋体" w:eastAsia="宋体"/>
                <w:sz w:val="16"/>
              </w:rPr>
              <w:t>缴纳耕地开垦费批次数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319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313B5">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41C1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D37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2D4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8C8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BFC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3403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8050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DD7D2">
            <w:pPr>
              <w:jc w:val="center"/>
            </w:pPr>
          </w:p>
        </w:tc>
      </w:tr>
      <w:tr w14:paraId="72B4A4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3B7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35D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3EE0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99F9A">
            <w:pPr>
              <w:jc w:val="center"/>
            </w:pPr>
            <w:r>
              <w:rPr>
                <w:rFonts w:ascii="宋体" w:hAnsi="宋体" w:eastAsia="宋体"/>
                <w:sz w:val="16"/>
              </w:rPr>
              <w:t>税费缴纳按时完成率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645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2C1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F4F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C8C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4EB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300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C9D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33E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5E5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78B05">
            <w:pPr>
              <w:jc w:val="center"/>
            </w:pPr>
          </w:p>
        </w:tc>
      </w:tr>
      <w:tr w14:paraId="09078E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FE8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B1C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F09F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DA998">
            <w:pPr>
              <w:jc w:val="center"/>
            </w:pPr>
            <w:r>
              <w:rPr>
                <w:rFonts w:ascii="宋体" w:hAnsi="宋体" w:eastAsia="宋体"/>
                <w:sz w:val="16"/>
              </w:rPr>
              <w:t>税费缴纳及时率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AB0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AB9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F32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6B8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29E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78B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7FD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453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B6B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20195">
            <w:pPr>
              <w:jc w:val="center"/>
            </w:pPr>
          </w:p>
        </w:tc>
      </w:tr>
      <w:tr w14:paraId="5AB609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198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CF44E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98916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0F71A">
            <w:pPr>
              <w:jc w:val="center"/>
            </w:pPr>
            <w:r>
              <w:rPr>
                <w:rFonts w:ascii="宋体" w:hAnsi="宋体" w:eastAsia="宋体"/>
                <w:sz w:val="16"/>
              </w:rPr>
              <w:t>缴纳耕地占用税资金数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176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64FC8">
            <w:pPr>
              <w:jc w:val="center"/>
            </w:pPr>
            <w:r>
              <w:rPr>
                <w:rFonts w:ascii="宋体" w:hAnsi="宋体" w:eastAsia="宋体"/>
                <w:sz w:val="16"/>
              </w:rPr>
              <w:t>&lt;=360.63万元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C37E7">
            <w:pPr>
              <w:jc w:val="center"/>
            </w:pPr>
            <w:r>
              <w:rPr>
                <w:rFonts w:ascii="宋体" w:hAnsi="宋体" w:eastAsia="宋体"/>
                <w:sz w:val="16"/>
              </w:rPr>
              <w:t>360.63万元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87A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934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43E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249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2AD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F8B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D37FF">
            <w:pPr>
              <w:jc w:val="center"/>
            </w:pPr>
          </w:p>
        </w:tc>
      </w:tr>
      <w:tr w14:paraId="1A64DF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58C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855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E0A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71A09">
            <w:pPr>
              <w:jc w:val="center"/>
            </w:pPr>
            <w:r>
              <w:rPr>
                <w:rFonts w:ascii="宋体" w:hAnsi="宋体" w:eastAsia="宋体"/>
                <w:sz w:val="16"/>
              </w:rPr>
              <w:t>缴纳耕地开垦费资金数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3E9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26565">
            <w:pPr>
              <w:jc w:val="center"/>
            </w:pPr>
            <w:r>
              <w:rPr>
                <w:rFonts w:ascii="宋体" w:hAnsi="宋体" w:eastAsia="宋体"/>
                <w:sz w:val="16"/>
              </w:rPr>
              <w:t>&lt;=31.22万元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00C9B">
            <w:pPr>
              <w:jc w:val="center"/>
            </w:pPr>
            <w:r>
              <w:rPr>
                <w:rFonts w:ascii="宋体" w:hAnsi="宋体" w:eastAsia="宋体"/>
                <w:sz w:val="16"/>
              </w:rPr>
              <w:t>31.22万元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DD2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715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AEA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B89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FC3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D69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B0F75">
            <w:pPr>
              <w:jc w:val="center"/>
            </w:pPr>
          </w:p>
        </w:tc>
      </w:tr>
      <w:tr w14:paraId="0BF6D5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275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9041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314A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D75EA">
            <w:pPr>
              <w:jc w:val="center"/>
            </w:pPr>
            <w:r>
              <w:rPr>
                <w:rFonts w:ascii="宋体" w:hAnsi="宋体" w:eastAsia="宋体"/>
                <w:sz w:val="16"/>
              </w:rPr>
              <w:t>坚守耕地红线优化耕地布局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2DC49">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DA95F">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F574B">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DA9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35931">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39B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640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FE22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1ED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EF63F">
            <w:pPr>
              <w:jc w:val="center"/>
            </w:pPr>
          </w:p>
        </w:tc>
      </w:tr>
      <w:tr w14:paraId="2700930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A368F6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7D2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230E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DA65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32E2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20CCA">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4BAE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628D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D99D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8701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6003A5"/>
        </w:tc>
      </w:tr>
    </w:tbl>
    <w:p w14:paraId="3412537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70EAA9E">
        <w:tblPrEx>
          <w:tblCellMar>
            <w:top w:w="0" w:type="dxa"/>
            <w:left w:w="108" w:type="dxa"/>
            <w:bottom w:w="0" w:type="dxa"/>
            <w:right w:w="108" w:type="dxa"/>
          </w:tblCellMar>
        </w:tblPrEx>
        <w:tc>
          <w:tcPr>
            <w:tcW w:w="8848" w:type="dxa"/>
            <w:gridSpan w:val="14"/>
            <w:vAlign w:val="center"/>
          </w:tcPr>
          <w:p w14:paraId="1F865BF7">
            <w:pPr>
              <w:jc w:val="center"/>
            </w:pPr>
            <w:r>
              <w:rPr>
                <w:rFonts w:ascii="宋体" w:hAnsi="宋体" w:eastAsia="宋体"/>
                <w:sz w:val="24"/>
              </w:rPr>
              <w:t>项目支出绩效自评表</w:t>
            </w:r>
          </w:p>
        </w:tc>
      </w:tr>
      <w:tr w14:paraId="594E148D">
        <w:tblPrEx>
          <w:tblCellMar>
            <w:top w:w="0" w:type="dxa"/>
            <w:left w:w="108" w:type="dxa"/>
            <w:bottom w:w="0" w:type="dxa"/>
            <w:right w:w="108" w:type="dxa"/>
          </w:tblCellMar>
        </w:tblPrEx>
        <w:tc>
          <w:tcPr>
            <w:tcW w:w="8848" w:type="dxa"/>
            <w:gridSpan w:val="14"/>
            <w:vAlign w:val="center"/>
          </w:tcPr>
          <w:p w14:paraId="3853DDF5">
            <w:pPr>
              <w:jc w:val="center"/>
            </w:pPr>
            <w:r>
              <w:rPr>
                <w:rFonts w:ascii="宋体" w:hAnsi="宋体" w:eastAsia="宋体"/>
                <w:sz w:val="24"/>
              </w:rPr>
              <w:t>(2024年度)</w:t>
            </w:r>
          </w:p>
        </w:tc>
      </w:tr>
      <w:tr w14:paraId="5E97C7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E8FF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03083E5">
            <w:pPr>
              <w:jc w:val="center"/>
            </w:pPr>
            <w:r>
              <w:rPr>
                <w:rFonts w:ascii="宋体" w:hAnsi="宋体" w:eastAsia="宋体"/>
                <w:sz w:val="16"/>
              </w:rPr>
              <w:t>收回伊犁汇通矿业发展有限公司特克斯县青布拉克铜镍矿补偿款</w:t>
            </w:r>
          </w:p>
        </w:tc>
      </w:tr>
      <w:tr w14:paraId="74327D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0089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3B50EA">
            <w:pPr>
              <w:jc w:val="center"/>
            </w:pPr>
            <w:r>
              <w:rPr>
                <w:rFonts w:ascii="宋体" w:hAnsi="宋体" w:eastAsia="宋体"/>
                <w:sz w:val="16"/>
              </w:rPr>
              <w:t>特克斯县自然资源局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4F05A">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C2C847">
            <w:pPr>
              <w:jc w:val="center"/>
            </w:pPr>
            <w:r>
              <w:rPr>
                <w:rFonts w:ascii="宋体" w:hAnsi="宋体" w:eastAsia="宋体"/>
                <w:sz w:val="16"/>
              </w:rPr>
              <w:t>特克斯县自然资源局</w:t>
            </w:r>
          </w:p>
        </w:tc>
      </w:tr>
      <w:tr w14:paraId="66AAD1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26AD6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70F2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9D63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85F1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DFCE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2E75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F690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D2BF6">
            <w:pPr>
              <w:jc w:val="center"/>
            </w:pPr>
            <w:r>
              <w:rPr>
                <w:rFonts w:ascii="宋体" w:hAnsi="宋体" w:eastAsia="宋体"/>
                <w:sz w:val="16"/>
              </w:rPr>
              <w:t>得分</w:t>
            </w:r>
          </w:p>
        </w:tc>
      </w:tr>
      <w:tr w14:paraId="056165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21A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D3C9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DCB73">
            <w:pPr>
              <w:jc w:val="center"/>
            </w:pPr>
            <w:r>
              <w:rPr>
                <w:rFonts w:ascii="宋体" w:hAnsi="宋体" w:eastAsia="宋体"/>
                <w:sz w:val="16"/>
              </w:rPr>
              <w:t>849.87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9EFE2">
            <w:pPr>
              <w:jc w:val="center"/>
            </w:pPr>
            <w:r>
              <w:rPr>
                <w:rFonts w:ascii="宋体" w:hAnsi="宋体" w:eastAsia="宋体"/>
                <w:sz w:val="16"/>
              </w:rPr>
              <w:t>849.87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0F5EB">
            <w:pPr>
              <w:jc w:val="center"/>
            </w:pPr>
            <w:r>
              <w:rPr>
                <w:rFonts w:ascii="宋体" w:hAnsi="宋体" w:eastAsia="宋体"/>
                <w:sz w:val="16"/>
              </w:rPr>
              <w:t>849.87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4A8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AC6C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ECE5B">
            <w:pPr>
              <w:jc w:val="center"/>
            </w:pPr>
            <w:r>
              <w:rPr>
                <w:rFonts w:ascii="宋体" w:hAnsi="宋体" w:eastAsia="宋体"/>
                <w:sz w:val="16"/>
              </w:rPr>
              <w:t>10.00</w:t>
            </w:r>
          </w:p>
        </w:tc>
      </w:tr>
      <w:tr w14:paraId="0FEFD5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A29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85D6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F4F3E">
            <w:pPr>
              <w:jc w:val="center"/>
            </w:pPr>
            <w:r>
              <w:rPr>
                <w:rFonts w:ascii="宋体" w:hAnsi="宋体" w:eastAsia="宋体"/>
                <w:sz w:val="16"/>
              </w:rPr>
              <w:t>849.87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96FBF">
            <w:pPr>
              <w:jc w:val="center"/>
            </w:pPr>
            <w:r>
              <w:rPr>
                <w:rFonts w:ascii="宋体" w:hAnsi="宋体" w:eastAsia="宋体"/>
                <w:sz w:val="16"/>
              </w:rPr>
              <w:t>849.87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EF64B">
            <w:pPr>
              <w:jc w:val="center"/>
            </w:pPr>
            <w:r>
              <w:rPr>
                <w:rFonts w:ascii="宋体" w:hAnsi="宋体" w:eastAsia="宋体"/>
                <w:sz w:val="16"/>
              </w:rPr>
              <w:t>849.87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1FC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F8E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7E691">
            <w:pPr>
              <w:jc w:val="center"/>
            </w:pPr>
            <w:r>
              <w:rPr>
                <w:rFonts w:ascii="宋体" w:hAnsi="宋体" w:eastAsia="宋体"/>
                <w:sz w:val="16"/>
              </w:rPr>
              <w:t>—</w:t>
            </w:r>
          </w:p>
        </w:tc>
      </w:tr>
      <w:tr w14:paraId="15EF87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8B9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8E02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C2B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078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B8D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943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A52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2D1AC">
            <w:pPr>
              <w:jc w:val="center"/>
            </w:pPr>
            <w:r>
              <w:rPr>
                <w:rFonts w:ascii="宋体" w:hAnsi="宋体" w:eastAsia="宋体"/>
                <w:sz w:val="16"/>
              </w:rPr>
              <w:t>—</w:t>
            </w:r>
          </w:p>
        </w:tc>
      </w:tr>
      <w:tr w14:paraId="11E351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61200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9F67E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1FEA20">
            <w:pPr>
              <w:jc w:val="center"/>
            </w:pPr>
            <w:r>
              <w:rPr>
                <w:rFonts w:ascii="宋体" w:hAnsi="宋体" w:eastAsia="宋体"/>
                <w:sz w:val="16"/>
              </w:rPr>
              <w:t>实际完成情况</w:t>
            </w:r>
          </w:p>
        </w:tc>
      </w:tr>
      <w:tr w14:paraId="2ECC9B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8149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94D1E6">
            <w:pPr>
              <w:jc w:val="both"/>
            </w:pPr>
            <w:r>
              <w:rPr>
                <w:rFonts w:ascii="宋体" w:hAnsi="宋体" w:eastAsia="宋体"/>
                <w:sz w:val="16"/>
              </w:rPr>
              <w:t>对伊犁汇通矿业发展有限公司，因分布于天山自然遗产禁建区和重要景观区内而被政府关停的特克斯县青布拉克铜镍矿选矿厂及周边区域的土地使用权和选矿权进行经济补偿。</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54B4D5">
            <w:pPr>
              <w:jc w:val="both"/>
            </w:pPr>
            <w:r>
              <w:rPr>
                <w:rFonts w:ascii="宋体" w:hAnsi="宋体" w:eastAsia="宋体"/>
                <w:sz w:val="16"/>
              </w:rPr>
              <w:t>2024 年，特克斯县自然资源局依政府批复，对伊犁汇通矿业关停的青布拉克铜镍矿选矿厂及周边，开展土地与选矿权补偿。预算 849.87 万元，执行率 100%，资金专用顺利收回 1 个选矿权，补偿资金支付、发放及时率均达 95%达标；资金合理投入，改善辖区基础配套与生态，助力可持续发展；受偿企业满意度 100%，远超预期，补偿工作获认可，反响佳。</w:t>
            </w:r>
          </w:p>
        </w:tc>
      </w:tr>
      <w:tr w14:paraId="3C1A68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77B3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A54C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AFBD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3D71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39F7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23CE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7419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1AD5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E04A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9EF2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8774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D3E7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2D38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3431F">
            <w:pPr>
              <w:jc w:val="center"/>
            </w:pPr>
            <w:r>
              <w:rPr>
                <w:rFonts w:ascii="宋体" w:hAnsi="宋体" w:eastAsia="宋体"/>
                <w:sz w:val="16"/>
              </w:rPr>
              <w:t>偏差原因分析及改进措施</w:t>
            </w:r>
          </w:p>
        </w:tc>
      </w:tr>
      <w:tr w14:paraId="2031A6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EEA6E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104A5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79A5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9748A">
            <w:pPr>
              <w:jc w:val="center"/>
            </w:pPr>
            <w:r>
              <w:rPr>
                <w:rFonts w:ascii="宋体" w:hAnsi="宋体" w:eastAsia="宋体"/>
                <w:sz w:val="16"/>
              </w:rPr>
              <w:t>收回选矿权个数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DA3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F926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95F1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665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156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986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9DA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A17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022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02FB0">
            <w:pPr>
              <w:jc w:val="center"/>
            </w:pPr>
          </w:p>
        </w:tc>
      </w:tr>
      <w:tr w14:paraId="64C0B3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89D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F26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BD58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26A00">
            <w:pPr>
              <w:jc w:val="center"/>
            </w:pPr>
            <w:r>
              <w:rPr>
                <w:rFonts w:ascii="宋体" w:hAnsi="宋体" w:eastAsia="宋体"/>
                <w:sz w:val="16"/>
              </w:rPr>
              <w:t>补偿资金支付完成率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C821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BFF7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345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38233">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7712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4C5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F2E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91D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921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54BF8">
            <w:pPr>
              <w:jc w:val="center"/>
            </w:pPr>
            <w:r>
              <w:rPr>
                <w:rFonts w:ascii="宋体" w:hAnsi="宋体" w:eastAsia="宋体"/>
                <w:sz w:val="16"/>
              </w:rPr>
              <w:t>原因：因资金足额到位，资金支付率比预期增加。</w:t>
            </w:r>
          </w:p>
        </w:tc>
      </w:tr>
      <w:tr w14:paraId="4B26D2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146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02E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90FF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C7CEA">
            <w:pPr>
              <w:jc w:val="center"/>
            </w:pPr>
            <w:r>
              <w:rPr>
                <w:rFonts w:ascii="宋体" w:hAnsi="宋体" w:eastAsia="宋体"/>
                <w:sz w:val="16"/>
              </w:rPr>
              <w:t>补偿发放及时率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9B9A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ECC6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C4C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05A19">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2B68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C06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861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D28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A9B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AE314">
            <w:pPr>
              <w:jc w:val="center"/>
            </w:pPr>
            <w:r>
              <w:rPr>
                <w:rFonts w:ascii="宋体" w:hAnsi="宋体" w:eastAsia="宋体"/>
                <w:sz w:val="16"/>
              </w:rPr>
              <w:t>原因：因资金足额到位，资金发放率比预期增加。</w:t>
            </w:r>
          </w:p>
        </w:tc>
      </w:tr>
      <w:tr w14:paraId="693448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40A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5E94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32D7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94AA7">
            <w:pPr>
              <w:jc w:val="center"/>
            </w:pPr>
            <w:r>
              <w:rPr>
                <w:rFonts w:ascii="宋体" w:hAnsi="宋体" w:eastAsia="宋体"/>
                <w:sz w:val="16"/>
              </w:rPr>
              <w:t>补偿款预算控制率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C1F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D363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A50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85ABE">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EF1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A84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CFE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3DD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9FA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1A56D">
            <w:pPr>
              <w:jc w:val="center"/>
            </w:pPr>
            <w:r>
              <w:rPr>
                <w:rFonts w:ascii="宋体" w:hAnsi="宋体" w:eastAsia="宋体"/>
                <w:sz w:val="16"/>
              </w:rPr>
              <w:t>原因：因资金足额到位，资金控制率比预期增加。</w:t>
            </w:r>
          </w:p>
        </w:tc>
      </w:tr>
      <w:tr w14:paraId="623988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BA4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D6E94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8389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3DEBF">
            <w:pPr>
              <w:jc w:val="center"/>
            </w:pPr>
            <w:r>
              <w:rPr>
                <w:rFonts w:ascii="宋体" w:hAnsi="宋体" w:eastAsia="宋体"/>
                <w:sz w:val="16"/>
              </w:rPr>
              <w:t>改善辖区设施等基础配套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43F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EAC28">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9AED3">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987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359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483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6C7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1FDD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8B6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BB217">
            <w:pPr>
              <w:jc w:val="center"/>
            </w:pPr>
          </w:p>
        </w:tc>
      </w:tr>
      <w:tr w14:paraId="15E117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4FA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84E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8D1CC">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2EA50">
            <w:pPr>
              <w:jc w:val="center"/>
            </w:pPr>
            <w:r>
              <w:rPr>
                <w:rFonts w:ascii="宋体" w:hAnsi="宋体" w:eastAsia="宋体"/>
                <w:sz w:val="16"/>
              </w:rPr>
              <w:t>优化辖区生态环境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0EB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331EA">
            <w:pPr>
              <w:jc w:val="center"/>
            </w:pPr>
            <w:r>
              <w:rPr>
                <w:rFonts w:ascii="宋体" w:hAnsi="宋体" w:eastAsia="宋体"/>
                <w:sz w:val="16"/>
              </w:rPr>
              <w:t>显著优化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70E0F">
            <w:pPr>
              <w:jc w:val="center"/>
            </w:pPr>
            <w:r>
              <w:rPr>
                <w:rFonts w:ascii="宋体" w:hAnsi="宋体" w:eastAsia="宋体"/>
                <w:sz w:val="16"/>
              </w:rPr>
              <w:t>显著优化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AB8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D24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566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DD5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3C64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706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E76D0">
            <w:pPr>
              <w:jc w:val="center"/>
            </w:pPr>
          </w:p>
        </w:tc>
      </w:tr>
      <w:tr w14:paraId="4AE36B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8CD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10E4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CB68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2EE80">
            <w:pPr>
              <w:jc w:val="center"/>
            </w:pPr>
            <w:r>
              <w:rPr>
                <w:rFonts w:ascii="宋体" w:hAnsi="宋体" w:eastAsia="宋体"/>
                <w:sz w:val="16"/>
              </w:rPr>
              <w:t>受补偿对象满意度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B62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7344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275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77CB0">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8C4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59A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554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B94D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5EA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D44C5">
            <w:pPr>
              <w:jc w:val="center"/>
            </w:pPr>
            <w:r>
              <w:rPr>
                <w:rFonts w:ascii="宋体" w:hAnsi="宋体" w:eastAsia="宋体"/>
                <w:sz w:val="16"/>
              </w:rPr>
              <w:t>原因：因资金足额到位，支付及时，项目完成较好，群众满意度比预期较高。</w:t>
            </w:r>
          </w:p>
        </w:tc>
      </w:tr>
      <w:tr w14:paraId="1C61BCD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BDBD3C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B7D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2A70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1E0B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EB42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0BD19">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85A9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D062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2CAD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FE80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18C6AF"/>
        </w:tc>
      </w:tr>
    </w:tbl>
    <w:p w14:paraId="3BBEF7ED">
      <w:r>
        <w:br w:type="page"/>
      </w:r>
    </w:p>
    <w:tbl>
      <w:tblPr>
        <w:tblStyle w:val="9"/>
        <w:tblW w:w="0" w:type="auto"/>
        <w:tblInd w:w="0" w:type="dxa"/>
        <w:tblLayout w:type="autofit"/>
        <w:tblCellMar>
          <w:top w:w="0" w:type="dxa"/>
          <w:left w:w="108" w:type="dxa"/>
          <w:bottom w:w="0" w:type="dxa"/>
          <w:right w:w="108" w:type="dxa"/>
        </w:tblCellMar>
      </w:tblPr>
      <w:tblGrid>
        <w:gridCol w:w="624"/>
        <w:gridCol w:w="614"/>
        <w:gridCol w:w="614"/>
        <w:gridCol w:w="625"/>
        <w:gridCol w:w="619"/>
        <w:gridCol w:w="856"/>
        <w:gridCol w:w="776"/>
        <w:gridCol w:w="625"/>
        <w:gridCol w:w="619"/>
        <w:gridCol w:w="614"/>
        <w:gridCol w:w="614"/>
        <w:gridCol w:w="615"/>
        <w:gridCol w:w="614"/>
        <w:gridCol w:w="631"/>
      </w:tblGrid>
      <w:tr w14:paraId="4DE59D82">
        <w:tblPrEx>
          <w:tblCellMar>
            <w:top w:w="0" w:type="dxa"/>
            <w:left w:w="108" w:type="dxa"/>
            <w:bottom w:w="0" w:type="dxa"/>
            <w:right w:w="108" w:type="dxa"/>
          </w:tblCellMar>
        </w:tblPrEx>
        <w:tc>
          <w:tcPr>
            <w:tcW w:w="8848" w:type="dxa"/>
            <w:gridSpan w:val="14"/>
            <w:vAlign w:val="center"/>
          </w:tcPr>
          <w:p w14:paraId="5B74B5F3">
            <w:pPr>
              <w:jc w:val="center"/>
            </w:pPr>
            <w:r>
              <w:rPr>
                <w:rFonts w:ascii="宋体" w:hAnsi="宋体" w:eastAsia="宋体"/>
                <w:sz w:val="24"/>
              </w:rPr>
              <w:t>项目支出绩效自评表</w:t>
            </w:r>
          </w:p>
        </w:tc>
      </w:tr>
      <w:tr w14:paraId="1178D1F4">
        <w:tblPrEx>
          <w:tblCellMar>
            <w:top w:w="0" w:type="dxa"/>
            <w:left w:w="108" w:type="dxa"/>
            <w:bottom w:w="0" w:type="dxa"/>
            <w:right w:w="108" w:type="dxa"/>
          </w:tblCellMar>
        </w:tblPrEx>
        <w:tc>
          <w:tcPr>
            <w:tcW w:w="8848" w:type="dxa"/>
            <w:gridSpan w:val="14"/>
            <w:vAlign w:val="center"/>
          </w:tcPr>
          <w:p w14:paraId="5C78E939">
            <w:pPr>
              <w:jc w:val="center"/>
            </w:pPr>
            <w:r>
              <w:rPr>
                <w:rFonts w:ascii="宋体" w:hAnsi="宋体" w:eastAsia="宋体"/>
                <w:sz w:val="24"/>
              </w:rPr>
              <w:t>(2024年度)</w:t>
            </w:r>
          </w:p>
        </w:tc>
      </w:tr>
      <w:tr w14:paraId="345C2E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A1B1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114AC7">
            <w:pPr>
              <w:jc w:val="center"/>
            </w:pPr>
            <w:r>
              <w:rPr>
                <w:rFonts w:ascii="宋体" w:hAnsi="宋体" w:eastAsia="宋体"/>
                <w:sz w:val="16"/>
              </w:rPr>
              <w:t>特克斯县国土空间规划编制项目</w:t>
            </w:r>
          </w:p>
        </w:tc>
      </w:tr>
      <w:tr w14:paraId="679DB3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6C9F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A75109">
            <w:pPr>
              <w:jc w:val="center"/>
            </w:pPr>
            <w:r>
              <w:rPr>
                <w:rFonts w:ascii="宋体" w:hAnsi="宋体" w:eastAsia="宋体"/>
                <w:sz w:val="16"/>
              </w:rPr>
              <w:t>特克斯县自然资源局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1A817">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667854">
            <w:pPr>
              <w:jc w:val="center"/>
            </w:pPr>
            <w:r>
              <w:rPr>
                <w:rFonts w:ascii="宋体" w:hAnsi="宋体" w:eastAsia="宋体"/>
                <w:sz w:val="16"/>
              </w:rPr>
              <w:t>特克斯县自然资源局</w:t>
            </w:r>
          </w:p>
        </w:tc>
      </w:tr>
      <w:tr w14:paraId="76DA63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AC495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93D3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361A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8D69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06DF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F8C9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A78F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B0330">
            <w:pPr>
              <w:jc w:val="center"/>
            </w:pPr>
            <w:r>
              <w:rPr>
                <w:rFonts w:ascii="宋体" w:hAnsi="宋体" w:eastAsia="宋体"/>
                <w:sz w:val="16"/>
              </w:rPr>
              <w:t>得分</w:t>
            </w:r>
          </w:p>
        </w:tc>
      </w:tr>
      <w:tr w14:paraId="34CEFA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62C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8EB6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6AC7E">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57299">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3B27E">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4CA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CAF8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15A9C">
            <w:pPr>
              <w:jc w:val="center"/>
            </w:pPr>
            <w:r>
              <w:rPr>
                <w:rFonts w:ascii="宋体" w:hAnsi="宋体" w:eastAsia="宋体"/>
                <w:sz w:val="16"/>
              </w:rPr>
              <w:t>10.00</w:t>
            </w:r>
          </w:p>
        </w:tc>
      </w:tr>
      <w:tr w14:paraId="271451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28B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CC33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B2606">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7DF37">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9319F">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06EF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74C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E3033">
            <w:pPr>
              <w:jc w:val="center"/>
            </w:pPr>
            <w:r>
              <w:rPr>
                <w:rFonts w:ascii="宋体" w:hAnsi="宋体" w:eastAsia="宋体"/>
                <w:sz w:val="16"/>
              </w:rPr>
              <w:t>—</w:t>
            </w:r>
          </w:p>
        </w:tc>
      </w:tr>
      <w:tr w14:paraId="77A985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F4E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042B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C62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63B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938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B919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B22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BCEE7">
            <w:pPr>
              <w:jc w:val="center"/>
            </w:pPr>
            <w:r>
              <w:rPr>
                <w:rFonts w:ascii="宋体" w:hAnsi="宋体" w:eastAsia="宋体"/>
                <w:sz w:val="16"/>
              </w:rPr>
              <w:t>—</w:t>
            </w:r>
          </w:p>
        </w:tc>
      </w:tr>
      <w:tr w14:paraId="4CD570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041E4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6C3C5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1D29DE">
            <w:pPr>
              <w:jc w:val="center"/>
            </w:pPr>
            <w:r>
              <w:rPr>
                <w:rFonts w:ascii="宋体" w:hAnsi="宋体" w:eastAsia="宋体"/>
                <w:sz w:val="16"/>
              </w:rPr>
              <w:t>实际完成情况</w:t>
            </w:r>
          </w:p>
        </w:tc>
      </w:tr>
      <w:tr w14:paraId="4AEA95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AD5F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8D685F">
            <w:pPr>
              <w:jc w:val="both"/>
            </w:pPr>
            <w:r>
              <w:rPr>
                <w:rFonts w:ascii="宋体" w:hAnsi="宋体" w:eastAsia="宋体"/>
                <w:sz w:val="16"/>
              </w:rPr>
              <w:t>对特克斯县域行政辖区内，总面积7353.08平方米国土空间开发利用保护战略目标与发展进行规划，促进政府治理体系和治理能力现代化，更高效率地推进社会经济整体发展。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901081">
            <w:pPr>
              <w:jc w:val="both"/>
            </w:pPr>
            <w:r>
              <w:rPr>
                <w:rFonts w:ascii="宋体" w:hAnsi="宋体" w:eastAsia="宋体"/>
                <w:sz w:val="16"/>
              </w:rPr>
              <w:t>2024 年，特克斯县国土空间规划编制项目进展顺利。项目组针对县域内 7353.08 平方米国土空间，开展开发、利用与保护规划工作，形成含 14 章 46 节的规划文本，合理布局农业、生态及城镇空间。成果先后通过自治区自然资源厅专家评审、伊犁州规划委员会审核，2024 年 7 月通过自治区审核，验收通过率 100%。规划文本及图纸、矢量数据费用均控制在 60 万元预算内。项目有效提升县域空间治理能力，公众满意度 95%，高质量完成年度目标，推动当地国土空间规划工作进步。</w:t>
            </w:r>
          </w:p>
        </w:tc>
      </w:tr>
      <w:tr w14:paraId="7F1F41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06FE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F3AE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FE0D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25CE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C63E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5F30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45F6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8D40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AF9A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5CB3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502B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0DD9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BC2C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AC4FA">
            <w:pPr>
              <w:jc w:val="center"/>
            </w:pPr>
            <w:r>
              <w:rPr>
                <w:rFonts w:ascii="宋体" w:hAnsi="宋体" w:eastAsia="宋体"/>
                <w:sz w:val="16"/>
              </w:rPr>
              <w:t>偏差原因分析及改进措施</w:t>
            </w:r>
          </w:p>
        </w:tc>
      </w:tr>
      <w:tr w14:paraId="49BD3A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C989B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40243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FDD3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926D0">
            <w:pPr>
              <w:jc w:val="center"/>
            </w:pPr>
            <w:r>
              <w:rPr>
                <w:rFonts w:ascii="宋体" w:hAnsi="宋体" w:eastAsia="宋体"/>
                <w:sz w:val="16"/>
              </w:rPr>
              <w:t>国土空间规划编制范围面积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263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1C3F5">
            <w:pPr>
              <w:jc w:val="center"/>
            </w:pPr>
            <w:r>
              <w:rPr>
                <w:rFonts w:ascii="宋体" w:hAnsi="宋体" w:eastAsia="宋体"/>
                <w:sz w:val="16"/>
              </w:rPr>
              <w:t>=7353.08平方米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F3E9E">
            <w:pPr>
              <w:jc w:val="center"/>
            </w:pPr>
            <w:r>
              <w:rPr>
                <w:rFonts w:ascii="宋体" w:hAnsi="宋体" w:eastAsia="宋体"/>
                <w:sz w:val="16"/>
              </w:rPr>
              <w:t>7353.08平方米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554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D8B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BB0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D6A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E47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8F8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C9F2E">
            <w:pPr>
              <w:jc w:val="center"/>
            </w:pPr>
          </w:p>
        </w:tc>
      </w:tr>
      <w:tr w14:paraId="06F843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BE5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F38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1905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A1D09">
            <w:pPr>
              <w:jc w:val="center"/>
            </w:pPr>
            <w:r>
              <w:rPr>
                <w:rFonts w:ascii="宋体" w:hAnsi="宋体" w:eastAsia="宋体"/>
                <w:sz w:val="16"/>
              </w:rPr>
              <w:t>编制成果通过验收率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D637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6CD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146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6E9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F1EB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B39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50E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DD6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B5F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24373">
            <w:pPr>
              <w:jc w:val="center"/>
            </w:pPr>
          </w:p>
        </w:tc>
      </w:tr>
      <w:tr w14:paraId="206325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2A6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B6C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15EA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6B195">
            <w:pPr>
              <w:jc w:val="center"/>
            </w:pPr>
            <w:r>
              <w:rPr>
                <w:rFonts w:ascii="宋体" w:hAnsi="宋体" w:eastAsia="宋体"/>
                <w:sz w:val="16"/>
              </w:rPr>
              <w:t>按时间节点完成工作比例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80C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0F2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B42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325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D71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900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3E8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616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605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38848">
            <w:pPr>
              <w:jc w:val="center"/>
            </w:pPr>
          </w:p>
        </w:tc>
      </w:tr>
      <w:tr w14:paraId="06BCA2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F251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08012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E419E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5F02A">
            <w:pPr>
              <w:jc w:val="center"/>
            </w:pPr>
            <w:r>
              <w:rPr>
                <w:rFonts w:ascii="宋体" w:hAnsi="宋体" w:eastAsia="宋体"/>
                <w:sz w:val="16"/>
              </w:rPr>
              <w:t>规划文本及图纸</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7F9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9B0E7">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0D5ED">
            <w:pPr>
              <w:jc w:val="center"/>
            </w:pPr>
            <w:r>
              <w:rPr>
                <w:rFonts w:ascii="宋体" w:hAnsi="宋体" w:eastAsia="宋体"/>
                <w:sz w:val="16"/>
              </w:rPr>
              <w: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407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EB7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2B8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159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34D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0E2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E5712">
            <w:pPr>
              <w:jc w:val="center"/>
            </w:pPr>
          </w:p>
        </w:tc>
      </w:tr>
      <w:tr w14:paraId="2E3EA4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A47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378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D02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DC0D1">
            <w:pPr>
              <w:jc w:val="center"/>
            </w:pPr>
            <w:r>
              <w:rPr>
                <w:rFonts w:ascii="宋体" w:hAnsi="宋体" w:eastAsia="宋体"/>
                <w:sz w:val="16"/>
              </w:rPr>
              <w:t>相关矢量数据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4E3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B2E02">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39B37">
            <w:pPr>
              <w:jc w:val="center"/>
            </w:pPr>
            <w:r>
              <w:rPr>
                <w:rFonts w:ascii="宋体" w:hAnsi="宋体" w:eastAsia="宋体"/>
                <w:sz w:val="16"/>
              </w:rPr>
              <w: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3F8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79E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F51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CA9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5C9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0F4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091FD">
            <w:pPr>
              <w:jc w:val="center"/>
            </w:pPr>
          </w:p>
        </w:tc>
      </w:tr>
      <w:tr w14:paraId="1EA9F1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716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2FC5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ED67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2A80D">
            <w:pPr>
              <w:jc w:val="center"/>
            </w:pPr>
            <w:r>
              <w:rPr>
                <w:rFonts w:ascii="宋体" w:hAnsi="宋体" w:eastAsia="宋体"/>
                <w:sz w:val="16"/>
              </w:rPr>
              <w:t>形成可持续发展空间蓝图，提升空间治理能力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46D7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0D9E8">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9C54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1B0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A37E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A37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D93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C3BD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831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18CDF">
            <w:pPr>
              <w:jc w:val="center"/>
            </w:pPr>
          </w:p>
        </w:tc>
      </w:tr>
      <w:tr w14:paraId="4B7F16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7F2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267B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C69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613F1">
            <w:pPr>
              <w:jc w:val="center"/>
            </w:pPr>
            <w:r>
              <w:rPr>
                <w:rFonts w:ascii="宋体" w:hAnsi="宋体" w:eastAsia="宋体"/>
                <w:sz w:val="16"/>
              </w:rPr>
              <w:t>社会公众满意度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D2C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1FD5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7BE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BA28B">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664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DD2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122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A0E0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21E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56BE3">
            <w:pPr>
              <w:jc w:val="center"/>
            </w:pPr>
            <w:r>
              <w:rPr>
                <w:rFonts w:ascii="宋体" w:hAnsi="宋体" w:eastAsia="宋体"/>
                <w:sz w:val="16"/>
              </w:rPr>
              <w:t>原因：项目完成较好，公众满意度较高，超出预期目标。</w:t>
            </w:r>
          </w:p>
        </w:tc>
      </w:tr>
      <w:tr w14:paraId="370D6FD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60A20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ACA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1B28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0DDA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7910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DE879">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DFAB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9CED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648E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E1BD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5B497F"/>
        </w:tc>
      </w:tr>
    </w:tbl>
    <w:p w14:paraId="2037D52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452D218D">
        <w:tblPrEx>
          <w:tblCellMar>
            <w:top w:w="0" w:type="dxa"/>
            <w:left w:w="108" w:type="dxa"/>
            <w:bottom w:w="0" w:type="dxa"/>
            <w:right w:w="108" w:type="dxa"/>
          </w:tblCellMar>
        </w:tblPrEx>
        <w:tc>
          <w:tcPr>
            <w:tcW w:w="8848" w:type="dxa"/>
            <w:gridSpan w:val="14"/>
            <w:vAlign w:val="center"/>
          </w:tcPr>
          <w:p w14:paraId="2E11BFAD">
            <w:pPr>
              <w:jc w:val="center"/>
            </w:pPr>
            <w:r>
              <w:rPr>
                <w:rFonts w:ascii="宋体" w:hAnsi="宋体" w:eastAsia="宋体"/>
                <w:sz w:val="24"/>
              </w:rPr>
              <w:t>项目支出绩效自评表</w:t>
            </w:r>
          </w:p>
        </w:tc>
      </w:tr>
      <w:tr w14:paraId="16209A2A">
        <w:tblPrEx>
          <w:tblCellMar>
            <w:top w:w="0" w:type="dxa"/>
            <w:left w:w="108" w:type="dxa"/>
            <w:bottom w:w="0" w:type="dxa"/>
            <w:right w:w="108" w:type="dxa"/>
          </w:tblCellMar>
        </w:tblPrEx>
        <w:tc>
          <w:tcPr>
            <w:tcW w:w="8848" w:type="dxa"/>
            <w:gridSpan w:val="14"/>
            <w:vAlign w:val="center"/>
          </w:tcPr>
          <w:p w14:paraId="3AD04751">
            <w:pPr>
              <w:jc w:val="center"/>
            </w:pPr>
            <w:r>
              <w:rPr>
                <w:rFonts w:ascii="宋体" w:hAnsi="宋体" w:eastAsia="宋体"/>
                <w:sz w:val="24"/>
              </w:rPr>
              <w:t>(2024年度)</w:t>
            </w:r>
          </w:p>
        </w:tc>
      </w:tr>
      <w:tr w14:paraId="0C3592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F80F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8B4A93E">
            <w:pPr>
              <w:jc w:val="center"/>
            </w:pPr>
            <w:r>
              <w:rPr>
                <w:rFonts w:ascii="宋体" w:hAnsi="宋体" w:eastAsia="宋体"/>
                <w:sz w:val="16"/>
              </w:rPr>
              <w:t>职工缴纳餐费</w:t>
            </w:r>
          </w:p>
        </w:tc>
      </w:tr>
      <w:tr w14:paraId="0982E6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185E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91C5CC">
            <w:pPr>
              <w:jc w:val="center"/>
            </w:pPr>
            <w:r>
              <w:rPr>
                <w:rFonts w:ascii="宋体" w:hAnsi="宋体" w:eastAsia="宋体"/>
                <w:sz w:val="16"/>
              </w:rPr>
              <w:t>特克斯县自然资源局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5311F">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FFFFF0">
            <w:pPr>
              <w:jc w:val="center"/>
            </w:pPr>
            <w:r>
              <w:rPr>
                <w:rFonts w:ascii="宋体" w:hAnsi="宋体" w:eastAsia="宋体"/>
                <w:sz w:val="16"/>
              </w:rPr>
              <w:t>特克斯县自然资源局</w:t>
            </w:r>
          </w:p>
        </w:tc>
      </w:tr>
      <w:tr w14:paraId="56F8C0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7A519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9274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FE7E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3B7C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94CB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6A65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0560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85BC0">
            <w:pPr>
              <w:jc w:val="center"/>
            </w:pPr>
            <w:r>
              <w:rPr>
                <w:rFonts w:ascii="宋体" w:hAnsi="宋体" w:eastAsia="宋体"/>
                <w:sz w:val="16"/>
              </w:rPr>
              <w:t>得分</w:t>
            </w:r>
          </w:p>
        </w:tc>
      </w:tr>
      <w:tr w14:paraId="0FA3E5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FD7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1F72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29186">
            <w:pPr>
              <w:jc w:val="center"/>
            </w:pPr>
            <w:r>
              <w:rPr>
                <w:rFonts w:ascii="宋体" w:hAnsi="宋体" w:eastAsia="宋体"/>
                <w:sz w:val="16"/>
              </w:rPr>
              <w:t>5.65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5EE76">
            <w:pPr>
              <w:jc w:val="center"/>
            </w:pPr>
            <w:r>
              <w:rPr>
                <w:rFonts w:ascii="宋体" w:hAnsi="宋体" w:eastAsia="宋体"/>
                <w:sz w:val="16"/>
              </w:rPr>
              <w:t>5.65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1E4D4">
            <w:pPr>
              <w:jc w:val="center"/>
            </w:pPr>
            <w:r>
              <w:rPr>
                <w:rFonts w:ascii="宋体" w:hAnsi="宋体" w:eastAsia="宋体"/>
                <w:sz w:val="16"/>
              </w:rPr>
              <w:t>5.65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62E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0FB1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15FA9">
            <w:pPr>
              <w:jc w:val="center"/>
            </w:pPr>
            <w:r>
              <w:rPr>
                <w:rFonts w:ascii="宋体" w:hAnsi="宋体" w:eastAsia="宋体"/>
                <w:sz w:val="16"/>
              </w:rPr>
              <w:t>10.00</w:t>
            </w:r>
          </w:p>
        </w:tc>
      </w:tr>
      <w:tr w14:paraId="35D48E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2A5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17F7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DD9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CA3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72D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5E8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DF7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9A4D0">
            <w:pPr>
              <w:jc w:val="center"/>
            </w:pPr>
            <w:r>
              <w:rPr>
                <w:rFonts w:ascii="宋体" w:hAnsi="宋体" w:eastAsia="宋体"/>
                <w:sz w:val="16"/>
              </w:rPr>
              <w:t>—</w:t>
            </w:r>
          </w:p>
        </w:tc>
      </w:tr>
      <w:tr w14:paraId="51FCD6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DE9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CEAE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4BA73">
            <w:pPr>
              <w:jc w:val="center"/>
            </w:pPr>
            <w:r>
              <w:rPr>
                <w:rFonts w:ascii="宋体" w:hAnsi="宋体" w:eastAsia="宋体"/>
                <w:sz w:val="16"/>
              </w:rPr>
              <w:t>5.65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73CC1">
            <w:pPr>
              <w:jc w:val="center"/>
            </w:pPr>
            <w:r>
              <w:rPr>
                <w:rFonts w:ascii="宋体" w:hAnsi="宋体" w:eastAsia="宋体"/>
                <w:sz w:val="16"/>
              </w:rPr>
              <w:t>5.65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8CC05">
            <w:pPr>
              <w:jc w:val="center"/>
            </w:pPr>
            <w:r>
              <w:rPr>
                <w:rFonts w:ascii="宋体" w:hAnsi="宋体" w:eastAsia="宋体"/>
                <w:sz w:val="16"/>
              </w:rPr>
              <w:t>5.65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B55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045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0D7C5">
            <w:pPr>
              <w:jc w:val="center"/>
            </w:pPr>
            <w:r>
              <w:rPr>
                <w:rFonts w:ascii="宋体" w:hAnsi="宋体" w:eastAsia="宋体"/>
                <w:sz w:val="16"/>
              </w:rPr>
              <w:t>—</w:t>
            </w:r>
          </w:p>
        </w:tc>
      </w:tr>
      <w:tr w14:paraId="4A01B7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98F2A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E96A6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12A911">
            <w:pPr>
              <w:jc w:val="center"/>
            </w:pPr>
            <w:r>
              <w:rPr>
                <w:rFonts w:ascii="宋体" w:hAnsi="宋体" w:eastAsia="宋体"/>
                <w:sz w:val="16"/>
              </w:rPr>
              <w:t>实际完成情况</w:t>
            </w:r>
          </w:p>
        </w:tc>
      </w:tr>
      <w:tr w14:paraId="18AAB1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E8B1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62AF05">
            <w:pPr>
              <w:jc w:val="both"/>
            </w:pPr>
            <w:r>
              <w:rPr>
                <w:rFonts w:ascii="宋体" w:hAnsi="宋体" w:eastAsia="宋体"/>
                <w:sz w:val="16"/>
              </w:rPr>
              <w:t>收缴职工缴纳餐费，保证职工食堂正常运转，有效提高职工的生活质量和工作的积极性。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C586DE">
            <w:pPr>
              <w:jc w:val="both"/>
            </w:pPr>
            <w:r>
              <w:rPr>
                <w:rFonts w:ascii="宋体" w:hAnsi="宋体" w:eastAsia="宋体"/>
                <w:sz w:val="16"/>
              </w:rPr>
              <w:t>2024 年，职工缴纳餐费项目目标圆满达成。全年收缴餐费 5.65 万元，足额投入食堂运营，每日稳定出餐 3 次，食品安全保障率 100%，人均月餐费 220 元。优质餐饮服务提升职工积极性、生活质量与团队凝聚力。但职工满意度为 95%，因菜品不合需求。后续将收集意见，优化菜品与服务，提升用餐体验及满意度。</w:t>
            </w:r>
          </w:p>
        </w:tc>
      </w:tr>
      <w:tr w14:paraId="002388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E7C1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A6AF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3975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EE4F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D020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0311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7CE5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2158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67B6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B485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8B24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80EC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E7A6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2A1A8">
            <w:pPr>
              <w:jc w:val="center"/>
            </w:pPr>
            <w:r>
              <w:rPr>
                <w:rFonts w:ascii="宋体" w:hAnsi="宋体" w:eastAsia="宋体"/>
                <w:sz w:val="16"/>
              </w:rPr>
              <w:t>偏差原因分析及改进措施</w:t>
            </w:r>
          </w:p>
        </w:tc>
      </w:tr>
      <w:tr w14:paraId="7CD487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E0DC6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C0CC4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632FC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A3AAD">
            <w:pPr>
              <w:jc w:val="center"/>
            </w:pPr>
            <w:r>
              <w:rPr>
                <w:rFonts w:ascii="宋体" w:hAnsi="宋体" w:eastAsia="宋体"/>
                <w:sz w:val="16"/>
              </w:rPr>
              <w:t>职工食堂数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DE6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4E17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8C47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1A7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4C3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2E1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0A0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E0D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2D0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F2A17">
            <w:pPr>
              <w:jc w:val="center"/>
            </w:pPr>
          </w:p>
        </w:tc>
      </w:tr>
      <w:tr w14:paraId="0D39DB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49B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C8C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7FE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00B04">
            <w:pPr>
              <w:jc w:val="center"/>
            </w:pPr>
            <w:r>
              <w:rPr>
                <w:rFonts w:ascii="宋体" w:hAnsi="宋体" w:eastAsia="宋体"/>
                <w:sz w:val="16"/>
              </w:rPr>
              <w:t>每日出餐次数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66F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1978E">
            <w:pPr>
              <w:jc w:val="center"/>
            </w:pPr>
            <w:r>
              <w:rPr>
                <w:rFonts w:ascii="宋体" w:hAnsi="宋体" w:eastAsia="宋体"/>
                <w:sz w:val="16"/>
              </w:rPr>
              <w:t>&lt;=3次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DD70E">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6F2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449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DD7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DEC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1A3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BFD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8DDE6">
            <w:pPr>
              <w:jc w:val="center"/>
            </w:pPr>
          </w:p>
        </w:tc>
      </w:tr>
      <w:tr w14:paraId="6CC841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7D4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4C4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E298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476EC">
            <w:pPr>
              <w:jc w:val="center"/>
            </w:pPr>
            <w:r>
              <w:rPr>
                <w:rFonts w:ascii="宋体" w:hAnsi="宋体" w:eastAsia="宋体"/>
                <w:sz w:val="16"/>
              </w:rPr>
              <w:t>食品质量安全保障率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EF6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705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40E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0AD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655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11D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F3B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8D1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EDD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278C9">
            <w:pPr>
              <w:jc w:val="center"/>
            </w:pPr>
          </w:p>
        </w:tc>
      </w:tr>
      <w:tr w14:paraId="4B4CA8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530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F31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D602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449BF">
            <w:pPr>
              <w:jc w:val="center"/>
            </w:pPr>
            <w:r>
              <w:rPr>
                <w:rFonts w:ascii="宋体" w:hAnsi="宋体" w:eastAsia="宋体"/>
                <w:sz w:val="16"/>
              </w:rPr>
              <w:t>使用年限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D3B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8EFA0">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5EC31">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E11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CE4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39A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189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AC5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F2A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B9D36">
            <w:pPr>
              <w:jc w:val="center"/>
            </w:pPr>
          </w:p>
        </w:tc>
      </w:tr>
      <w:tr w14:paraId="12126A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52F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81AC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233F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DFE01">
            <w:pPr>
              <w:jc w:val="center"/>
            </w:pPr>
            <w:r>
              <w:rPr>
                <w:rFonts w:ascii="宋体" w:hAnsi="宋体" w:eastAsia="宋体"/>
                <w:sz w:val="16"/>
              </w:rPr>
              <w:t>人均餐费收缴标准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DD20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E5837">
            <w:pPr>
              <w:jc w:val="center"/>
            </w:pPr>
            <w:r>
              <w:rPr>
                <w:rFonts w:ascii="宋体" w:hAnsi="宋体" w:eastAsia="宋体"/>
                <w:sz w:val="16"/>
              </w:rPr>
              <w:t>&lt;=220元/月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6C6CA">
            <w:pPr>
              <w:jc w:val="center"/>
            </w:pPr>
            <w:r>
              <w:rPr>
                <w:rFonts w:ascii="宋体" w:hAnsi="宋体" w:eastAsia="宋体"/>
                <w:sz w:val="16"/>
              </w:rPr>
              <w:t>220元/月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A7D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9BE6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732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9BF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B59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447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BFA25">
            <w:pPr>
              <w:jc w:val="center"/>
            </w:pPr>
          </w:p>
        </w:tc>
      </w:tr>
      <w:tr w14:paraId="608B74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B88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C5C2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A44A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30EAF">
            <w:pPr>
              <w:jc w:val="center"/>
            </w:pPr>
            <w:r>
              <w:rPr>
                <w:rFonts w:ascii="宋体" w:hAnsi="宋体" w:eastAsia="宋体"/>
                <w:sz w:val="16"/>
              </w:rPr>
              <w:t>职工用餐保障工作的积极性提高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6780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E61E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C9E5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084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0BD5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CDE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DAD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CE0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9F4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7054D">
            <w:pPr>
              <w:jc w:val="center"/>
            </w:pPr>
          </w:p>
        </w:tc>
      </w:tr>
      <w:tr w14:paraId="562AFE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2B2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A9F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9CB7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9ABEB">
            <w:pPr>
              <w:jc w:val="center"/>
            </w:pPr>
            <w:r>
              <w:rPr>
                <w:rFonts w:ascii="宋体" w:hAnsi="宋体" w:eastAsia="宋体"/>
                <w:sz w:val="16"/>
              </w:rPr>
              <w:t>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A6F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2EC8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E15D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D34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074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416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E38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23E6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755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E2AC6">
            <w:pPr>
              <w:jc w:val="center"/>
            </w:pPr>
            <w:r>
              <w:rPr>
                <w:rFonts w:ascii="宋体" w:hAnsi="宋体" w:eastAsia="宋体"/>
                <w:sz w:val="16"/>
              </w:rPr>
              <w:t>原因：食堂菜品未达到职工需求。改进措施：进一步收集职工反馈意见，优化食堂菜品、服务等方面，提升职工用餐体验，争取在未来实现更高的满意度</w:t>
            </w:r>
          </w:p>
        </w:tc>
      </w:tr>
      <w:tr w14:paraId="7A551F2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644EAC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B45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A002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88B9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820C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69369">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E470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D76F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0034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3827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64B509"/>
        </w:tc>
      </w:tr>
    </w:tbl>
    <w:p w14:paraId="42ABC018">
      <w:r>
        <w:br w:type="page"/>
      </w:r>
    </w:p>
    <w:p w14:paraId="4F4E9AB1">
      <w:pPr>
        <w:spacing w:line="640" w:lineRule="exact"/>
        <w:ind w:firstLine="640"/>
        <w:jc w:val="both"/>
        <w:outlineLvl w:val="2"/>
      </w:pPr>
      <w:r>
        <w:rPr>
          <w:rFonts w:ascii="黑体" w:hAnsi="黑体" w:eastAsia="黑体"/>
          <w:sz w:val="32"/>
        </w:rPr>
        <w:t>十二、其他需说明的事项</w:t>
      </w:r>
    </w:p>
    <w:p w14:paraId="490121AE">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72695B56">
      <w:r>
        <w:br w:type="page"/>
      </w:r>
    </w:p>
    <w:p w14:paraId="2847D19B">
      <w:pPr>
        <w:spacing w:line="240" w:lineRule="auto"/>
        <w:jc w:val="center"/>
        <w:outlineLvl w:val="1"/>
      </w:pPr>
      <w:r>
        <w:rPr>
          <w:rFonts w:ascii="黑体" w:hAnsi="黑体" w:eastAsia="黑体"/>
          <w:sz w:val="32"/>
        </w:rPr>
        <w:t>第三部分 专业名词解释</w:t>
      </w:r>
    </w:p>
    <w:p w14:paraId="72858C1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214801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5CB45EF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573E3FC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071D81FE">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65E89AB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600517E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E4AE63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CFEABA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14DB6C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43516C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732EED86">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31B078E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30955EC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304B81B7">
      <w:r>
        <w:br w:type="page"/>
      </w:r>
    </w:p>
    <w:p w14:paraId="23BB2DD1">
      <w:pPr>
        <w:spacing w:line="240" w:lineRule="auto"/>
        <w:jc w:val="center"/>
        <w:outlineLvl w:val="1"/>
      </w:pPr>
      <w:r>
        <w:rPr>
          <w:rFonts w:ascii="黑体" w:hAnsi="黑体" w:eastAsia="黑体"/>
          <w:sz w:val="32"/>
        </w:rPr>
        <w:t>第四部分 部门决算报表（见附表）</w:t>
      </w:r>
    </w:p>
    <w:p w14:paraId="7B9833C5">
      <w:pPr>
        <w:spacing w:line="240" w:lineRule="auto"/>
        <w:ind w:firstLine="640"/>
        <w:jc w:val="both"/>
      </w:pPr>
      <w:r>
        <w:rPr>
          <w:rFonts w:ascii="仿宋_GB2312" w:hAnsi="仿宋_GB2312" w:eastAsia="仿宋_GB2312"/>
          <w:b w:val="0"/>
          <w:sz w:val="32"/>
        </w:rPr>
        <w:t>一、《收入支出决算总表》</w:t>
      </w:r>
    </w:p>
    <w:p w14:paraId="6B7FC9DA">
      <w:pPr>
        <w:spacing w:line="240" w:lineRule="auto"/>
        <w:ind w:firstLine="640"/>
        <w:jc w:val="both"/>
      </w:pPr>
      <w:r>
        <w:rPr>
          <w:rFonts w:ascii="仿宋_GB2312" w:hAnsi="仿宋_GB2312" w:eastAsia="仿宋_GB2312"/>
          <w:b w:val="0"/>
          <w:sz w:val="32"/>
        </w:rPr>
        <w:t>二、《收入决算表》</w:t>
      </w:r>
    </w:p>
    <w:p w14:paraId="702C035E">
      <w:pPr>
        <w:spacing w:line="240" w:lineRule="auto"/>
        <w:ind w:firstLine="640"/>
        <w:jc w:val="both"/>
      </w:pPr>
      <w:r>
        <w:rPr>
          <w:rFonts w:ascii="仿宋_GB2312" w:hAnsi="仿宋_GB2312" w:eastAsia="仿宋_GB2312"/>
          <w:b w:val="0"/>
          <w:sz w:val="32"/>
        </w:rPr>
        <w:t>三、《支出决算表》</w:t>
      </w:r>
    </w:p>
    <w:p w14:paraId="1D1F8A51">
      <w:pPr>
        <w:spacing w:line="240" w:lineRule="auto"/>
        <w:ind w:firstLine="640"/>
        <w:jc w:val="both"/>
      </w:pPr>
      <w:r>
        <w:rPr>
          <w:rFonts w:ascii="仿宋_GB2312" w:hAnsi="仿宋_GB2312" w:eastAsia="仿宋_GB2312"/>
          <w:b w:val="0"/>
          <w:sz w:val="32"/>
        </w:rPr>
        <w:t>四、《财政拨款收入支出决算总表》</w:t>
      </w:r>
    </w:p>
    <w:p w14:paraId="7C943773">
      <w:pPr>
        <w:spacing w:line="240" w:lineRule="auto"/>
        <w:ind w:firstLine="640"/>
        <w:jc w:val="both"/>
      </w:pPr>
      <w:r>
        <w:rPr>
          <w:rFonts w:ascii="仿宋_GB2312" w:hAnsi="仿宋_GB2312" w:eastAsia="仿宋_GB2312"/>
          <w:b w:val="0"/>
          <w:sz w:val="32"/>
        </w:rPr>
        <w:t>五、《一般公共预算财政拨款支出决算表》</w:t>
      </w:r>
    </w:p>
    <w:p w14:paraId="5A94BA5D">
      <w:pPr>
        <w:spacing w:line="240" w:lineRule="auto"/>
        <w:ind w:firstLine="640"/>
        <w:jc w:val="both"/>
      </w:pPr>
      <w:r>
        <w:rPr>
          <w:rFonts w:ascii="仿宋_GB2312" w:hAnsi="仿宋_GB2312" w:eastAsia="仿宋_GB2312"/>
          <w:b w:val="0"/>
          <w:sz w:val="32"/>
        </w:rPr>
        <w:t>六、《一般公共预算财政拨款基本支出决算表》</w:t>
      </w:r>
    </w:p>
    <w:p w14:paraId="5879366A">
      <w:pPr>
        <w:spacing w:line="240" w:lineRule="auto"/>
        <w:ind w:firstLine="640"/>
        <w:jc w:val="both"/>
      </w:pPr>
      <w:r>
        <w:rPr>
          <w:rFonts w:ascii="仿宋_GB2312" w:hAnsi="仿宋_GB2312" w:eastAsia="仿宋_GB2312"/>
          <w:b w:val="0"/>
          <w:sz w:val="32"/>
        </w:rPr>
        <w:t>七、《政府性基金预算财政拨款收入支出决算表》</w:t>
      </w:r>
    </w:p>
    <w:p w14:paraId="1CAEE649">
      <w:pPr>
        <w:spacing w:line="240" w:lineRule="auto"/>
        <w:ind w:firstLine="640"/>
        <w:jc w:val="both"/>
      </w:pPr>
      <w:r>
        <w:rPr>
          <w:rFonts w:ascii="仿宋_GB2312" w:hAnsi="仿宋_GB2312" w:eastAsia="仿宋_GB2312"/>
          <w:b w:val="0"/>
          <w:sz w:val="32"/>
        </w:rPr>
        <w:t>八、《国有资本经营预算财政拨款收入支出决算表》</w:t>
      </w:r>
    </w:p>
    <w:p w14:paraId="49C3DBFB">
      <w:pPr>
        <w:spacing w:line="240" w:lineRule="auto"/>
        <w:ind w:firstLine="640"/>
        <w:jc w:val="both"/>
      </w:pPr>
      <w:r>
        <w:rPr>
          <w:rFonts w:ascii="仿宋_GB2312" w:hAnsi="仿宋_GB2312" w:eastAsia="仿宋_GB2312"/>
          <w:b w:val="0"/>
          <w:sz w:val="32"/>
        </w:rPr>
        <w:t>九、《财政拨款“三公”经费支出决算表》</w:t>
      </w:r>
    </w:p>
    <w:p w14:paraId="31805236">
      <w:pPr>
        <w:spacing w:line="240" w:lineRule="auto"/>
        <w:ind w:firstLine="640"/>
        <w:jc w:val="both"/>
      </w:pPr>
    </w:p>
    <w:p w14:paraId="0D21F571">
      <w:pPr>
        <w:spacing w:line="240" w:lineRule="auto"/>
        <w:ind w:firstLine="640"/>
        <w:jc w:val="both"/>
      </w:pPr>
    </w:p>
    <w:p w14:paraId="23355C45">
      <w:pPr>
        <w:spacing w:line="240" w:lineRule="auto"/>
        <w:ind w:firstLine="640"/>
        <w:jc w:val="both"/>
      </w:pPr>
    </w:p>
    <w:p w14:paraId="6AEF0800">
      <w:pPr>
        <w:spacing w:line="240" w:lineRule="auto"/>
        <w:ind w:firstLine="640"/>
        <w:jc w:val="both"/>
      </w:pPr>
    </w:p>
    <w:p w14:paraId="39D0DFF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40F2D0D-885C-4DBB-9313-EF7AB96FB8B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8BF6C30F-3A2B-4033-8F70-93894B528143}"/>
  </w:font>
  <w:font w:name="仿宋_GB2312">
    <w:panose1 w:val="02010609030101010101"/>
    <w:charset w:val="86"/>
    <w:family w:val="modern"/>
    <w:pitch w:val="default"/>
    <w:sig w:usb0="00000001" w:usb1="080E0000" w:usb2="00000000" w:usb3="00000000" w:csb0="00040000" w:csb1="00000000"/>
    <w:embedRegular r:id="rId3" w:fontKey="{24E3315B-4174-45C3-9367-F3E7DF1EE357}"/>
  </w:font>
  <w:font w:name="楷体_GB2312">
    <w:panose1 w:val="02010609030101010101"/>
    <w:charset w:val="86"/>
    <w:family w:val="auto"/>
    <w:pitch w:val="default"/>
    <w:sig w:usb0="00000001" w:usb1="080E0000" w:usb2="00000000" w:usb3="00000000" w:csb0="00040000" w:csb1="00000000"/>
    <w:embedRegular r:id="rId4" w:fontKey="{8E14DFF6-89B3-481B-8E3C-B46263F5B532}"/>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9DB47FE"/>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95C3B66"/>
    <w:rsid w:val="5A7631A9"/>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024817"/>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0de113b6-82a6-4b48-a747-2ebdae8dc7c8</errorID>
      <errorWord>勘查</errorWord>
      <group>L1_Word</group>
      <groupName>字词问题</groupName>
      <ability>L2_Typo</ability>
      <abilityName>字词错误</abilityName>
      <candidateList>
        <item>勘察</item>
      </candidateList>
      <explain>〈动〉进行实地调查或查看（多用于采矿或工程施工前）：～现场｜～地形。也作勘查。</explain>
      <paraID> 3096D0E</paraID>
      <start>9</start>
      <end>11</end>
      <status>modified</status>
      <modifiedWord>勘察</modifiedWord>
      <trackRevisions>false</trackRevisions>
    </reviewItem>
    <reviewItem>
      <errorID>0cfd20f4-5dec-413f-8863-ec57ed03b7fc</errorID>
      <errorWord>拆迁补偿</errorWord>
      <group>L1_Sensitive</group>
      <groupName>敏感问题</groupName>
      <ability>L2_UserSensitive</ability>
      <abilityName>自定义敏感词</abilityName>
      <candidateList/>
      <explain>来自自定义敏感词库。</explain>
      <paraID>14C73831</paraID>
      <start>33</start>
      <end>37</end>
      <status>unmodified</status>
      <modifiedWord/>
      <trackRevisions>false</trackRevisions>
    </reviewItem>
    <reviewItem>
      <errorID>06d88578-3f01-4039-ad3e-6a94c3c5da76</errorID>
      <errorWord>2月31日</errorWord>
      <group>L1_Sensitive</group>
      <groupName>敏感问题</groupName>
      <ability>L2_UserSensitive</ability>
      <abilityName>自定义敏感词</abilityName>
      <candidateList/>
      <explain>来自自定义敏感词库。</explain>
      <paraID>70F07045</paraID>
      <start>8</start>
      <end>13</end>
      <status>unmodified</status>
      <modifiedWord/>
      <trackRevisions>false</trackRevisions>
    </reviewItem>
    <reviewItem>
      <errorID>160d4ab8-e59c-4915-af41-944ebee73816</errorID>
      <errorWord>监控</errorWord>
      <group>L1_Sensitive</group>
      <groupName>敏感问题</groupName>
      <ability>L2_UserSensitive</ability>
      <abilityName>自定义敏感词</abilityName>
      <candidateList/>
      <explain>来自自定义敏感词库。</explain>
      <paraID>3D000050</paraID>
      <start>334</start>
      <end>336</end>
      <status>unmodified</status>
      <modifiedWord/>
      <trackRevisions>false</trackRevisions>
    </reviewItem>
    <reviewItem>
      <errorID>47cd02d6-11f9-4aad-8028-d5b90c608ab1</errorID>
      <errorWord>财政审批</errorWord>
      <group>L1_Knowledge</group>
      <groupName>知识性问题</groupName>
      <ability>L2_Term</ability>
      <abilityName>专业术语</abilityName>
      <candidateList>
        <item>行政审批</item>
      </candidateList>
      <explain/>
      <paraID>5C1DFC9F</paraID>
      <start>4</start>
      <end>8</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fbab40-96f7-4e43-8192-561c84cdd96f}">
  <ds:schemaRefs/>
</ds:datastoreItem>
</file>

<file path=docProps/app.xml><?xml version="1.0" encoding="utf-8"?>
<Properties xmlns="http://schemas.openxmlformats.org/officeDocument/2006/extended-properties" xmlns:vt="http://schemas.openxmlformats.org/officeDocument/2006/docPropsVTypes">
  <Template>Normal.dotm</Template>
  <Pages>40</Pages>
  <Words>6407</Words>
  <Characters>7347</Characters>
  <Lines>0</Lines>
  <Paragraphs>0</Paragraphs>
  <TotalTime>5</TotalTime>
  <ScaleCrop>false</ScaleCrop>
  <LinksUpToDate>false</LinksUpToDate>
  <CharactersWithSpaces>7355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2025-08-28T09:40:29Z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