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C87D03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特克斯县齐勒乌泽克镇人民政府2024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D6008A">
      <w:r>
        <w:br w:type="page"/>
      </w:r>
    </w:p>
    <w:p w14:paraId="0C48EF90">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5911F77">
      <w:pPr>
        <w:spacing w:line="640" w:lineRule="exact"/>
        <w:ind w:firstLine="640"/>
        <w:jc w:val="both"/>
        <w:outlineLvl w:val="2"/>
      </w:pPr>
      <w:r>
        <w:rPr>
          <w:rFonts w:ascii="黑体" w:hAnsi="黑体" w:eastAsia="黑体"/>
          <w:sz w:val="32"/>
        </w:rPr>
        <w:t>一、主要职能</w:t>
      </w:r>
    </w:p>
    <w:p w14:paraId="22875A76">
      <w:pPr>
        <w:spacing w:line="580" w:lineRule="exact"/>
        <w:ind w:firstLine="640"/>
        <w:jc w:val="both"/>
      </w:pPr>
      <w:r>
        <w:rPr>
          <w:rFonts w:ascii="仿宋_GB2312" w:hAnsi="仿宋_GB2312" w:eastAsia="仿宋_GB2312"/>
          <w:sz w:val="32"/>
        </w:rPr>
        <w:t>行政</w:t>
      </w:r>
      <w:r>
        <w:rPr>
          <w:rFonts w:hint="eastAsia" w:ascii="仿宋_GB2312" w:hAnsi="仿宋_GB2312" w:eastAsia="仿宋_GB2312"/>
          <w:sz w:val="32"/>
          <w:lang w:eastAsia="zh-CN"/>
        </w:rPr>
        <w:t>单位</w:t>
      </w:r>
      <w:r>
        <w:rPr>
          <w:rFonts w:ascii="仿宋_GB2312" w:hAnsi="仿宋_GB2312" w:eastAsia="仿宋_GB2312"/>
          <w:sz w:val="32"/>
        </w:rPr>
        <w:t>。</w:t>
      </w:r>
    </w:p>
    <w:p w14:paraId="7632677E">
      <w:pPr>
        <w:spacing w:line="580" w:lineRule="exact"/>
        <w:ind w:firstLine="640"/>
        <w:jc w:val="both"/>
      </w:pPr>
      <w:r>
        <w:rPr>
          <w:rFonts w:ascii="仿宋_GB2312" w:hAnsi="仿宋_GB2312" w:eastAsia="仿宋_GB2312"/>
          <w:sz w:val="32"/>
        </w:rPr>
        <w:t>1.党政综合办公室。主要负责文秘、档案、翻译、综合协调、后勤保障等工作；负责制定乡镇机关各项工作制度并监督落实；负责乡镇机关效能建设及绩效考核；负责机关、派驻机构、事业机构的综合协调工作；负责建立完善“街乡吹哨、部门报到”工作机制，制定实施“呼叫”事项办理信息反馈评价制度，完善和实施对县直部门和派驻机构履职的考核评价机制。</w:t>
      </w:r>
    </w:p>
    <w:p w14:paraId="77BC3BE6">
      <w:pPr>
        <w:spacing w:line="580" w:lineRule="exact"/>
        <w:ind w:firstLine="640"/>
        <w:jc w:val="both"/>
      </w:pPr>
      <w:r>
        <w:rPr>
          <w:rFonts w:ascii="仿宋_GB2312" w:hAnsi="仿宋_GB2312" w:eastAsia="仿宋_GB2312"/>
          <w:sz w:val="32"/>
        </w:rPr>
        <w:t>2.党建工作办公室。主要负责纪检、党务、组织、宣传、机构编制、人事、老干部等工作的规划、管理、协调和监督工作；负责宣传党的各项方针、政策；负责党的基层组织建设和党员队伍建设工作；负责党风廉政建设工作；负责人大、团委、工会、妇联等日常事务；负责政协委员的联络工作；负责升国旗、农牧民夜校、“民族团结一家亲”、村（社区）考核；负责辖区社团组织的培育、发展和管理；负责组织开展辖区居民的宣传、发动、服务工作；负责特殊群体的帮教帮扶、解决居民困难诉求等工作。</w:t>
      </w:r>
    </w:p>
    <w:p w14:paraId="7F41202F">
      <w:pPr>
        <w:spacing w:line="580" w:lineRule="exact"/>
        <w:ind w:firstLine="640"/>
        <w:jc w:val="both"/>
      </w:pPr>
      <w:r>
        <w:rPr>
          <w:rFonts w:ascii="仿宋_GB2312" w:hAnsi="仿宋_GB2312" w:eastAsia="仿宋_GB2312"/>
          <w:sz w:val="32"/>
        </w:rPr>
        <w:t>3.经济发展和财政办公室。主要负责农业、农技、农机、林业、畜牧、水利、财政、土地、统计、交通、村镇建设、扶贫开发、招商引资、项目管理、</w:t>
      </w:r>
      <w:r>
        <w:rPr>
          <w:rFonts w:hint="eastAsia" w:ascii="仿宋_GB2312" w:hAnsi="仿宋_GB2312" w:eastAsia="仿宋_GB2312"/>
          <w:sz w:val="32"/>
          <w:lang w:eastAsia="zh-CN"/>
        </w:rPr>
        <w:t>一二三产业</w:t>
      </w:r>
      <w:r>
        <w:rPr>
          <w:rFonts w:ascii="仿宋_GB2312" w:hAnsi="仿宋_GB2312" w:eastAsia="仿宋_GB2312"/>
          <w:sz w:val="32"/>
        </w:rPr>
        <w:t>的规划、管理、服务、协调和监督工作；拟定经济发展、产业结构规划、计划并组织实施；</w:t>
      </w:r>
      <w:r>
        <w:rPr>
          <w:rFonts w:ascii="仿宋_GB2312" w:hAnsi="仿宋_GB2312" w:eastAsia="仿宋_GB2312"/>
          <w:w w:val="97"/>
          <w:sz w:val="32"/>
        </w:rPr>
        <w:t>贯彻落实统筹城乡发展、加快推进城乡一体化工作总体部署和目标。</w:t>
      </w:r>
    </w:p>
    <w:p w14:paraId="2A418F2B">
      <w:pPr>
        <w:spacing w:line="580" w:lineRule="exact"/>
        <w:ind w:firstLine="640"/>
        <w:jc w:val="both"/>
      </w:pPr>
      <w:r>
        <w:rPr>
          <w:rFonts w:ascii="仿宋_GB2312" w:hAnsi="仿宋_GB2312" w:eastAsia="仿宋_GB2312"/>
          <w:sz w:val="32"/>
        </w:rPr>
        <w:t>4.社会事务办公室（退役军人服务站）。主要负责政法、社会治安综合治理、信访、司法、统战、科技、教育、文化、卫生、体育、广播电视、旅游、民政、劳动就业、社会保障、社会救助、退役军人、残疾人、红十字事业的规划、管理、协调和监督工作；负责拟定社会发展规划、计划并组织实施，协助做好镇人武部工作。</w:t>
      </w:r>
    </w:p>
    <w:p w14:paraId="71E16195">
      <w:pPr>
        <w:spacing w:line="580" w:lineRule="exact"/>
        <w:ind w:firstLine="640"/>
        <w:jc w:val="both"/>
      </w:pPr>
      <w:r>
        <w:rPr>
          <w:rFonts w:ascii="仿宋_GB2312" w:hAnsi="仿宋_GB2312" w:eastAsia="仿宋_GB2312"/>
          <w:sz w:val="32"/>
        </w:rPr>
        <w:t>5.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执法绩效考评；推进综合行政执法信息系统建设；负责联系协调县政府相关行政部门派驻乡镇执法人员以及乡镇执法人员在辖区内开展综合行政执法工作。</w:t>
      </w:r>
    </w:p>
    <w:p w14:paraId="6DF5EEEF">
      <w:pPr>
        <w:spacing w:line="580" w:lineRule="exact"/>
        <w:ind w:firstLine="640"/>
        <w:jc w:val="both"/>
      </w:pPr>
      <w:r>
        <w:rPr>
          <w:rFonts w:ascii="仿宋_GB2312" w:hAnsi="仿宋_GB2312" w:eastAsia="仿宋_GB2312"/>
          <w:sz w:val="32"/>
        </w:rPr>
        <w:t>事业</w:t>
      </w:r>
      <w:r>
        <w:rPr>
          <w:rFonts w:hint="eastAsia" w:ascii="仿宋_GB2312" w:hAnsi="仿宋_GB2312" w:eastAsia="仿宋_GB2312"/>
          <w:sz w:val="32"/>
          <w:lang w:eastAsia="zh-CN"/>
        </w:rPr>
        <w:t>单位</w:t>
      </w:r>
      <w:r>
        <w:rPr>
          <w:rFonts w:ascii="仿宋_GB2312" w:hAnsi="仿宋_GB2312" w:eastAsia="仿宋_GB2312"/>
          <w:sz w:val="32"/>
        </w:rPr>
        <w:t>。</w:t>
      </w:r>
    </w:p>
    <w:p w14:paraId="4B46056A">
      <w:pPr>
        <w:spacing w:line="580" w:lineRule="exact"/>
        <w:ind w:firstLine="640"/>
        <w:jc w:val="both"/>
      </w:pPr>
      <w:r>
        <w:rPr>
          <w:rFonts w:ascii="仿宋_GB2312" w:hAnsi="仿宋_GB2312" w:eastAsia="仿宋_GB2312"/>
          <w:sz w:val="32"/>
        </w:rPr>
        <w:t>1.农业（畜牧业）发展服务中心：主要负责农业、畜牧、兽医、草原、林业、农技、农机、水利、科技等方面的服务工作；协助镇政府制定农业、林业、畜牧业、科技等工作的长远发展规划和年度计划并组织实施。</w:t>
      </w:r>
    </w:p>
    <w:p w14:paraId="621412C6">
      <w:pPr>
        <w:spacing w:line="580" w:lineRule="exact"/>
        <w:ind w:firstLine="640"/>
        <w:jc w:val="both"/>
      </w:pPr>
      <w:r>
        <w:rPr>
          <w:rFonts w:ascii="仿宋_GB2312" w:hAnsi="仿宋_GB2312" w:eastAsia="仿宋_GB2312"/>
          <w:sz w:val="32"/>
        </w:rPr>
        <w:t>2.村镇建设发展中心：主要负责国土资源、规划建设、园林绿化、环境保护、交通等方面的服务工作；协助镇政府制定国土资源、园林绿化、环境保护的长远规划和年度计划并组织实施；协助镇政府贯彻落实统筹城乡发展、加快推进城乡一体化工作总体部署和目标。</w:t>
      </w:r>
    </w:p>
    <w:p w14:paraId="194A07B0">
      <w:pPr>
        <w:spacing w:line="580" w:lineRule="exact"/>
        <w:ind w:firstLine="640"/>
        <w:jc w:val="both"/>
      </w:pPr>
      <w:r>
        <w:rPr>
          <w:rFonts w:ascii="仿宋_GB2312" w:hAnsi="仿宋_GB2312" w:eastAsia="仿宋_GB2312"/>
          <w:sz w:val="32"/>
        </w:rPr>
        <w:t>3.便民服务中心：负责辖区政务服务具体工作。负责规范综合窗口设置，集中受理、办理群众关心关注的政务服务事项，承接县直部门下放的审批权限，实行“一站式”服务、“一门式”办理。负责窗口工作人员管理和干部队伍建设。负责组建帮办代办队伍，通过网办、帮办、代办、现场办等方式，为群众提供服务。建立健全首问负责、一次性告知、限时办结、服务承诺、责任追究、考评考核等便民服务制度。负责服务事项、办事指南、窗口帮办代办人员名单及服务范围等政务（信息）公开工作。</w:t>
      </w:r>
    </w:p>
    <w:p w14:paraId="411ACB6E">
      <w:pPr>
        <w:spacing w:line="580" w:lineRule="exact"/>
        <w:ind w:firstLine="640"/>
        <w:jc w:val="both"/>
      </w:pPr>
      <w:r>
        <w:rPr>
          <w:rFonts w:ascii="仿宋_GB2312" w:hAnsi="仿宋_GB2312" w:eastAsia="仿宋_GB2312"/>
          <w:sz w:val="32"/>
        </w:rPr>
        <w:t>4.公共文化服务中心：主要负责文化、宣传、科技、体育、广播电视、旅游等方面的服务工作。协助镇政府制定文化、宣传、科技、体育、广播电视、旅游等工作的长远发展规划和年度计划并组织实施。承担志愿者服务工作。</w:t>
      </w:r>
    </w:p>
    <w:p w14:paraId="0006673C">
      <w:pPr>
        <w:spacing w:line="580" w:lineRule="exact"/>
        <w:ind w:firstLine="640"/>
        <w:jc w:val="both"/>
      </w:pPr>
      <w:r>
        <w:rPr>
          <w:rFonts w:ascii="仿宋_GB2312" w:hAnsi="仿宋_GB2312" w:eastAsia="仿宋_GB2312"/>
          <w:sz w:val="32"/>
        </w:rPr>
        <w:t>5.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禁毒宣传教育、社区戒毒和社区康复、社会面吸毒人员的服务管理工作。负责流动人口管理工作，管</w:t>
      </w:r>
      <w:r>
        <w:rPr>
          <w:rFonts w:hint="eastAsia" w:ascii="仿宋_GB2312" w:hAnsi="仿宋_GB2312" w:eastAsia="仿宋_GB2312"/>
          <w:sz w:val="32"/>
          <w:lang w:eastAsia="zh-CN"/>
        </w:rPr>
        <w:t>理和</w:t>
      </w:r>
      <w:r>
        <w:rPr>
          <w:rFonts w:ascii="仿宋_GB2312" w:hAnsi="仿宋_GB2312" w:eastAsia="仿宋_GB2312"/>
          <w:sz w:val="32"/>
        </w:rPr>
        <w:t>指导基层网格员队伍等。负责特殊群体的帮教帮扶、解决群众困难诉求等工作。负责群众工作机制的落实，拓展教育服务群众的形式和载体。</w:t>
      </w:r>
    </w:p>
    <w:p w14:paraId="372FC85E">
      <w:pPr>
        <w:spacing w:line="640" w:lineRule="exact"/>
        <w:ind w:firstLine="640"/>
        <w:jc w:val="both"/>
        <w:outlineLvl w:val="2"/>
      </w:pPr>
      <w:r>
        <w:rPr>
          <w:rFonts w:ascii="黑体" w:hAnsi="黑体" w:eastAsia="黑体"/>
          <w:sz w:val="32"/>
        </w:rPr>
        <w:t>二、机构设置及人员情况</w:t>
      </w:r>
    </w:p>
    <w:p w14:paraId="61E962B3">
      <w:pPr>
        <w:spacing w:line="580" w:lineRule="exact"/>
        <w:ind w:firstLine="640"/>
        <w:jc w:val="both"/>
      </w:pPr>
      <w:r>
        <w:rPr>
          <w:rFonts w:ascii="仿宋_GB2312" w:hAnsi="仿宋_GB2312" w:eastAsia="仿宋_GB2312"/>
          <w:sz w:val="32"/>
        </w:rPr>
        <w:t>特克斯县齐勒乌泽克镇人民政府2024年度，实有人数187人，其中：在职人员144人，减少1人；离休人员0人，增加0人；退休人员43人,增加0人。</w:t>
      </w:r>
    </w:p>
    <w:p w14:paraId="41F50734">
      <w:pPr>
        <w:spacing w:line="580" w:lineRule="exact"/>
        <w:ind w:firstLine="640"/>
        <w:jc w:val="both"/>
      </w:pPr>
      <w:r>
        <w:rPr>
          <w:rFonts w:ascii="仿宋_GB2312" w:hAnsi="仿宋_GB2312" w:eastAsia="仿宋_GB2312"/>
          <w:sz w:val="32"/>
        </w:rPr>
        <w:t>特克斯县齐勒乌泽克镇人民政府无下属预算</w:t>
      </w:r>
      <w:r>
        <w:rPr>
          <w:rFonts w:hint="eastAsia" w:ascii="仿宋_GB2312" w:hAnsi="仿宋_GB2312" w:eastAsia="仿宋_GB2312"/>
          <w:sz w:val="32"/>
          <w:lang w:eastAsia="zh-CN"/>
        </w:rPr>
        <w:t>单位</w:t>
      </w:r>
      <w:r>
        <w:rPr>
          <w:rFonts w:ascii="仿宋_GB2312" w:hAnsi="仿宋_GB2312" w:eastAsia="仿宋_GB2312"/>
          <w:sz w:val="32"/>
        </w:rPr>
        <w:t>，下设10个科室，分别是：党政办公室、党建办公室、经济发展和财政办公室、卫生健康办公室、文化活动办公室、社会事务办公室、农业发展办公室、国土规划办公室、综合治理办公室、综合执法办公室。</w:t>
      </w:r>
    </w:p>
    <w:p w14:paraId="2E625996">
      <w:r>
        <w:br w:type="page"/>
      </w:r>
    </w:p>
    <w:p w14:paraId="223962B0">
      <w:pPr>
        <w:spacing w:line="240" w:lineRule="auto"/>
        <w:jc w:val="center"/>
        <w:outlineLvl w:val="1"/>
      </w:pPr>
      <w:r>
        <w:rPr>
          <w:rFonts w:ascii="黑体" w:hAnsi="黑体" w:eastAsia="黑体"/>
          <w:sz w:val="32"/>
        </w:rPr>
        <w:t>第二部分 部门决算情况说明</w:t>
      </w:r>
    </w:p>
    <w:p w14:paraId="07C76A0D">
      <w:pPr>
        <w:spacing w:line="640" w:lineRule="exact"/>
        <w:ind w:firstLine="640"/>
        <w:jc w:val="both"/>
        <w:outlineLvl w:val="2"/>
      </w:pPr>
      <w:r>
        <w:rPr>
          <w:rFonts w:ascii="黑体" w:hAnsi="黑体" w:eastAsia="黑体"/>
          <w:sz w:val="32"/>
        </w:rPr>
        <w:t>一、收入支出决算总体情况说明</w:t>
      </w:r>
    </w:p>
    <w:p w14:paraId="29BA0F18">
      <w:pPr>
        <w:spacing w:line="580" w:lineRule="exact"/>
        <w:ind w:firstLine="640"/>
        <w:jc w:val="both"/>
      </w:pPr>
      <w:r>
        <w:rPr>
          <w:rFonts w:ascii="仿宋_GB2312" w:hAnsi="仿宋_GB2312" w:eastAsia="仿宋_GB2312"/>
          <w:b/>
          <w:sz w:val="32"/>
        </w:rPr>
        <w:t>2024年度收入总计4,617.95万元，</w:t>
      </w:r>
      <w:r>
        <w:rPr>
          <w:rFonts w:ascii="仿宋_GB2312" w:hAnsi="仿宋_GB2312" w:eastAsia="仿宋_GB2312"/>
          <w:b w:val="0"/>
          <w:sz w:val="32"/>
        </w:rPr>
        <w:t>其中：本年收入合计4,617.95万元，使用非财政拨款结余（含专用结余）0.00万元，年初结转和结余0.00万元。</w:t>
      </w:r>
    </w:p>
    <w:p w14:paraId="7F7B9C21">
      <w:pPr>
        <w:spacing w:line="580" w:lineRule="exact"/>
        <w:ind w:firstLine="640"/>
        <w:jc w:val="both"/>
      </w:pPr>
      <w:r>
        <w:rPr>
          <w:rFonts w:ascii="仿宋_GB2312" w:hAnsi="仿宋_GB2312" w:eastAsia="仿宋_GB2312"/>
          <w:b/>
          <w:sz w:val="32"/>
        </w:rPr>
        <w:t>2024年度支出总计4,617.95万元，</w:t>
      </w:r>
      <w:r>
        <w:rPr>
          <w:rFonts w:ascii="仿宋_GB2312" w:hAnsi="仿宋_GB2312" w:eastAsia="仿宋_GB2312"/>
          <w:b w:val="0"/>
          <w:sz w:val="32"/>
        </w:rPr>
        <w:t>其中：本年支出合计</w:t>
      </w:r>
      <w:r>
        <w:rPr>
          <w:rFonts w:ascii="仿宋_GB2312" w:hAnsi="仿宋_GB2312" w:eastAsia="仿宋_GB2312"/>
          <w:b w:val="0"/>
          <w:w w:val="97"/>
          <w:sz w:val="32"/>
        </w:rPr>
        <w:t>4,617.95万元，结余分配0.00万元，年末结转和结余0.00万元。</w:t>
      </w:r>
    </w:p>
    <w:p w14:paraId="4A7BCB7C">
      <w:pPr>
        <w:spacing w:line="580" w:lineRule="exact"/>
        <w:ind w:firstLine="640"/>
        <w:jc w:val="both"/>
      </w:pPr>
      <w:r>
        <w:rPr>
          <w:rFonts w:ascii="仿宋_GB2312" w:hAnsi="仿宋_GB2312" w:eastAsia="仿宋_GB2312"/>
          <w:b w:val="0"/>
          <w:sz w:val="32"/>
        </w:rPr>
        <w:t>收入支出总体与上年相比，减少584.31万元，下降11.23%，主要原因是：本年三老四类、为民办实事补助资金、伊犁州特克斯县齐勒乌泽克镇新疆刁羊之乡建设项目</w:t>
      </w:r>
      <w:r>
        <w:rPr>
          <w:rFonts w:hint="eastAsia" w:ascii="仿宋_GB2312" w:hAnsi="仿宋_GB2312" w:eastAsia="仿宋_GB2312"/>
          <w:b w:val="0"/>
          <w:sz w:val="32"/>
          <w:lang w:val="en-US" w:eastAsia="zh-CN"/>
        </w:rPr>
        <w:t>经费</w:t>
      </w:r>
      <w:r>
        <w:rPr>
          <w:rFonts w:ascii="仿宋_GB2312" w:hAnsi="仿宋_GB2312" w:eastAsia="仿宋_GB2312"/>
          <w:b w:val="0"/>
          <w:sz w:val="32"/>
        </w:rPr>
        <w:t>较上年减少；减少乡村绿化美丽建设项目、林草征占费及相关前期费用、特色林果业标准化示范建设基地建设、2022年中央农村综合改革转移支付资金等，导致经费较上年减少。</w:t>
      </w:r>
    </w:p>
    <w:p w14:paraId="34B8477F">
      <w:pPr>
        <w:spacing w:line="640" w:lineRule="exact"/>
        <w:ind w:firstLine="640"/>
        <w:jc w:val="both"/>
        <w:outlineLvl w:val="2"/>
      </w:pPr>
      <w:r>
        <w:rPr>
          <w:rFonts w:ascii="黑体" w:hAnsi="黑体" w:eastAsia="黑体"/>
          <w:sz w:val="32"/>
        </w:rPr>
        <w:t>二、收入决算情况说明</w:t>
      </w:r>
    </w:p>
    <w:p w14:paraId="50F58929">
      <w:pPr>
        <w:spacing w:line="580" w:lineRule="exact"/>
        <w:ind w:firstLine="640"/>
        <w:jc w:val="both"/>
      </w:pPr>
      <w:r>
        <w:rPr>
          <w:rFonts w:ascii="仿宋_GB2312" w:hAnsi="仿宋_GB2312" w:eastAsia="仿宋_GB2312"/>
          <w:b/>
          <w:sz w:val="32"/>
        </w:rPr>
        <w:t>本年收入4,617.95万元，</w:t>
      </w:r>
      <w:r>
        <w:rPr>
          <w:rFonts w:ascii="仿宋_GB2312" w:hAnsi="仿宋_GB2312" w:eastAsia="仿宋_GB2312"/>
          <w:b w:val="0"/>
          <w:sz w:val="32"/>
        </w:rPr>
        <w:t>其中：财政拨款收入4,617.95万元，占100.00%；上级补助收入0.00万元，占0.00%；事业收入0.00万元，占0.00%；经营收入0.00万元，占0.00%；附属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2D600CDC">
      <w:pPr>
        <w:spacing w:line="640" w:lineRule="exact"/>
        <w:ind w:firstLine="640"/>
        <w:jc w:val="both"/>
        <w:outlineLvl w:val="2"/>
      </w:pPr>
      <w:r>
        <w:rPr>
          <w:rFonts w:ascii="黑体" w:hAnsi="黑体" w:eastAsia="黑体"/>
          <w:sz w:val="32"/>
        </w:rPr>
        <w:t>三、支出决算情况说明</w:t>
      </w:r>
    </w:p>
    <w:p w14:paraId="769131B4">
      <w:pPr>
        <w:spacing w:line="580" w:lineRule="exact"/>
        <w:ind w:firstLine="640"/>
        <w:jc w:val="both"/>
      </w:pPr>
      <w:r>
        <w:rPr>
          <w:rFonts w:ascii="仿宋_GB2312" w:hAnsi="仿宋_GB2312" w:eastAsia="仿宋_GB2312"/>
          <w:b/>
          <w:sz w:val="32"/>
        </w:rPr>
        <w:t>本年支出4,617.95万元，</w:t>
      </w:r>
      <w:r>
        <w:rPr>
          <w:rFonts w:ascii="仿宋_GB2312" w:hAnsi="仿宋_GB2312" w:eastAsia="仿宋_GB2312"/>
          <w:b w:val="0"/>
          <w:sz w:val="32"/>
        </w:rPr>
        <w:t>其中：基本支出3,082.29万元，占66.75%；项目支出1,535.66万元，占33.25%；上缴上级支出0.00万元，占0.00%；经营支出0.00万元，占0.00%；对附属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1C5C129">
      <w:pPr>
        <w:spacing w:line="640" w:lineRule="exact"/>
        <w:ind w:firstLine="640"/>
        <w:jc w:val="both"/>
        <w:outlineLvl w:val="2"/>
      </w:pPr>
      <w:r>
        <w:rPr>
          <w:rFonts w:ascii="黑体" w:hAnsi="黑体" w:eastAsia="黑体"/>
          <w:sz w:val="32"/>
        </w:rPr>
        <w:t>四、财政拨款收入支出决算总体情况说明</w:t>
      </w:r>
    </w:p>
    <w:p w14:paraId="5F3F0ADE">
      <w:pPr>
        <w:spacing w:line="580" w:lineRule="exact"/>
        <w:ind w:firstLine="640"/>
        <w:jc w:val="both"/>
      </w:pPr>
      <w:r>
        <w:rPr>
          <w:rFonts w:ascii="仿宋_GB2312" w:hAnsi="仿宋_GB2312" w:eastAsia="仿宋_GB2312"/>
          <w:b/>
          <w:sz w:val="32"/>
        </w:rPr>
        <w:t>2024年度财政拨款收入总计4,617.95万元，</w:t>
      </w:r>
      <w:r>
        <w:rPr>
          <w:rFonts w:ascii="仿宋_GB2312" w:hAnsi="仿宋_GB2312" w:eastAsia="仿宋_GB2312"/>
          <w:b w:val="0"/>
          <w:sz w:val="32"/>
        </w:rPr>
        <w:t>其中：年初财政拨款结转和结余0.00万元，本年财政拨款收入4,617.95万元。</w:t>
      </w:r>
      <w:r>
        <w:rPr>
          <w:rFonts w:ascii="仿宋_GB2312" w:hAnsi="仿宋_GB2312" w:eastAsia="仿宋_GB2312"/>
          <w:b/>
          <w:sz w:val="32"/>
        </w:rPr>
        <w:t>财政拨款支出总计4,617.95万元，</w:t>
      </w:r>
      <w:r>
        <w:rPr>
          <w:rFonts w:ascii="仿宋_GB2312" w:hAnsi="仿宋_GB2312" w:eastAsia="仿宋_GB2312"/>
          <w:b w:val="0"/>
          <w:sz w:val="32"/>
        </w:rPr>
        <w:t>其中：年末财政拨款结转和结余0.00万元，本年财政拨款支出4,617.95万元。</w:t>
      </w:r>
    </w:p>
    <w:p w14:paraId="4E076F5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减少584.31万元，下降11.23%，主要原因是：本年三老四类、为民办实事补助资金、伊犁州特克斯县齐勒乌泽克镇新疆刁羊之乡建设项目</w:t>
      </w:r>
      <w:r>
        <w:rPr>
          <w:rFonts w:hint="eastAsia" w:ascii="仿宋_GB2312" w:hAnsi="仿宋_GB2312" w:eastAsia="仿宋_GB2312"/>
          <w:b w:val="0"/>
          <w:sz w:val="32"/>
          <w:lang w:val="en-US" w:eastAsia="zh-CN"/>
        </w:rPr>
        <w:t>经费</w:t>
      </w:r>
      <w:r>
        <w:rPr>
          <w:rFonts w:ascii="仿宋_GB2312" w:hAnsi="仿宋_GB2312" w:eastAsia="仿宋_GB2312"/>
          <w:b w:val="0"/>
          <w:sz w:val="32"/>
        </w:rPr>
        <w:t>较上年减少；减少乡村绿化美丽建设项目、林草征占费及相关前期费用、特色林果业标准化示范建设基地建设、2022年中央农村综合改革转移支付资金等，导致经费较上年减少。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2,525.16万元，决算数4,617.95万元，预决算差异率82.88%，主要原因是：年中追加三老四类、为民办实事补助资金、2023年村民服务中心建设项目、齐勒乌泽克镇阿克齐村人居环境整治项目、伊犁州特克斯县齐勒乌泽克镇阿克奇村地埋管网建设项目、中央农村综合改革项目、2024年城乡抗震安居工程建设民生实事资金、基层政权组织建设、干部周转房建设项目资金、巴喀勒克村化粪池建设项目、乡镇干部周转宿舍建设项目（二标段）等经费，导致预决算存在差异。</w:t>
      </w:r>
    </w:p>
    <w:p w14:paraId="486A094F">
      <w:pPr>
        <w:spacing w:line="640" w:lineRule="exact"/>
        <w:ind w:firstLine="640"/>
        <w:jc w:val="both"/>
        <w:outlineLvl w:val="2"/>
      </w:pPr>
      <w:r>
        <w:rPr>
          <w:rFonts w:ascii="黑体" w:hAnsi="黑体" w:eastAsia="黑体"/>
          <w:sz w:val="32"/>
        </w:rPr>
        <w:t>五、一般公共预算财政拨款支出决算情况说明</w:t>
      </w:r>
    </w:p>
    <w:p w14:paraId="16056E10">
      <w:pPr>
        <w:spacing w:line="640" w:lineRule="exact"/>
        <w:ind w:firstLine="640"/>
        <w:jc w:val="both"/>
        <w:outlineLvl w:val="3"/>
      </w:pPr>
      <w:r>
        <w:rPr>
          <w:rFonts w:ascii="楷体_GB2312" w:hAnsi="楷体_GB2312" w:eastAsia="楷体_GB2312"/>
          <w:b/>
          <w:sz w:val="32"/>
        </w:rPr>
        <w:t>（一）一般公共预算财政拨款支出决算总体情况</w:t>
      </w:r>
    </w:p>
    <w:p w14:paraId="4D0DB7EE">
      <w:pPr>
        <w:spacing w:line="580" w:lineRule="exact"/>
        <w:ind w:firstLine="640"/>
        <w:jc w:val="both"/>
      </w:pPr>
      <w:r>
        <w:rPr>
          <w:rFonts w:ascii="仿宋_GB2312" w:hAnsi="仿宋_GB2312" w:eastAsia="仿宋_GB2312"/>
          <w:b/>
          <w:sz w:val="32"/>
        </w:rPr>
        <w:t>2024年度一般公共预算财政拨款支出4,420.89万元，</w:t>
      </w:r>
      <w:r>
        <w:rPr>
          <w:rFonts w:ascii="仿宋_GB2312" w:hAnsi="仿宋_GB2312" w:eastAsia="仿宋_GB2312"/>
          <w:b w:val="0"/>
          <w:sz w:val="32"/>
        </w:rPr>
        <w:t>占本年支出合计的95.73%。</w:t>
      </w:r>
      <w:r>
        <w:rPr>
          <w:rFonts w:ascii="仿宋_GB2312" w:hAnsi="仿宋_GB2312" w:eastAsia="仿宋_GB2312"/>
          <w:b/>
          <w:sz w:val="32"/>
        </w:rPr>
        <w:t>与上年相比，</w:t>
      </w:r>
      <w:r>
        <w:rPr>
          <w:rFonts w:ascii="仿宋_GB2312" w:hAnsi="仿宋_GB2312" w:eastAsia="仿宋_GB2312"/>
          <w:b w:val="0"/>
          <w:sz w:val="32"/>
        </w:rPr>
        <w:t>减少776.37万元，下降14.94%，主要原因是：本年三老四类、为民办实事补助资金、伊犁州特克斯县齐勒乌泽克镇新疆刁羊之乡建设项目支出较上年减少；减少乡村绿化美丽建设项目、林草征占费及相关前期费用、特色林果业标准化示范建设基地建设、2022年中央农村综合改革转移支付资金等，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2,525.16万元，决算数4,420.89万元，预决算差异率75.07%，主要原因是：年中追加三老四类、为民办实事补助资金、2023年村民服务中心建设项目、齐勒乌泽克镇阿克齐村人居环境整治项目、伊犁州特克斯县齐勒乌泽克镇阿克奇村地埋管网建设项目、中央农村综合改革项目、2024年城乡抗震安居工程建设民生实事资金、基层政权组织建设</w:t>
      </w:r>
      <w:r>
        <w:rPr>
          <w:rFonts w:hint="eastAsia" w:ascii="仿宋_GB2312" w:hAnsi="仿宋_GB2312" w:eastAsia="仿宋_GB2312"/>
          <w:b w:val="0"/>
          <w:sz w:val="32"/>
          <w:lang w:val="en-US" w:eastAsia="zh-CN"/>
        </w:rPr>
        <w:t>项目</w:t>
      </w:r>
      <w:r>
        <w:rPr>
          <w:rFonts w:ascii="仿宋_GB2312" w:hAnsi="仿宋_GB2312" w:eastAsia="仿宋_GB2312"/>
          <w:b w:val="0"/>
          <w:sz w:val="32"/>
        </w:rPr>
        <w:t>等经费，导致预决算存在差异。</w:t>
      </w:r>
    </w:p>
    <w:p w14:paraId="0979FC8D">
      <w:pPr>
        <w:spacing w:line="640" w:lineRule="exact"/>
        <w:ind w:firstLine="640"/>
        <w:jc w:val="both"/>
        <w:outlineLvl w:val="3"/>
      </w:pPr>
      <w:r>
        <w:rPr>
          <w:rFonts w:ascii="楷体_GB2312" w:hAnsi="楷体_GB2312" w:eastAsia="楷体_GB2312"/>
          <w:b/>
          <w:sz w:val="32"/>
        </w:rPr>
        <w:t>（二）一般公共预算财政拨款支出决算结构情况</w:t>
      </w:r>
    </w:p>
    <w:p w14:paraId="55B29FBB">
      <w:pPr>
        <w:spacing w:line="580" w:lineRule="exact"/>
        <w:ind w:firstLine="640"/>
        <w:jc w:val="both"/>
      </w:pPr>
      <w:r>
        <w:rPr>
          <w:rFonts w:ascii="仿宋_GB2312" w:hAnsi="仿宋_GB2312" w:eastAsia="仿宋_GB2312"/>
          <w:b w:val="0"/>
          <w:sz w:val="32"/>
        </w:rPr>
        <w:t>1.一般公共服务支出(类)907.33万元,占20.52%。</w:t>
      </w:r>
    </w:p>
    <w:p w14:paraId="034B9A62">
      <w:pPr>
        <w:spacing w:line="580" w:lineRule="exact"/>
        <w:ind w:firstLine="640"/>
        <w:jc w:val="both"/>
      </w:pPr>
      <w:r>
        <w:rPr>
          <w:rFonts w:ascii="仿宋_GB2312" w:hAnsi="仿宋_GB2312" w:eastAsia="仿宋_GB2312"/>
          <w:b w:val="0"/>
          <w:sz w:val="32"/>
        </w:rPr>
        <w:t>2.文化旅游体育与传媒支出(类)1.86万元,占0.04%。</w:t>
      </w:r>
    </w:p>
    <w:p w14:paraId="0EAFDF56">
      <w:pPr>
        <w:spacing w:line="580" w:lineRule="exact"/>
        <w:ind w:firstLine="640"/>
        <w:jc w:val="both"/>
      </w:pPr>
      <w:r>
        <w:rPr>
          <w:rFonts w:ascii="仿宋_GB2312" w:hAnsi="仿宋_GB2312" w:eastAsia="仿宋_GB2312"/>
          <w:b w:val="0"/>
          <w:sz w:val="32"/>
        </w:rPr>
        <w:t>3.社会保障和就业支出(类)286.78万元,占6.49%。</w:t>
      </w:r>
    </w:p>
    <w:p w14:paraId="6E2BAA33">
      <w:pPr>
        <w:spacing w:line="580" w:lineRule="exact"/>
        <w:ind w:firstLine="640"/>
        <w:jc w:val="both"/>
      </w:pPr>
      <w:r>
        <w:rPr>
          <w:rFonts w:ascii="仿宋_GB2312" w:hAnsi="仿宋_GB2312" w:eastAsia="仿宋_GB2312"/>
          <w:b w:val="0"/>
          <w:sz w:val="32"/>
        </w:rPr>
        <w:t>4.卫生健康支出(类)1,350.11万元,占30.54%。</w:t>
      </w:r>
    </w:p>
    <w:p w14:paraId="7F214F1F">
      <w:pPr>
        <w:spacing w:line="580" w:lineRule="exact"/>
        <w:ind w:firstLine="640"/>
        <w:jc w:val="both"/>
      </w:pPr>
      <w:r>
        <w:rPr>
          <w:rFonts w:ascii="仿宋_GB2312" w:hAnsi="仿宋_GB2312" w:eastAsia="仿宋_GB2312"/>
          <w:b w:val="0"/>
          <w:sz w:val="32"/>
        </w:rPr>
        <w:t>5.城乡社区支出(类)108.64万元,占2.46%。</w:t>
      </w:r>
    </w:p>
    <w:p w14:paraId="1BD7F296">
      <w:pPr>
        <w:spacing w:line="580" w:lineRule="exact"/>
        <w:ind w:firstLine="640"/>
        <w:jc w:val="both"/>
      </w:pPr>
      <w:r>
        <w:rPr>
          <w:rFonts w:ascii="仿宋_GB2312" w:hAnsi="仿宋_GB2312" w:eastAsia="仿宋_GB2312"/>
          <w:b w:val="0"/>
          <w:sz w:val="32"/>
        </w:rPr>
        <w:t>6.农林水支出(类)1,391.91万元,占31.48%。</w:t>
      </w:r>
    </w:p>
    <w:p w14:paraId="170775F5">
      <w:pPr>
        <w:spacing w:line="580" w:lineRule="exact"/>
        <w:ind w:firstLine="640"/>
        <w:jc w:val="both"/>
      </w:pPr>
      <w:r>
        <w:rPr>
          <w:rFonts w:ascii="仿宋_GB2312" w:hAnsi="仿宋_GB2312" w:eastAsia="仿宋_GB2312"/>
          <w:b w:val="0"/>
          <w:sz w:val="32"/>
        </w:rPr>
        <w:t>7.住房保障支出(类)374.25万元,占8.47%。</w:t>
      </w:r>
    </w:p>
    <w:p w14:paraId="79BEEF21">
      <w:pPr>
        <w:spacing w:line="640" w:lineRule="exact"/>
        <w:ind w:firstLine="640"/>
        <w:jc w:val="both"/>
        <w:outlineLvl w:val="3"/>
      </w:pPr>
      <w:r>
        <w:rPr>
          <w:rFonts w:ascii="楷体_GB2312" w:hAnsi="楷体_GB2312" w:eastAsia="楷体_GB2312"/>
          <w:b/>
          <w:sz w:val="32"/>
        </w:rPr>
        <w:t>（三）一般公共预算财政拨款支出决算具体情况</w:t>
      </w:r>
    </w:p>
    <w:p w14:paraId="039FE6AB">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664.01万元，比上年决算减少882.01万元，下降57.05%,主要原因是：本年功能科目调整，部分人员经费上年度在本科目列支，本年调整至其他计划生育事务支出科目列支，导致经费较上年减少。</w:t>
      </w:r>
    </w:p>
    <w:p w14:paraId="77ECC2A9">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2.一般公共服务支出(类)纪检监察事务(款)其他纪检监察事务支出(项):支出决算数为2.00万元，比上年决算增加2.00万元，增长100.00%,主要原因是：本年增加纪检监察专项经费。</w:t>
      </w:r>
    </w:p>
    <w:p w14:paraId="4E375D3B">
      <w:pPr>
        <w:spacing w:line="580" w:lineRule="exact"/>
        <w:ind w:firstLine="640"/>
        <w:jc w:val="both"/>
      </w:pPr>
      <w:r>
        <w:rPr>
          <w:rFonts w:ascii="仿宋_GB2312" w:hAnsi="仿宋_GB2312" w:eastAsia="仿宋_GB2312"/>
          <w:b w:val="0"/>
          <w:sz w:val="32"/>
        </w:rPr>
        <w:t>3.一般公共服务支出(类)组织事务(款)其他组织事务支出(项):支出决算数为241.32万元，比上年决算减少148.34万元，下降38.07%,主要原因是：本年三老四类、为民办实事补助资金支出较上年减少。</w:t>
      </w:r>
    </w:p>
    <w:p w14:paraId="13A84BA1">
      <w:pPr>
        <w:spacing w:line="580" w:lineRule="exact"/>
        <w:ind w:firstLine="640"/>
        <w:jc w:val="both"/>
      </w:pPr>
      <w:r>
        <w:rPr>
          <w:rFonts w:ascii="仿宋_GB2312" w:hAnsi="仿宋_GB2312" w:eastAsia="仿宋_GB2312"/>
          <w:b w:val="0"/>
          <w:sz w:val="32"/>
        </w:rPr>
        <w:t>4.文化旅游体育与传媒支出(类)文化和旅游(款)群众文化(项):支出决算数为1.86万元，比上年决算减少78.09万元，下降97.67%,主要原因是：本年功能科目调整，部分人员经费上年度在本科目列支，本年调整至其他计划生育事务支出科目列支，导致经费较上年减少。</w:t>
      </w:r>
    </w:p>
    <w:p w14:paraId="50C1B88F">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基本养老保险缴费支出(项):支出决算数为226.47万元，比上年决算增加26.34万元，增长13.16%,主要原因是：本年在职人员工资基数调增，养老缴费基数上涨，相应支出增加。</w:t>
      </w:r>
    </w:p>
    <w:p w14:paraId="57BA6582">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职业年金缴费支出(项):支出决算数为17.29万元，比上年决算增加6.32万元，增长57.61%,主要原因是：本年新增1名退休人员，职业年金缴费支出增加。</w:t>
      </w:r>
    </w:p>
    <w:p w14:paraId="04DC02A8">
      <w:pPr>
        <w:spacing w:line="580" w:lineRule="exact"/>
        <w:ind w:firstLine="640"/>
        <w:jc w:val="both"/>
      </w:pPr>
      <w:r>
        <w:rPr>
          <w:rFonts w:ascii="仿宋_GB2312" w:hAnsi="仿宋_GB2312" w:eastAsia="仿宋_GB2312"/>
          <w:b w:val="0"/>
          <w:sz w:val="32"/>
        </w:rPr>
        <w:t>7.社会保障和就业支出(类)抚恤(款)死亡抚恤(项):支出决算数为26.57万元，比上年决算增加9.57万元，增长56.29%,主要原因是：本年新增1名退休死亡人员，死亡抚恤支出增加。</w:t>
      </w:r>
    </w:p>
    <w:p w14:paraId="56C99084">
      <w:pPr>
        <w:spacing w:line="580" w:lineRule="exact"/>
        <w:ind w:firstLine="640"/>
        <w:jc w:val="both"/>
      </w:pPr>
      <w:r>
        <w:rPr>
          <w:rFonts w:ascii="仿宋_GB2312" w:hAnsi="仿宋_GB2312" w:eastAsia="仿宋_GB2312"/>
          <w:b w:val="0"/>
          <w:sz w:val="32"/>
        </w:rPr>
        <w:t>8.社会保障和就业支出(类)临时救助(款)临时救助支出(项):支出决算数为16.45万元，比上年决算增加7.95万元，增长93.53%,主要原因是：本年较上年增加冬季困难群众生活物资采购费用。</w:t>
      </w:r>
    </w:p>
    <w:p w14:paraId="64AAFD3F">
      <w:pPr>
        <w:spacing w:line="580" w:lineRule="exact"/>
        <w:ind w:firstLine="640"/>
        <w:jc w:val="both"/>
      </w:pPr>
      <w:r>
        <w:rPr>
          <w:rFonts w:ascii="仿宋_GB2312" w:hAnsi="仿宋_GB2312" w:eastAsia="仿宋_GB2312"/>
          <w:b w:val="0"/>
          <w:sz w:val="32"/>
        </w:rPr>
        <w:t>9.卫生健康支出(类)计划生育事务(款)其他计划生育事务支出(项):支出决算数为1,255.33万元，比上年决算增加1,170.79万元，增长1,384.89%,主要原因是：本年功能科目调整，部分人员经费上年度在行政运行科目、群众文化科目列支，本年调整至其他计划生育事务支出科目列支，在职人员工资调薪，人员经费增加，导致经费较上年增加。</w:t>
      </w:r>
    </w:p>
    <w:p w14:paraId="21A73F2E">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医疗(项):支出决算数为18.56万元，比上年决算减少2.20万元，下降10.60%,主要原因是：本年在职人员减少，行政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CA38AAF">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医疗(项):支出决算数为73.94万元，比上年决算增加12.33万元，增长20.01%,主要原因是：本年在职人员工资基数调增，医疗缴费基数上涨，相应支出增加。</w:t>
      </w:r>
    </w:p>
    <w:p w14:paraId="79E0EEE6">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医疗(款)公务员医疗补助(项):支出决算数为0.52万元，比上年决算增加0.00万元，增长0.00%,主要原因是：本年公务员医疗补助</w:t>
      </w:r>
      <w:r>
        <w:rPr>
          <w:rFonts w:hint="eastAsia" w:ascii="仿宋_GB2312" w:hAnsi="仿宋_GB2312" w:eastAsia="仿宋_GB2312"/>
          <w:b w:val="0"/>
          <w:sz w:val="32"/>
          <w:lang w:val="en-US" w:eastAsia="zh-CN"/>
        </w:rPr>
        <w:t>支出</w:t>
      </w:r>
      <w:r>
        <w:rPr>
          <w:rFonts w:ascii="仿宋_GB2312" w:hAnsi="仿宋_GB2312" w:eastAsia="仿宋_GB2312"/>
          <w:b w:val="0"/>
          <w:sz w:val="32"/>
        </w:rPr>
        <w:t>与上年保持一致。</w:t>
      </w:r>
    </w:p>
    <w:p w14:paraId="6000E8A1">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医疗支出(项):支出决算数为1.75万元，比上年决算减少0.46万元，下降20.81%,主要原因是：本年在职人员减少，大病、工伤等其他行政事业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543656FB">
      <w:pPr>
        <w:spacing w:line="580" w:lineRule="exact"/>
        <w:ind w:firstLine="640"/>
        <w:jc w:val="both"/>
      </w:pPr>
      <w:r>
        <w:rPr>
          <w:rFonts w:ascii="仿宋_GB2312" w:hAnsi="仿宋_GB2312" w:eastAsia="仿宋_GB2312"/>
          <w:b w:val="0"/>
          <w:sz w:val="32"/>
        </w:rPr>
        <w:t>14.节能环保支出(类)自然生态保护(款)农村环境保护(项):支出决算数为0.00万元，比上年决算减少50.00万元，下降100.00%,主要原因是：本年减少齐勒乌泽克镇煤改电项目。</w:t>
      </w:r>
    </w:p>
    <w:p w14:paraId="0269C07C">
      <w:pPr>
        <w:spacing w:line="580" w:lineRule="exact"/>
        <w:ind w:firstLine="640"/>
        <w:jc w:val="both"/>
      </w:pPr>
      <w:r>
        <w:rPr>
          <w:rFonts w:ascii="仿宋_GB2312" w:hAnsi="仿宋_GB2312" w:eastAsia="仿宋_GB2312"/>
          <w:b w:val="0"/>
          <w:sz w:val="32"/>
        </w:rPr>
        <w:t>15.节能环保支出(类)天然林保护(款)森林管护(项):支出决算数为0.00万元，比上年决算减少40.00万元，下降100.00%,主要原因是：本年减少乡村绿化美丽建设项目。</w:t>
      </w:r>
    </w:p>
    <w:p w14:paraId="35F81997">
      <w:pPr>
        <w:spacing w:line="580" w:lineRule="exact"/>
        <w:ind w:firstLine="640"/>
        <w:jc w:val="both"/>
      </w:pPr>
      <w:r>
        <w:rPr>
          <w:rFonts w:ascii="仿宋_GB2312" w:hAnsi="仿宋_GB2312" w:eastAsia="仿宋_GB2312"/>
          <w:b w:val="0"/>
          <w:sz w:val="32"/>
        </w:rPr>
        <w:t>16.城乡社区支出(类)城乡社区公共设施(款)其他城乡社区公共设施支出(项):支出决算数为108.64万元，比上年决算增加108.64万元，增长100.00%,主要原因是：本年新增特克斯县齐勒乌泽克镇2023年村民服务中心建设项目。</w:t>
      </w:r>
    </w:p>
    <w:p w14:paraId="05E061F6">
      <w:pPr>
        <w:spacing w:line="580" w:lineRule="exact"/>
        <w:ind w:firstLine="640"/>
        <w:jc w:val="both"/>
      </w:pPr>
      <w:r>
        <w:rPr>
          <w:rFonts w:ascii="仿宋_GB2312" w:hAnsi="仿宋_GB2312" w:eastAsia="仿宋_GB2312"/>
          <w:b w:val="0"/>
          <w:sz w:val="32"/>
        </w:rPr>
        <w:t>17.城乡社区支出(类)城乡社区环境卫生(款)城乡社区环境卫生(项):支出决算数为0.00万元，比上年决算减少40.00万元，下降100.00%,主要原因是：本年减少林草征占费及相关前期费用支出。</w:t>
      </w:r>
    </w:p>
    <w:p w14:paraId="2523B904">
      <w:pPr>
        <w:spacing w:line="580" w:lineRule="exact"/>
        <w:ind w:firstLine="640"/>
        <w:jc w:val="both"/>
      </w:pPr>
      <w:r>
        <w:rPr>
          <w:rFonts w:ascii="仿宋_GB2312" w:hAnsi="仿宋_GB2312" w:eastAsia="仿宋_GB2312"/>
          <w:b w:val="0"/>
          <w:sz w:val="32"/>
        </w:rPr>
        <w:t>18.农林水支出(类)林业和草原(款)其他林业和草原支出(项):支出决算数为0.00万元，比上年决算减少200.00万元，下降100.00%,主要原因是：本年减少特色林果业标准化示范建设基地建设支出。</w:t>
      </w:r>
    </w:p>
    <w:p w14:paraId="303D319D">
      <w:pPr>
        <w:spacing w:line="580" w:lineRule="exact"/>
        <w:ind w:firstLine="640"/>
        <w:jc w:val="both"/>
      </w:pPr>
      <w:r>
        <w:rPr>
          <w:rFonts w:ascii="仿宋_GB2312" w:hAnsi="仿宋_GB2312" w:eastAsia="仿宋_GB2312"/>
          <w:b w:val="0"/>
          <w:sz w:val="32"/>
        </w:rPr>
        <w:t>19.农林水支出(类)水利(款)大中型水库移民后期扶持专项支出(项):支出决算数为68.05万元，比上年决算增加68.05万元，增长100.00%,主要原因是：本年新增齐勒乌泽克镇阿克齐村人居环境整治项目。</w:t>
      </w:r>
    </w:p>
    <w:p w14:paraId="21F7FBE8">
      <w:pPr>
        <w:spacing w:line="580" w:lineRule="exact"/>
        <w:ind w:firstLine="640"/>
        <w:jc w:val="both"/>
      </w:pPr>
      <w:r>
        <w:rPr>
          <w:rFonts w:ascii="仿宋_GB2312" w:hAnsi="仿宋_GB2312" w:eastAsia="仿宋_GB2312"/>
          <w:b w:val="0"/>
          <w:sz w:val="32"/>
        </w:rPr>
        <w:t>20.农林水支出(类)巩固脱贫攻坚成果衔接乡村振兴(款)农村基础设施建设(项):支出决算数为500.00万元，比上年决算增加0.00万元，增长0.00%,主要原因是：本年伊犁州特克斯县齐勒乌泽克镇地埋管网建设项目支出与上年保持一致。</w:t>
      </w:r>
    </w:p>
    <w:p w14:paraId="6A004041">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21.农林水支出(类)巩固脱贫攻坚成果衔接乡村振兴(款)生产发展(项):支出决算数为341.57万元，比上年决算减少380.89万元，下降52.72%,主要原因是：本年度减少伊犁州特克斯县齐勒乌泽克镇新疆刁羊之乡建设项目。</w:t>
      </w:r>
    </w:p>
    <w:p w14:paraId="48E3FA7A">
      <w:pPr>
        <w:spacing w:line="580" w:lineRule="exact"/>
        <w:ind w:firstLine="640"/>
        <w:jc w:val="both"/>
      </w:pPr>
      <w:r>
        <w:rPr>
          <w:rFonts w:ascii="仿宋_GB2312" w:hAnsi="仿宋_GB2312" w:eastAsia="仿宋_GB2312"/>
          <w:b w:val="0"/>
          <w:sz w:val="32"/>
        </w:rPr>
        <w:t>22.农林水支出(类)巩固脱贫攻坚成果衔接乡村振兴(款)其他巩固脱贫攻坚成果衔接乡村振兴支出(项):支出决算数为7.27万元，比上年决算减少21.83万元，下降75.02%,主要原因是：本年度</w:t>
      </w:r>
      <w:r>
        <w:rPr>
          <w:rFonts w:hint="eastAsia" w:ascii="仿宋_GB2312" w:hAnsi="仿宋_GB2312" w:eastAsia="仿宋_GB2312"/>
          <w:b w:val="0"/>
          <w:sz w:val="32"/>
          <w:lang w:val="en-US" w:eastAsia="zh-CN"/>
        </w:rPr>
        <w:t>此科目减少人员生活补助经费</w:t>
      </w:r>
      <w:r>
        <w:rPr>
          <w:rFonts w:ascii="仿宋_GB2312" w:hAnsi="仿宋_GB2312" w:eastAsia="仿宋_GB2312"/>
          <w:b w:val="0"/>
          <w:sz w:val="32"/>
        </w:rPr>
        <w:t>。</w:t>
      </w:r>
    </w:p>
    <w:p w14:paraId="644C3D32">
      <w:pPr>
        <w:spacing w:line="580" w:lineRule="exact"/>
        <w:ind w:firstLine="640"/>
        <w:jc w:val="both"/>
      </w:pPr>
      <w:r>
        <w:rPr>
          <w:rFonts w:ascii="仿宋_GB2312" w:hAnsi="仿宋_GB2312" w:eastAsia="仿宋_GB2312"/>
          <w:b w:val="0"/>
          <w:sz w:val="32"/>
        </w:rPr>
        <w:t>23.农林水支出(类)农村综合改革(款)对村级公益事业建设的补助(项):支出决算数为116.10万元，比上年决算减少252.90万元，下降68.54%,主要原因是：本年减少2022年中央农村综合改革转移支付资金。</w:t>
      </w:r>
    </w:p>
    <w:p w14:paraId="1658BA33">
      <w:pPr>
        <w:spacing w:line="580" w:lineRule="exact"/>
        <w:ind w:firstLine="640"/>
        <w:jc w:val="both"/>
      </w:pPr>
      <w:r>
        <w:rPr>
          <w:rFonts w:ascii="仿宋_GB2312" w:hAnsi="仿宋_GB2312" w:eastAsia="仿宋_GB2312"/>
          <w:b w:val="0"/>
          <w:sz w:val="32"/>
        </w:rPr>
        <w:t>24.农林水支出(类)农村综合改革(款)对村民委员会和村党支部的补助(项):支出决算数为358.92万元，比上年决算减少297.07万元，下降45.29%,主要原因是：本年度三老四类人员补助由组织部发放、村干部工资2024年6月起由组织部发放，支出较上年减少。</w:t>
      </w:r>
    </w:p>
    <w:p w14:paraId="24291B23">
      <w:pPr>
        <w:spacing w:line="580" w:lineRule="exact"/>
        <w:ind w:firstLine="640"/>
        <w:jc w:val="both"/>
      </w:pPr>
      <w:r>
        <w:rPr>
          <w:rFonts w:ascii="仿宋_GB2312" w:hAnsi="仿宋_GB2312" w:eastAsia="仿宋_GB2312"/>
          <w:b w:val="0"/>
          <w:sz w:val="32"/>
        </w:rPr>
        <w:t>25.农林水支出(类)其他农林水支出(款)其他农林水支出(项):支出决算数为0.00万元，比上年决算减少14.07万元，下降100.00%,主要原因是：本年减少农村“厕所革命”相关资金支出。</w:t>
      </w:r>
    </w:p>
    <w:p w14:paraId="125633A3">
      <w:pPr>
        <w:spacing w:line="580" w:lineRule="exact"/>
        <w:ind w:firstLine="640"/>
        <w:jc w:val="both"/>
      </w:pPr>
      <w:r>
        <w:rPr>
          <w:rFonts w:ascii="仿宋_GB2312" w:hAnsi="仿宋_GB2312" w:eastAsia="仿宋_GB2312"/>
          <w:b w:val="0"/>
          <w:sz w:val="32"/>
        </w:rPr>
        <w:t>26.住房保障支出(类)保障性安居工程支出(款)少数民族地区游牧民定居工程(项):支出决算数为166.96万元，比上年决算增加166.96万元，增长100.00%,主要原因是：本年新增城乡抗震安居工程建设民生实事资金项目。</w:t>
      </w:r>
    </w:p>
    <w:p w14:paraId="0E3A2B14">
      <w:pPr>
        <w:spacing w:line="580" w:lineRule="exact"/>
        <w:ind w:firstLine="640"/>
        <w:jc w:val="both"/>
      </w:pPr>
      <w:r>
        <w:rPr>
          <w:rFonts w:ascii="仿宋_GB2312" w:hAnsi="仿宋_GB2312" w:eastAsia="仿宋_GB2312"/>
          <w:b w:val="0"/>
          <w:sz w:val="32"/>
        </w:rPr>
        <w:t>27.住房保障支出(类)住房改革支出(款)住房公积金(项):支出决算数为177.29万元，比上年决算增加22.50万元，增长14.54%,主要原因是：本年在职人员工资基数调增，公积金缴费基数上涨，相应支出增加。</w:t>
      </w:r>
    </w:p>
    <w:p w14:paraId="3F17713E">
      <w:pPr>
        <w:spacing w:line="580" w:lineRule="exact"/>
        <w:ind w:firstLine="640"/>
        <w:jc w:val="both"/>
      </w:pPr>
      <w:r>
        <w:rPr>
          <w:rFonts w:ascii="仿宋_GB2312" w:hAnsi="仿宋_GB2312" w:eastAsia="仿宋_GB2312"/>
          <w:b w:val="0"/>
          <w:sz w:val="32"/>
        </w:rPr>
        <w:t>28.住房保障支出(类)城乡社区住宅(款)公有住房建设和维修改造支出(项):支出决算数为30.00万元，比上年决算增加30.00万元，增长100.00%,主要原因是：本年新增基层政权组织建设项目。</w:t>
      </w:r>
    </w:p>
    <w:p w14:paraId="689ED9CB">
      <w:pPr>
        <w:spacing w:line="640" w:lineRule="exact"/>
        <w:ind w:firstLine="640"/>
        <w:jc w:val="both"/>
        <w:outlineLvl w:val="2"/>
      </w:pPr>
      <w:r>
        <w:rPr>
          <w:rFonts w:ascii="黑体" w:hAnsi="黑体" w:eastAsia="黑体"/>
          <w:sz w:val="32"/>
        </w:rPr>
        <w:t>六、一般公共预算财政拨款基本支出决算情况说明</w:t>
      </w:r>
    </w:p>
    <w:p w14:paraId="6EA39EDC">
      <w:pPr>
        <w:spacing w:line="580" w:lineRule="exact"/>
        <w:ind w:firstLine="640"/>
        <w:jc w:val="both"/>
      </w:pPr>
      <w:r>
        <w:rPr>
          <w:rFonts w:ascii="仿宋_GB2312" w:hAnsi="仿宋_GB2312" w:eastAsia="仿宋_GB2312"/>
          <w:b w:val="0"/>
          <w:sz w:val="32"/>
        </w:rPr>
        <w:t>2024年度一般公共预算财政拨款基本支出3,082.29万元，其中：</w:t>
      </w:r>
      <w:r>
        <w:rPr>
          <w:rFonts w:ascii="仿宋_GB2312" w:hAnsi="仿宋_GB2312" w:eastAsia="仿宋_GB2312"/>
          <w:b/>
          <w:sz w:val="32"/>
        </w:rPr>
        <w:t>人员经费2,792.06万元，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基本养老保险缴费、职业年金缴费、职工基本医疗保险缴费、公务员医疗补助缴费、其他社会保障缴费、住房公积金、其他工资福利支出、退休费、抚恤金、生活补助。</w:t>
      </w:r>
    </w:p>
    <w:p w14:paraId="561D5C04">
      <w:pPr>
        <w:spacing w:line="580" w:lineRule="exact"/>
        <w:ind w:firstLine="640"/>
        <w:jc w:val="both"/>
      </w:pPr>
      <w:r>
        <w:rPr>
          <w:rFonts w:ascii="仿宋_GB2312" w:hAnsi="仿宋_GB2312" w:eastAsia="仿宋_GB2312"/>
          <w:b/>
          <w:sz w:val="32"/>
        </w:rPr>
        <w:t>公用经费290.24万元，</w:t>
      </w:r>
      <w:r>
        <w:rPr>
          <w:rFonts w:ascii="仿宋_GB2312" w:hAnsi="仿宋_GB2312" w:eastAsia="仿宋_GB2312"/>
          <w:b w:val="0"/>
          <w:sz w:val="32"/>
        </w:rPr>
        <w:t>包括：办公费、水费、电费、邮电费、差旅费、工会经费、公务用车运行维护费、税金及附加费用、办公设备购置。</w:t>
      </w:r>
    </w:p>
    <w:p w14:paraId="3D45C18A">
      <w:pPr>
        <w:spacing w:line="640" w:lineRule="exact"/>
        <w:ind w:firstLine="640"/>
        <w:jc w:val="both"/>
        <w:outlineLvl w:val="2"/>
      </w:pPr>
      <w:r>
        <w:rPr>
          <w:rFonts w:ascii="黑体" w:hAnsi="黑体" w:eastAsia="黑体"/>
          <w:sz w:val="32"/>
        </w:rPr>
        <w:t>七、政府性基金预算财政拨款收入支出决算情况说明</w:t>
      </w:r>
    </w:p>
    <w:p w14:paraId="5B787523">
      <w:pPr>
        <w:spacing w:line="580" w:lineRule="exact"/>
        <w:ind w:firstLine="640"/>
        <w:jc w:val="both"/>
      </w:pPr>
      <w:r>
        <w:rPr>
          <w:rFonts w:ascii="仿宋_GB2312" w:hAnsi="仿宋_GB2312" w:eastAsia="仿宋_GB2312"/>
          <w:b/>
          <w:sz w:val="32"/>
        </w:rPr>
        <w:t>2024年度政府性基金预算财政拨款收入总计197.06万元，</w:t>
      </w:r>
      <w:r>
        <w:rPr>
          <w:rFonts w:ascii="仿宋_GB2312" w:hAnsi="仿宋_GB2312" w:eastAsia="仿宋_GB2312"/>
          <w:b w:val="0"/>
          <w:sz w:val="32"/>
        </w:rPr>
        <w:t>其中：年初结转和结余0.00万元，本年收入197.06万元。</w:t>
      </w:r>
      <w:r>
        <w:rPr>
          <w:rFonts w:ascii="仿宋_GB2312" w:hAnsi="仿宋_GB2312" w:eastAsia="仿宋_GB2312"/>
          <w:b/>
          <w:sz w:val="32"/>
        </w:rPr>
        <w:t>政府性基金预算财政拨款支出总计197.06万元，</w:t>
      </w:r>
      <w:r>
        <w:rPr>
          <w:rFonts w:ascii="仿宋_GB2312" w:hAnsi="仿宋_GB2312" w:eastAsia="仿宋_GB2312"/>
          <w:b w:val="0"/>
          <w:sz w:val="32"/>
        </w:rPr>
        <w:t>其中：年末结转和结余0.00万元，本年支出197.06万元。</w:t>
      </w:r>
    </w:p>
    <w:p w14:paraId="7F9052A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192.06万元，增长3,841.20%，主要原因是：本年新增伊犁州特克斯县2021年乡镇干部周转宿舍建设项目（二标段）、伊犁州特克斯县2022年村民服务中心建设项目（二标段）、特克斯县齐勒乌泽克镇2023年村民服务中心建设项目、特克斯县齐勒乌泽克镇2024巴喀勒克村化粪池建设项目、特克斯县齐勒乌泽克镇2024办公业务用房翻新维护项目、特克斯县齐勒乌泽克镇2024年宋宝国砖款案件款、特克斯县齐勒乌泽克镇2024年干部周转房建设项目资金、特克斯县齐勒乌泽克镇民族团结教育基地建设项目资金（四标段）、特克斯县齐勒乌泽克镇2024年周廷树工程案件款、特克斯县齐勒乌泽克镇2024年政府彩钢棚工程。</w:t>
      </w:r>
      <w:r>
        <w:rPr>
          <w:rFonts w:ascii="仿宋_GB2312" w:hAnsi="仿宋_GB2312" w:eastAsia="仿宋_GB2312"/>
          <w:b/>
          <w:sz w:val="32"/>
        </w:rPr>
        <w:t>与年初预算相比，</w:t>
      </w:r>
      <w:r>
        <w:rPr>
          <w:rFonts w:ascii="仿宋_GB2312" w:hAnsi="仿宋_GB2312" w:eastAsia="仿宋_GB2312"/>
          <w:b w:val="0"/>
          <w:sz w:val="32"/>
        </w:rPr>
        <w:t>年初预算数0.00万元，决算数197.06万元，预决算差异率100.00%，主要原因是：年中追加伊犁州特克斯县2021年乡镇干部周转宿舍建设项目（二标段）、伊犁州特克斯县2022年村民服务中心建设项目（二标段）、特克斯县齐勒乌泽克镇2023年村民服务中心建设项目、特克斯县齐勒乌泽克镇2024巴喀勒克村化粪池建设项目、特克斯县齐勒乌泽克镇2024办公业务用房翻新维护项目、特克斯县齐勒乌泽克镇2024年宋宝国砖款案件款、特克斯县齐勒乌泽克镇2024年干部周转房建设项目资金、特克斯县齐勒乌泽克镇民族团结教育基地建设项目资金（四标段）、特克斯县齐勒乌泽克镇2024年周廷树工程案件款、特克斯县齐勒乌泽克镇2024年政府彩钢棚工程款等，导致预决算存在差异。</w:t>
      </w:r>
    </w:p>
    <w:p w14:paraId="09904532">
      <w:pPr>
        <w:spacing w:line="580" w:lineRule="exact"/>
        <w:ind w:firstLine="640"/>
        <w:jc w:val="both"/>
      </w:pPr>
      <w:r>
        <w:rPr>
          <w:rFonts w:ascii="仿宋_GB2312" w:hAnsi="仿宋_GB2312" w:eastAsia="仿宋_GB2312"/>
          <w:b w:val="0"/>
          <w:sz w:val="32"/>
        </w:rPr>
        <w:t>政府性基金预算财政拨款支出197.06万元。</w:t>
      </w:r>
    </w:p>
    <w:p w14:paraId="33FA6F69">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109.27万元，比上年决算增加109.27万元，增长100.00%,主要原因是：本年新增伊犁州特克斯县2021年乡镇干部周转宿舍建设项目（二标段）、伊犁州特克斯县2022年村民服务中心建设项目（二标段）、特克斯县齐勒乌泽克镇2023年村民服务中心建设项目。</w:t>
      </w:r>
    </w:p>
    <w:p w14:paraId="201A4DCD">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73.45万元，比上年决算增加73.45万元，增长100.00%,主要原因是：本年新增特克斯县齐勒乌泽克镇2024巴喀勒克村化粪池建设项目、特克斯县齐勒乌泽克镇2024办公业务用房翻新维护项目、特克斯县齐勒乌泽克镇2024年宋宝国砖款案件款、特克斯县齐勒乌泽克镇2024年干部周转房建设项目资金、特克斯县齐勒乌泽克镇民族团结教育基地建设项目资金（四标段）、特克斯县齐勒乌泽克镇2024年周廷树工程案件款、特克斯县齐勒乌泽克镇2024年政府彩钢棚工程款。</w:t>
      </w:r>
    </w:p>
    <w:p w14:paraId="5142C6F0">
      <w:pPr>
        <w:spacing w:line="580" w:lineRule="exact"/>
        <w:ind w:firstLine="640"/>
        <w:jc w:val="both"/>
      </w:pPr>
      <w:r>
        <w:rPr>
          <w:rFonts w:ascii="仿宋_GB2312" w:hAnsi="仿宋_GB2312" w:eastAsia="仿宋_GB2312"/>
          <w:b w:val="0"/>
          <w:sz w:val="32"/>
        </w:rPr>
        <w:t>3.农林水支出(类)大中型水库移民后期扶持基金支出(款)基础设施建设和经济发展(项):支出决算数为9.35万元，比上年决算增加9.35万元，增长100.00%,主要原因是：本年新增特克斯县齐勒乌泽克镇阿克奇村人居环境整治项目。</w:t>
      </w:r>
    </w:p>
    <w:p w14:paraId="3DA57B82">
      <w:pPr>
        <w:spacing w:line="580" w:lineRule="exact"/>
        <w:ind w:firstLine="640"/>
        <w:jc w:val="both"/>
      </w:pPr>
      <w:r>
        <w:rPr>
          <w:rFonts w:ascii="仿宋_GB2312" w:hAnsi="仿宋_GB2312" w:eastAsia="仿宋_GB2312"/>
          <w:b w:val="0"/>
          <w:sz w:val="32"/>
        </w:rPr>
        <w:t>4.其他支出(类)彩票公益金安排的支出(款)用于体育事业的彩票公益金支出(项):支出决算数为5.00万元，比上年决算增加0.00万元，增长0.00%,主要原因是：本年喀木斯特布拉克村健身场地建设项目，与上年保持一致。</w:t>
      </w:r>
    </w:p>
    <w:p w14:paraId="41C0E2CA">
      <w:pPr>
        <w:spacing w:line="640" w:lineRule="exact"/>
        <w:ind w:firstLine="640"/>
        <w:jc w:val="both"/>
        <w:outlineLvl w:val="2"/>
      </w:pPr>
      <w:r>
        <w:rPr>
          <w:rFonts w:ascii="黑体" w:hAnsi="黑体" w:eastAsia="黑体"/>
          <w:sz w:val="32"/>
        </w:rPr>
        <w:t>八、国有资本经营预算财政拨款收入支出决算情况说明</w:t>
      </w:r>
    </w:p>
    <w:p w14:paraId="7CE5D3A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71753B6">
      <w:pPr>
        <w:spacing w:line="640" w:lineRule="exact"/>
        <w:ind w:firstLine="640"/>
        <w:jc w:val="both"/>
        <w:outlineLvl w:val="2"/>
      </w:pPr>
      <w:r>
        <w:rPr>
          <w:rFonts w:ascii="黑体" w:hAnsi="黑体" w:eastAsia="黑体"/>
          <w:sz w:val="32"/>
        </w:rPr>
        <w:t>九、财政拨款“三公”经费支出决算情况说明</w:t>
      </w:r>
    </w:p>
    <w:p w14:paraId="3ED74015">
      <w:pPr>
        <w:spacing w:line="580" w:lineRule="exact"/>
        <w:ind w:firstLine="640"/>
        <w:jc w:val="both"/>
      </w:pPr>
      <w:r>
        <w:rPr>
          <w:rFonts w:ascii="仿宋_GB2312" w:hAnsi="仿宋_GB2312" w:eastAsia="仿宋_GB2312"/>
          <w:b/>
          <w:sz w:val="32"/>
        </w:rPr>
        <w:t>2024年度财政拨款“三公”经费支出3.58万元，</w:t>
      </w:r>
      <w:r>
        <w:rPr>
          <w:rFonts w:ascii="仿宋_GB2312" w:hAnsi="仿宋_GB2312" w:eastAsia="仿宋_GB2312"/>
          <w:b w:val="0"/>
          <w:sz w:val="32"/>
        </w:rPr>
        <w:t>比上年增加2.58万元，增长258.00%，主要原因是：本年因业务需求，用车次数增加，导致公务用车维护费及燃油费有所增加。其中：因公出国（境）费支出0.00万元，占0.00%，比上年增加0.00万元，增长0.00%，主要原因是：2023年与2024年均未安排因公出国（境）费支出。公务用车购置及运行维护费支出3.58万元，占100.00%，比上年增加2.58万元，增长258.00%，主要原因是：本年因业务需求，用车次数增加，燃油费增加，导致公务用车运行维护费较上年增加。公务接待费支出0.00万元，占0.00%，比上年增加0.00万元，增长0.00%，主要原因是：2023年与2024年均未安排公务接待费支出。</w:t>
      </w:r>
    </w:p>
    <w:p w14:paraId="0D4E59D9">
      <w:pPr>
        <w:spacing w:line="580" w:lineRule="exact"/>
        <w:ind w:firstLine="640"/>
        <w:jc w:val="both"/>
      </w:pPr>
      <w:r>
        <w:rPr>
          <w:rFonts w:ascii="仿宋_GB2312" w:hAnsi="仿宋_GB2312" w:eastAsia="仿宋_GB2312"/>
          <w:b/>
          <w:sz w:val="32"/>
        </w:rPr>
        <w:t>具体情况如下：</w:t>
      </w:r>
    </w:p>
    <w:p w14:paraId="10E046EB">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F114AA0">
      <w:pPr>
        <w:spacing w:line="580" w:lineRule="exact"/>
        <w:ind w:firstLine="640"/>
        <w:jc w:val="both"/>
      </w:pPr>
      <w:r>
        <w:rPr>
          <w:rFonts w:ascii="仿宋_GB2312" w:hAnsi="仿宋_GB2312" w:eastAsia="仿宋_GB2312"/>
          <w:b w:val="0"/>
          <w:sz w:val="32"/>
        </w:rPr>
        <w:t>公务用车购置及运行维护费3.58万元，其中：公务用车购置费0.00万元，公务用车运行维护费3.58万元。公务用车运行维护费开支内容包括车辆加油费、维修费、保险费、审车费等。公务用车购置数0辆，公务用车保有量16辆。国有资产占用情况中固定资产车辆16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2361F7A2">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C4CF6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3.58万元，决算数3.58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3.58万元，决算数3.58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93F350B">
      <w:pPr>
        <w:spacing w:line="640" w:lineRule="exact"/>
        <w:ind w:firstLine="640"/>
        <w:jc w:val="both"/>
        <w:outlineLvl w:val="2"/>
      </w:pPr>
      <w:r>
        <w:rPr>
          <w:rFonts w:ascii="黑体" w:hAnsi="黑体" w:eastAsia="黑体"/>
          <w:sz w:val="32"/>
        </w:rPr>
        <w:t>十、其他重要事项的情况说明</w:t>
      </w:r>
    </w:p>
    <w:p w14:paraId="6DAC7FE5">
      <w:pPr>
        <w:spacing w:line="640" w:lineRule="exact"/>
        <w:ind w:firstLine="640"/>
        <w:jc w:val="both"/>
        <w:outlineLvl w:val="3"/>
      </w:pPr>
      <w:r>
        <w:rPr>
          <w:rFonts w:ascii="楷体_GB2312" w:hAnsi="楷体_GB2312" w:eastAsia="楷体_GB2312"/>
          <w:b/>
          <w:sz w:val="32"/>
        </w:rPr>
        <w:t>（一）机关运行经费及公用经费支出情况</w:t>
      </w:r>
    </w:p>
    <w:p w14:paraId="3A7317FB">
      <w:pPr>
        <w:spacing w:line="580" w:lineRule="exact"/>
        <w:ind w:firstLine="640"/>
        <w:jc w:val="both"/>
      </w:pPr>
      <w:r>
        <w:rPr>
          <w:rFonts w:ascii="仿宋_GB2312" w:hAnsi="仿宋_GB2312" w:eastAsia="仿宋_GB2312"/>
          <w:b w:val="0"/>
          <w:sz w:val="32"/>
        </w:rPr>
        <w:t>2024年度特克斯县齐勒乌泽克镇人民政府（行政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）机关运行经费支出290.24万元，比上年增加84.82万元，增长41.29%，主要原因是：本年增加办公费、电费、邮电费等支出较上年增加，相应支出较上年增加。</w:t>
      </w:r>
    </w:p>
    <w:p w14:paraId="2073DBC3">
      <w:pPr>
        <w:spacing w:line="640" w:lineRule="exact"/>
        <w:ind w:firstLine="640"/>
        <w:jc w:val="both"/>
        <w:outlineLvl w:val="3"/>
      </w:pPr>
      <w:r>
        <w:rPr>
          <w:rFonts w:ascii="楷体_GB2312" w:hAnsi="楷体_GB2312" w:eastAsia="楷体_GB2312"/>
          <w:b/>
          <w:sz w:val="32"/>
        </w:rPr>
        <w:t>（二）政府采购情况</w:t>
      </w:r>
    </w:p>
    <w:p w14:paraId="2FCF6E25">
      <w:pPr>
        <w:spacing w:line="580" w:lineRule="exact"/>
        <w:ind w:firstLine="640"/>
        <w:jc w:val="both"/>
      </w:pPr>
      <w:r>
        <w:rPr>
          <w:rFonts w:ascii="仿宋_GB2312" w:hAnsi="仿宋_GB2312" w:eastAsia="仿宋_GB2312"/>
          <w:b w:val="0"/>
          <w:sz w:val="32"/>
        </w:rPr>
        <w:t>2024年度政府采购支出总额4.26万元，其中：政府采购货物支出2.32万元、政府采购工程支出0.00万元、政府采购服务支出1.94万元。</w:t>
      </w:r>
    </w:p>
    <w:p w14:paraId="24624089">
      <w:pPr>
        <w:spacing w:line="580" w:lineRule="exact"/>
        <w:ind w:firstLine="640"/>
        <w:jc w:val="both"/>
      </w:pPr>
      <w:r>
        <w:rPr>
          <w:rFonts w:ascii="仿宋_GB2312" w:hAnsi="仿宋_GB2312" w:eastAsia="仿宋_GB2312"/>
          <w:b w:val="0"/>
          <w:sz w:val="32"/>
        </w:rPr>
        <w:t>授予中小企业合同金额2.84万元，占政府采购支出总额的66.67%，其中：授予小微企业合同金额2.84万元，占政府采购支出总额的66.67%。</w:t>
      </w:r>
    </w:p>
    <w:p w14:paraId="38B42C17">
      <w:pPr>
        <w:spacing w:line="640" w:lineRule="exact"/>
        <w:ind w:firstLine="640"/>
        <w:jc w:val="both"/>
        <w:outlineLvl w:val="3"/>
      </w:pPr>
      <w:r>
        <w:rPr>
          <w:rFonts w:ascii="楷体_GB2312" w:hAnsi="楷体_GB2312" w:eastAsia="楷体_GB2312"/>
          <w:b/>
          <w:sz w:val="32"/>
        </w:rPr>
        <w:t>（三）国有资产占用情况说明</w:t>
      </w:r>
    </w:p>
    <w:p w14:paraId="60C9CCA5">
      <w:pPr>
        <w:spacing w:line="580" w:lineRule="exact"/>
        <w:ind w:firstLine="640"/>
        <w:jc w:val="both"/>
      </w:pPr>
      <w:r>
        <w:rPr>
          <w:rFonts w:ascii="仿宋_GB2312" w:hAnsi="仿宋_GB2312" w:eastAsia="仿宋_GB2312"/>
          <w:b w:val="0"/>
          <w:sz w:val="32"/>
        </w:rPr>
        <w:t>截至2024年12月31日，房屋2,349.00平方米，价值334.91万元。车辆16辆，价值179.15万元，其中：副部（省）级及以上领导用车0辆、主要负责人用车3辆、机要通信用车1辆、应急保障用车0辆、执法执勤用车0辆、特种专业技术用车0辆、离退休干部服务用车0辆、其他用车12辆，其他用车主要是：一般公务用车。单价100万元（含）以上设备（不含车辆）0台（套）。</w:t>
      </w:r>
    </w:p>
    <w:p w14:paraId="5604D1AA">
      <w:pPr>
        <w:spacing w:line="640" w:lineRule="exact"/>
        <w:ind w:firstLine="640"/>
        <w:jc w:val="both"/>
        <w:outlineLvl w:val="2"/>
      </w:pPr>
      <w:r>
        <w:rPr>
          <w:rFonts w:ascii="黑体" w:hAnsi="黑体" w:eastAsia="黑体"/>
          <w:sz w:val="32"/>
        </w:rPr>
        <w:t>十一、预算绩效的情况说明</w:t>
      </w:r>
    </w:p>
    <w:p w14:paraId="1717D412">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4,617.95万元，实际执行总额4,617.95万元；预算绩效评价项目2个，全年预算数193.00万元，全年执行数176.96万元。预算绩效管理取得的成效：一是提高资源配置效率，通过绩效目标引导资金投入，优化资源使用；二是增强决策透明度，促进政府和部门之间的沟通与协作，提高公共服务质量。发现的问题及原因：一是绩效评价指标不够科学，难以全面反映项目成效；二是数据收集与分析不够及时，影响决策依据，导致绩效管理失效。下一步改进措施：一是完善绩效评价体系，建立科学合理的指标体系，确保评价的全面性与准确性；二是加强数据管理和分析能力，提升实时监控与反馈机制，以支持决策优化。具体附整体支出绩效自评表，项目支出绩效自评表和评价报告。</w:t>
      </w:r>
    </w:p>
    <w:p w14:paraId="0B151B4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D034F06">
        <w:tblPrEx>
          <w:tblCellMar>
            <w:top w:w="0" w:type="dxa"/>
            <w:left w:w="108" w:type="dxa"/>
            <w:bottom w:w="0" w:type="dxa"/>
            <w:right w:w="108" w:type="dxa"/>
          </w:tblCellMar>
        </w:tblPrEx>
        <w:tc>
          <w:tcPr>
            <w:tcW w:w="8840" w:type="dxa"/>
            <w:gridSpan w:val="8"/>
            <w:vAlign w:val="center"/>
          </w:tcPr>
          <w:p w14:paraId="1504FC5A">
            <w:pPr>
              <w:jc w:val="center"/>
            </w:pPr>
            <w:r>
              <w:rPr>
                <w:rFonts w:hint="eastAsia" w:ascii="宋体" w:hAnsi="宋体"/>
                <w:sz w:val="24"/>
                <w:lang w:eastAsia="zh-CN"/>
              </w:rPr>
              <w:t>单位</w:t>
            </w:r>
            <w:r>
              <w:rPr>
                <w:rFonts w:ascii="宋体" w:hAnsi="宋体" w:eastAsia="宋体"/>
                <w:sz w:val="24"/>
              </w:rPr>
              <w:t>整体支出绩效自评表</w:t>
            </w:r>
          </w:p>
        </w:tc>
      </w:tr>
      <w:tr w14:paraId="218B7EBC">
        <w:tblPrEx>
          <w:tblCellMar>
            <w:top w:w="0" w:type="dxa"/>
            <w:left w:w="108" w:type="dxa"/>
            <w:bottom w:w="0" w:type="dxa"/>
            <w:right w:w="108" w:type="dxa"/>
          </w:tblCellMar>
        </w:tblPrEx>
        <w:tc>
          <w:tcPr>
            <w:tcW w:w="8840" w:type="dxa"/>
            <w:gridSpan w:val="8"/>
            <w:vAlign w:val="center"/>
          </w:tcPr>
          <w:p w14:paraId="3C35DC47">
            <w:pPr>
              <w:jc w:val="center"/>
            </w:pPr>
            <w:r>
              <w:rPr>
                <w:rFonts w:ascii="宋体" w:hAnsi="宋体" w:eastAsia="宋体"/>
                <w:sz w:val="24"/>
              </w:rPr>
              <w:t>（2024年度）</w:t>
            </w:r>
          </w:p>
        </w:tc>
      </w:tr>
      <w:tr w14:paraId="7DE44B9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CBF93">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2A01A">
            <w:pPr>
              <w:jc w:val="center"/>
            </w:pPr>
            <w:r>
              <w:rPr>
                <w:rFonts w:ascii="宋体" w:hAnsi="宋体" w:eastAsia="宋体"/>
                <w:sz w:val="16"/>
              </w:rPr>
              <w:t>特克斯县齐勒乌泽克镇人民政府</w:t>
            </w:r>
          </w:p>
        </w:tc>
      </w:tr>
      <w:tr w14:paraId="2E496D8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AD33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27EF4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328BA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6A5E6">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EC60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F6D5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2864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302F4B">
            <w:pPr>
              <w:jc w:val="center"/>
            </w:pPr>
            <w:r>
              <w:rPr>
                <w:rFonts w:ascii="宋体" w:hAnsi="宋体" w:eastAsia="宋体"/>
                <w:sz w:val="16"/>
              </w:rPr>
              <w:t>得分</w:t>
            </w:r>
          </w:p>
        </w:tc>
      </w:tr>
      <w:tr w14:paraId="0D119A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6CBF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D1C2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C7AE4">
            <w:pPr>
              <w:jc w:val="center"/>
            </w:pPr>
            <w:r>
              <w:rPr>
                <w:rFonts w:ascii="宋体" w:hAnsi="宋体" w:eastAsia="宋体"/>
                <w:sz w:val="16"/>
              </w:rPr>
              <w:t>2,400.64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12A52">
            <w:pPr>
              <w:jc w:val="center"/>
            </w:pPr>
            <w:r>
              <w:rPr>
                <w:rFonts w:ascii="宋体" w:hAnsi="宋体" w:eastAsia="宋体"/>
                <w:sz w:val="16"/>
              </w:rPr>
              <w:t>4,617.95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5C116">
            <w:pPr>
              <w:jc w:val="center"/>
            </w:pPr>
            <w:r>
              <w:rPr>
                <w:rFonts w:ascii="宋体" w:hAnsi="宋体" w:eastAsia="宋体"/>
                <w:sz w:val="16"/>
              </w:rPr>
              <w:t>4,617.95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56952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A018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9CEEE">
            <w:pPr>
              <w:jc w:val="center"/>
            </w:pPr>
            <w:r>
              <w:rPr>
                <w:rFonts w:ascii="宋体" w:hAnsi="宋体" w:eastAsia="宋体"/>
                <w:sz w:val="16"/>
              </w:rPr>
              <w:t>10</w:t>
            </w:r>
          </w:p>
        </w:tc>
      </w:tr>
      <w:tr w14:paraId="672DC6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AF064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CE7F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D3BE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0B58F">
            <w:pPr>
              <w:jc w:val="center"/>
            </w:pPr>
            <w:r>
              <w:rPr>
                <w:rFonts w:ascii="宋体" w:hAnsi="宋体" w:eastAsia="宋体"/>
                <w:sz w:val="16"/>
              </w:rPr>
              <w:t>829.53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89772">
            <w:pPr>
              <w:jc w:val="center"/>
            </w:pPr>
            <w:r>
              <w:rPr>
                <w:rFonts w:ascii="宋体" w:hAnsi="宋体" w:eastAsia="宋体"/>
                <w:sz w:val="16"/>
              </w:rPr>
              <w:t>829.53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70C6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A3C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A2FF7">
            <w:pPr>
              <w:jc w:val="center"/>
            </w:pPr>
            <w:r>
              <w:rPr>
                <w:rFonts w:ascii="宋体" w:hAnsi="宋体" w:eastAsia="宋体"/>
                <w:sz w:val="16"/>
              </w:rPr>
              <w:t>-</w:t>
            </w:r>
          </w:p>
        </w:tc>
      </w:tr>
      <w:tr w14:paraId="3DC2E1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C213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AE3F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2FA24">
            <w:pPr>
              <w:jc w:val="center"/>
            </w:pPr>
            <w:r>
              <w:rPr>
                <w:rFonts w:ascii="宋体" w:hAnsi="宋体" w:eastAsia="宋体"/>
                <w:sz w:val="16"/>
              </w:rPr>
              <w:t>2,400.64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8CDCE">
            <w:pPr>
              <w:jc w:val="center"/>
            </w:pPr>
            <w:r>
              <w:rPr>
                <w:rFonts w:ascii="宋体" w:hAnsi="宋体" w:eastAsia="宋体"/>
                <w:sz w:val="16"/>
              </w:rPr>
              <w:t>3,788.42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34C2F">
            <w:pPr>
              <w:jc w:val="center"/>
            </w:pPr>
            <w:r>
              <w:rPr>
                <w:rFonts w:ascii="宋体" w:hAnsi="宋体" w:eastAsia="宋体"/>
                <w:sz w:val="16"/>
              </w:rPr>
              <w:t>3,788.42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3FDE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202E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7C0BE">
            <w:pPr>
              <w:jc w:val="center"/>
            </w:pPr>
            <w:r>
              <w:rPr>
                <w:rFonts w:ascii="宋体" w:hAnsi="宋体" w:eastAsia="宋体"/>
                <w:sz w:val="16"/>
              </w:rPr>
              <w:t>-</w:t>
            </w:r>
          </w:p>
        </w:tc>
      </w:tr>
      <w:tr w14:paraId="378A08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DB47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A51D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CEE8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93AA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06C1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D4B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F271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7BD07">
            <w:pPr>
              <w:jc w:val="center"/>
            </w:pPr>
            <w:r>
              <w:rPr>
                <w:rFonts w:ascii="宋体" w:hAnsi="宋体" w:eastAsia="宋体"/>
                <w:sz w:val="16"/>
              </w:rPr>
              <w:t>-</w:t>
            </w:r>
          </w:p>
        </w:tc>
      </w:tr>
      <w:tr w14:paraId="2CE53DD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B6CA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8C39D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8B8407">
            <w:pPr>
              <w:jc w:val="center"/>
            </w:pPr>
            <w:r>
              <w:rPr>
                <w:rFonts w:ascii="宋体" w:hAnsi="宋体" w:eastAsia="宋体"/>
                <w:sz w:val="16"/>
              </w:rPr>
              <w:t>实际完成情况</w:t>
            </w:r>
          </w:p>
        </w:tc>
      </w:tr>
      <w:tr w14:paraId="0124F0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DDA8C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195C7D">
            <w:pPr>
              <w:jc w:val="both"/>
            </w:pPr>
            <w:r>
              <w:rPr>
                <w:rFonts w:ascii="宋体" w:hAnsi="宋体" w:eastAsia="宋体"/>
                <w:sz w:val="16"/>
              </w:rPr>
              <w:t>2024年是中华人民共和国成立75周年，是实现“十四五”规划目标任务的关键一年，是推动经济高质量发展，谱写打造齐勒乌泽克镇“生态立镇、产业兴镇、旅游旺镇、和谐稳镇”的精彩篇章。做好今年政府工作意义十分重大。党的二十大描绘了全面建设</w:t>
            </w:r>
            <w:r>
              <w:rPr>
                <w:rFonts w:hint="eastAsia" w:ascii="宋体" w:hAnsi="宋体"/>
                <w:sz w:val="16"/>
                <w:lang w:eastAsia="zh-CN"/>
              </w:rPr>
              <w:t>社会主义现代化国家的</w:t>
            </w:r>
            <w:r>
              <w:rPr>
                <w:rFonts w:ascii="宋体" w:hAnsi="宋体" w:eastAsia="宋体"/>
                <w:sz w:val="16"/>
              </w:rPr>
              <w:t>宏伟蓝图，为新时代新征程党和国家事业发展、实现第二个百年奋斗目标确立了行动指南。自治区党委十届六次、七次全体会议，明确了新疆在全面建成社会主义现代化强国中的战略定位，对奋力建设团结和谐、繁荣富裕、文明进步，安居乐业、生态良好的美好新疆作出了系统部署，为我们做好新时代新疆工作指明了方向。中共齐勒乌泽克镇第二届委员会第三次党委（扩大）会议，为做好我镇政府工作指明方向、明晰思路。我们要以更加饱满的热情、更加昂扬的斗志、以更大的决心毅力、更高的目标要求、更实的思路举措，坚定信心、锐意进取，奋力开创齐勒乌泽克镇改革发展稳定各项工作新局面。</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317DC9">
            <w:pPr>
              <w:jc w:val="both"/>
            </w:pPr>
            <w:r>
              <w:rPr>
                <w:rFonts w:ascii="宋体" w:hAnsi="宋体" w:eastAsia="宋体"/>
                <w:sz w:val="16"/>
              </w:rPr>
              <w:t>2024年我镇助力群众增收致富，提升生活质量、不断优化林果品种，高附加值、口感佳的新品种种植面积逐步扩大，有效提升了林果业整体经济效益、带动我镇居民形成团结互助氛围，增强社区凝聚力、适龄儿童从小学一年级到初中三年级完整接受9年义务教育，不让一个孩子辍学，推动了教育公平和人力资源素质的提升。增强村民的居住体验感与安全感及满足感，促进地方经济的增长。推动我镇经济高质量发展，谱写打造齐勒乌泽克镇“生态立镇、产业兴镇、旅游旺镇、和谐稳镇”的精彩篇章。做好今年政府工作意义十分重大。党的二十大描绘了全面建设</w:t>
            </w:r>
            <w:r>
              <w:rPr>
                <w:rFonts w:hint="eastAsia" w:ascii="宋体" w:hAnsi="宋体"/>
                <w:sz w:val="16"/>
                <w:lang w:eastAsia="zh-CN"/>
              </w:rPr>
              <w:t>社会主义现代化国家的</w:t>
            </w:r>
            <w:r>
              <w:rPr>
                <w:rFonts w:ascii="宋体" w:hAnsi="宋体" w:eastAsia="宋体"/>
                <w:sz w:val="16"/>
              </w:rPr>
              <w:t>宏伟蓝图，为新时代新征程党和国家事业发展、实现第二个百年奋斗目标确立了行动指南。自治区党委十届六次、七次全体会议，明确了新疆在全面建成社会主义现代化强国中的战略定位，对奋力建设团结和谐、繁荣富裕、文明进步，安居乐业、生态良好的美好新疆作出了系统部署，为我们做好新时代新疆工作指明了方向。中共齐勒乌泽克镇第二届委员会第三次党委（扩大）会议，为做好我镇政府工作指明方向、明晰思路。我们要以更加饱满的热情、更加昂扬的斗志、以更大的决心毅力、更高的目标要求、更实的思路举措，坚定信心、锐意进取，奋力开创齐勒乌泽克镇改革发展稳定各项工作新局面。</w:t>
            </w:r>
          </w:p>
        </w:tc>
      </w:tr>
      <w:tr w14:paraId="37C20B5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719F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8617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8969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948DF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8CDA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3E72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B8B2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8B17D">
            <w:pPr>
              <w:jc w:val="center"/>
            </w:pPr>
            <w:r>
              <w:rPr>
                <w:rFonts w:ascii="宋体" w:hAnsi="宋体" w:eastAsia="宋体"/>
                <w:sz w:val="16"/>
              </w:rPr>
              <w:t>得分</w:t>
            </w:r>
          </w:p>
        </w:tc>
      </w:tr>
      <w:tr w14:paraId="502E6F1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C539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BD10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1E7DF">
            <w:pPr>
              <w:jc w:val="center"/>
            </w:pPr>
            <w:r>
              <w:rPr>
                <w:rFonts w:ascii="宋体" w:hAnsi="宋体" w:eastAsia="宋体"/>
                <w:sz w:val="16"/>
              </w:rPr>
              <w:t>农村富余劳动力转移</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D7C1C">
            <w:pPr>
              <w:jc w:val="center"/>
            </w:pPr>
            <w:r>
              <w:rPr>
                <w:rFonts w:ascii="宋体" w:hAnsi="宋体" w:eastAsia="宋体"/>
                <w:sz w:val="16"/>
              </w:rPr>
              <w:t>&gt;=7500人次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F412F">
            <w:pPr>
              <w:jc w:val="center"/>
            </w:pPr>
            <w:r>
              <w:rPr>
                <w:rFonts w:ascii="宋体" w:hAnsi="宋体" w:eastAsia="宋体"/>
                <w:sz w:val="16"/>
              </w:rPr>
              <w:t>政府齐勒乌泽克镇人民政府</w:t>
            </w:r>
            <w:r>
              <w:rPr>
                <w:rFonts w:hint="eastAsia" w:ascii="宋体" w:hAnsi="宋体"/>
                <w:sz w:val="16"/>
                <w:lang w:eastAsia="zh-CN"/>
              </w:rPr>
              <w:t>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68D99">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85864">
            <w:pPr>
              <w:jc w:val="center"/>
            </w:pPr>
            <w:r>
              <w:rPr>
                <w:rFonts w:ascii="宋体" w:hAnsi="宋体" w:eastAsia="宋体"/>
                <w:sz w:val="16"/>
              </w:rPr>
              <w:t>7983人次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9A118">
            <w:pPr>
              <w:jc w:val="center"/>
            </w:pPr>
            <w:r>
              <w:rPr>
                <w:rFonts w:ascii="宋体" w:hAnsi="宋体" w:eastAsia="宋体"/>
                <w:sz w:val="16"/>
              </w:rPr>
              <w:t>18</w:t>
            </w:r>
          </w:p>
        </w:tc>
      </w:tr>
      <w:tr w14:paraId="5FAD928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DDC75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0A3E6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39576">
            <w:pPr>
              <w:jc w:val="center"/>
            </w:pPr>
            <w:r>
              <w:rPr>
                <w:rFonts w:ascii="宋体" w:hAnsi="宋体" w:eastAsia="宋体"/>
                <w:sz w:val="16"/>
              </w:rPr>
              <w:t>全镇林果产量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6372D">
            <w:pPr>
              <w:jc w:val="center"/>
            </w:pPr>
            <w:r>
              <w:rPr>
                <w:rFonts w:ascii="宋体" w:hAnsi="宋体" w:eastAsia="宋体"/>
                <w:sz w:val="16"/>
              </w:rPr>
              <w:t>&gt;=352.26吨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534BED">
            <w:pPr>
              <w:jc w:val="center"/>
            </w:pPr>
            <w:r>
              <w:rPr>
                <w:rFonts w:ascii="宋体" w:hAnsi="宋体" w:eastAsia="宋体"/>
                <w:sz w:val="16"/>
              </w:rPr>
              <w:t>齐勒乌泽克镇人民政府工作报告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EB8AA">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4C4C1">
            <w:pPr>
              <w:jc w:val="center"/>
            </w:pPr>
            <w:r>
              <w:rPr>
                <w:rFonts w:ascii="宋体" w:hAnsi="宋体" w:eastAsia="宋体"/>
                <w:sz w:val="16"/>
              </w:rPr>
              <w:t>4767吨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DFEBE">
            <w:pPr>
              <w:jc w:val="center"/>
            </w:pPr>
            <w:r>
              <w:rPr>
                <w:rFonts w:ascii="宋体" w:hAnsi="宋体" w:eastAsia="宋体"/>
                <w:sz w:val="16"/>
              </w:rPr>
              <w:t>18</w:t>
            </w:r>
          </w:p>
        </w:tc>
      </w:tr>
      <w:tr w14:paraId="2486ED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AC965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A27DB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694A2">
            <w:pPr>
              <w:jc w:val="center"/>
            </w:pPr>
            <w:r>
              <w:rPr>
                <w:rFonts w:ascii="宋体" w:hAnsi="宋体" w:eastAsia="宋体"/>
                <w:sz w:val="16"/>
              </w:rPr>
              <w:t>创建县级民族团结示范家庭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DE0A2">
            <w:pPr>
              <w:jc w:val="center"/>
            </w:pPr>
            <w:r>
              <w:rPr>
                <w:rFonts w:ascii="宋体" w:hAnsi="宋体" w:eastAsia="宋体"/>
                <w:sz w:val="16"/>
              </w:rPr>
              <w:t>&gt;=100户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41252">
            <w:pPr>
              <w:jc w:val="center"/>
            </w:pPr>
            <w:r>
              <w:rPr>
                <w:rFonts w:ascii="宋体" w:hAnsi="宋体" w:eastAsia="宋体"/>
                <w:sz w:val="16"/>
              </w:rPr>
              <w:t>齐勒乌泽克镇人民政府工作报告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D89F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8839A">
            <w:pPr>
              <w:jc w:val="center"/>
            </w:pPr>
            <w:r>
              <w:rPr>
                <w:rFonts w:ascii="宋体" w:hAnsi="宋体" w:eastAsia="宋体"/>
                <w:sz w:val="16"/>
              </w:rPr>
              <w:t>90户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9F1B2">
            <w:pPr>
              <w:jc w:val="center"/>
            </w:pPr>
            <w:r>
              <w:rPr>
                <w:rFonts w:ascii="宋体" w:hAnsi="宋体" w:eastAsia="宋体"/>
                <w:sz w:val="16"/>
              </w:rPr>
              <w:t>16.2</w:t>
            </w:r>
          </w:p>
        </w:tc>
      </w:tr>
      <w:tr w14:paraId="48F778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4895BB"/>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1AD9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CCA2F">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5053A">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2059D">
            <w:pPr>
              <w:jc w:val="center"/>
            </w:pPr>
            <w:r>
              <w:rPr>
                <w:rFonts w:ascii="宋体" w:hAnsi="宋体" w:eastAsia="宋体"/>
                <w:sz w:val="16"/>
              </w:rPr>
              <w:t>齐勒乌泽克镇人民政府工作报告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E652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FD4D3">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439A7">
            <w:pPr>
              <w:jc w:val="center"/>
            </w:pPr>
            <w:r>
              <w:rPr>
                <w:rFonts w:ascii="宋体" w:hAnsi="宋体" w:eastAsia="宋体"/>
                <w:sz w:val="16"/>
              </w:rPr>
              <w:t>18</w:t>
            </w:r>
          </w:p>
        </w:tc>
      </w:tr>
      <w:tr w14:paraId="62B446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095BE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84C0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B5DAC">
            <w:pPr>
              <w:jc w:val="center"/>
            </w:pPr>
            <w:r>
              <w:rPr>
                <w:rFonts w:ascii="宋体" w:hAnsi="宋体" w:eastAsia="宋体"/>
                <w:sz w:val="16"/>
              </w:rPr>
              <w:t>提高建房户入住率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56DDC">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B757D">
            <w:pPr>
              <w:jc w:val="center"/>
            </w:pPr>
            <w:r>
              <w:rPr>
                <w:rFonts w:ascii="宋体" w:hAnsi="宋体" w:eastAsia="宋体"/>
                <w:sz w:val="16"/>
              </w:rPr>
              <w:t>齐勒乌泽克镇人民政府工作报告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1E78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BBEA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CA3A8">
            <w:pPr>
              <w:jc w:val="center"/>
            </w:pPr>
            <w:r>
              <w:rPr>
                <w:rFonts w:ascii="宋体" w:hAnsi="宋体" w:eastAsia="宋体"/>
                <w:sz w:val="16"/>
              </w:rPr>
              <w:t>18</w:t>
            </w:r>
          </w:p>
        </w:tc>
      </w:tr>
    </w:tbl>
    <w:p w14:paraId="34E0E0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5318034D">
        <w:tblPrEx>
          <w:tblCellMar>
            <w:top w:w="0" w:type="dxa"/>
            <w:left w:w="108" w:type="dxa"/>
            <w:bottom w:w="0" w:type="dxa"/>
            <w:right w:w="108" w:type="dxa"/>
          </w:tblCellMar>
        </w:tblPrEx>
        <w:tc>
          <w:tcPr>
            <w:tcW w:w="8848" w:type="dxa"/>
            <w:gridSpan w:val="14"/>
            <w:vAlign w:val="center"/>
          </w:tcPr>
          <w:p w14:paraId="7AF9C422">
            <w:pPr>
              <w:jc w:val="center"/>
            </w:pPr>
            <w:r>
              <w:rPr>
                <w:rFonts w:ascii="宋体" w:hAnsi="宋体" w:eastAsia="宋体"/>
                <w:sz w:val="24"/>
              </w:rPr>
              <w:t>项目支出绩效自评表</w:t>
            </w:r>
          </w:p>
        </w:tc>
      </w:tr>
      <w:tr w14:paraId="579B051F">
        <w:tblPrEx>
          <w:tblCellMar>
            <w:top w:w="0" w:type="dxa"/>
            <w:left w:w="108" w:type="dxa"/>
            <w:bottom w:w="0" w:type="dxa"/>
            <w:right w:w="108" w:type="dxa"/>
          </w:tblCellMar>
        </w:tblPrEx>
        <w:tc>
          <w:tcPr>
            <w:tcW w:w="8848" w:type="dxa"/>
            <w:gridSpan w:val="14"/>
            <w:vAlign w:val="center"/>
          </w:tcPr>
          <w:p w14:paraId="60040551">
            <w:pPr>
              <w:jc w:val="center"/>
            </w:pPr>
            <w:r>
              <w:rPr>
                <w:rFonts w:ascii="宋体" w:hAnsi="宋体" w:eastAsia="宋体"/>
                <w:sz w:val="24"/>
              </w:rPr>
              <w:t>(2024年度)</w:t>
            </w:r>
          </w:p>
        </w:tc>
      </w:tr>
      <w:tr w14:paraId="158A34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03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DE2242">
            <w:pPr>
              <w:jc w:val="center"/>
            </w:pPr>
            <w:r>
              <w:rPr>
                <w:rFonts w:ascii="宋体" w:hAnsi="宋体" w:eastAsia="宋体"/>
                <w:sz w:val="16"/>
              </w:rPr>
              <w:t>伊犁州特克斯县齐勒乌泽克镇2024年度牧民越冬放牧点生产用房（居住）建设项目</w:t>
            </w:r>
          </w:p>
        </w:tc>
      </w:tr>
      <w:tr w14:paraId="09DC01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88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B6EAA">
            <w:pPr>
              <w:jc w:val="center"/>
            </w:pPr>
            <w:r>
              <w:rPr>
                <w:rFonts w:ascii="宋体" w:hAnsi="宋体" w:eastAsia="宋体"/>
                <w:sz w:val="16"/>
              </w:rPr>
              <w:t>特克斯县齐勒乌泽克镇人民政府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8A5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6D249">
            <w:pPr>
              <w:jc w:val="center"/>
            </w:pPr>
            <w:r>
              <w:rPr>
                <w:rFonts w:ascii="宋体" w:hAnsi="宋体" w:eastAsia="宋体"/>
                <w:sz w:val="16"/>
              </w:rPr>
              <w:t>特克斯县齐勒乌泽克镇人民政府</w:t>
            </w:r>
          </w:p>
        </w:tc>
      </w:tr>
      <w:tr w14:paraId="2074C8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3169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0FA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BD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8BF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81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DB1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6D7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2B51">
            <w:pPr>
              <w:jc w:val="center"/>
            </w:pPr>
            <w:r>
              <w:rPr>
                <w:rFonts w:ascii="宋体" w:hAnsi="宋体" w:eastAsia="宋体"/>
                <w:sz w:val="16"/>
              </w:rPr>
              <w:t>得分</w:t>
            </w:r>
          </w:p>
        </w:tc>
      </w:tr>
      <w:tr w14:paraId="466F6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7C3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39F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44E1">
            <w:pPr>
              <w:jc w:val="center"/>
            </w:pPr>
            <w:r>
              <w:rPr>
                <w:rFonts w:ascii="宋体" w:hAnsi="宋体" w:eastAsia="宋体"/>
                <w:sz w:val="16"/>
              </w:rPr>
              <w:t>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A776D">
            <w:pPr>
              <w:jc w:val="center"/>
            </w:pPr>
            <w:r>
              <w:rPr>
                <w:rFonts w:ascii="宋体" w:hAnsi="宋体" w:eastAsia="宋体"/>
                <w:sz w:val="16"/>
              </w:rPr>
              <w:t>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B4A3D">
            <w:pPr>
              <w:jc w:val="center"/>
            </w:pPr>
            <w:r>
              <w:rPr>
                <w:rFonts w:ascii="宋体" w:hAnsi="宋体" w:eastAsia="宋体"/>
                <w:sz w:val="16"/>
              </w:rPr>
              <w:t>166.96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463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0DE17">
            <w:pPr>
              <w:jc w:val="center"/>
            </w:pPr>
            <w:r>
              <w:rPr>
                <w:rFonts w:ascii="宋体" w:hAnsi="宋体" w:eastAsia="宋体"/>
                <w:sz w:val="16"/>
              </w:rPr>
              <w:t>91.23%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D37E">
            <w:pPr>
              <w:jc w:val="center"/>
            </w:pPr>
            <w:r>
              <w:rPr>
                <w:rFonts w:ascii="宋体" w:hAnsi="宋体" w:eastAsia="宋体"/>
                <w:sz w:val="16"/>
              </w:rPr>
              <w:t>7.81</w:t>
            </w:r>
          </w:p>
        </w:tc>
      </w:tr>
      <w:tr w14:paraId="76E92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32D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78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B1C51">
            <w:pPr>
              <w:jc w:val="center"/>
            </w:pPr>
            <w:r>
              <w:rPr>
                <w:rFonts w:ascii="宋体" w:hAnsi="宋体" w:eastAsia="宋体"/>
                <w:sz w:val="16"/>
              </w:rPr>
              <w:t>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3077A">
            <w:pPr>
              <w:jc w:val="center"/>
            </w:pPr>
            <w:r>
              <w:rPr>
                <w:rFonts w:ascii="宋体" w:hAnsi="宋体" w:eastAsia="宋体"/>
                <w:sz w:val="16"/>
              </w:rPr>
              <w:t>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E26B0">
            <w:pPr>
              <w:jc w:val="center"/>
            </w:pPr>
            <w:r>
              <w:rPr>
                <w:rFonts w:ascii="宋体" w:hAnsi="宋体" w:eastAsia="宋体"/>
                <w:sz w:val="16"/>
              </w:rPr>
              <w:t>166.96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FF3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1F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BA3E">
            <w:pPr>
              <w:jc w:val="center"/>
            </w:pPr>
            <w:r>
              <w:rPr>
                <w:rFonts w:ascii="宋体" w:hAnsi="宋体" w:eastAsia="宋体"/>
                <w:sz w:val="16"/>
              </w:rPr>
              <w:t>—</w:t>
            </w:r>
          </w:p>
        </w:tc>
      </w:tr>
      <w:tr w14:paraId="34DE2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BBB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644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92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A4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BF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312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325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DC4B">
            <w:pPr>
              <w:jc w:val="center"/>
            </w:pPr>
            <w:r>
              <w:rPr>
                <w:rFonts w:ascii="宋体" w:hAnsi="宋体" w:eastAsia="宋体"/>
                <w:sz w:val="16"/>
              </w:rPr>
              <w:t>—</w:t>
            </w:r>
          </w:p>
        </w:tc>
      </w:tr>
      <w:tr w14:paraId="2B1F7E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130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1D1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EB4B96">
            <w:pPr>
              <w:jc w:val="center"/>
            </w:pPr>
            <w:r>
              <w:rPr>
                <w:rFonts w:ascii="宋体" w:hAnsi="宋体" w:eastAsia="宋体"/>
                <w:sz w:val="16"/>
              </w:rPr>
              <w:t>实际完成情况</w:t>
            </w:r>
          </w:p>
        </w:tc>
      </w:tr>
      <w:tr w14:paraId="5B022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29A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3C05E">
            <w:pPr>
              <w:jc w:val="both"/>
            </w:pPr>
            <w:r>
              <w:rPr>
                <w:rFonts w:ascii="宋体" w:hAnsi="宋体" w:eastAsia="宋体"/>
                <w:sz w:val="16"/>
              </w:rPr>
              <w:t>通过《关于下达2024年城乡抗震安居工程建设民生实施资金预算的通知》伊州财建</w:t>
            </w:r>
            <w:r>
              <w:rPr>
                <w:rFonts w:hint="eastAsia" w:ascii="宋体" w:hAnsi="宋体"/>
                <w:sz w:val="16"/>
                <w:lang w:eastAsia="zh-CN"/>
              </w:rPr>
              <w:t>〔2024〕81号</w:t>
            </w:r>
            <w:r>
              <w:rPr>
                <w:rFonts w:ascii="宋体" w:hAnsi="宋体" w:eastAsia="宋体"/>
                <w:sz w:val="16"/>
              </w:rPr>
              <w:t>文，完成拆除新建工程，单户建房控制价格为3万元，共建61户，共计183万元，综合研判我镇牧区地质结构和运输距离的基础上，同时达到抗震、保温、防水要求，牧民越冬放牧点生产用房（居住）建成后上级有关部门按照相关要求进行验收，工程建成后，有效</w:t>
            </w:r>
            <w:r>
              <w:rPr>
                <w:rFonts w:hint="eastAsia" w:ascii="宋体" w:hAnsi="宋体"/>
                <w:sz w:val="16"/>
                <w:lang w:eastAsia="zh-CN"/>
              </w:rPr>
              <w:t>地</w:t>
            </w:r>
            <w:r>
              <w:rPr>
                <w:rFonts w:ascii="宋体" w:hAnsi="宋体" w:eastAsia="宋体"/>
                <w:sz w:val="16"/>
              </w:rPr>
              <w:t>保障牧民冬季所需用房，保障了牧民的安全生产，</w:t>
            </w:r>
            <w:r>
              <w:rPr>
                <w:rFonts w:hint="eastAsia" w:ascii="宋体" w:hAnsi="宋体"/>
                <w:sz w:val="16"/>
                <w:lang w:eastAsia="zh-CN"/>
              </w:rPr>
              <w:t>有效地</w:t>
            </w:r>
            <w:r>
              <w:rPr>
                <w:rFonts w:ascii="宋体" w:hAnsi="宋体" w:eastAsia="宋体"/>
                <w:sz w:val="16"/>
              </w:rPr>
              <w:t>提高牧民的生活满意度。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3A771">
            <w:pPr>
              <w:jc w:val="both"/>
            </w:pPr>
            <w:r>
              <w:rPr>
                <w:rFonts w:ascii="宋体" w:hAnsi="宋体" w:eastAsia="宋体"/>
                <w:sz w:val="16"/>
              </w:rPr>
              <w:t>新建越冬放牧点61户，保障牧民冬季所需用房，保障牧民的安全生产，有效提高牧民的生活满意度。</w:t>
            </w:r>
          </w:p>
        </w:tc>
      </w:tr>
      <w:tr w14:paraId="141D0A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41D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83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C5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6B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CC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C00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40D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55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187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FA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E0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17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E5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7AC0">
            <w:pPr>
              <w:jc w:val="center"/>
            </w:pPr>
            <w:r>
              <w:rPr>
                <w:rFonts w:ascii="宋体" w:hAnsi="宋体" w:eastAsia="宋体"/>
                <w:sz w:val="16"/>
              </w:rPr>
              <w:t>偏差原因分析及改进措施</w:t>
            </w:r>
          </w:p>
        </w:tc>
      </w:tr>
      <w:tr w14:paraId="360DA9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F04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65A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457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E478">
            <w:pPr>
              <w:jc w:val="center"/>
            </w:pPr>
            <w:r>
              <w:rPr>
                <w:rFonts w:ascii="宋体" w:hAnsi="宋体" w:eastAsia="宋体"/>
                <w:sz w:val="16"/>
              </w:rPr>
              <w:t>新建越冬放牧点户数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1E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F66B">
            <w:pPr>
              <w:jc w:val="center"/>
            </w:pPr>
            <w:r>
              <w:rPr>
                <w:rFonts w:ascii="宋体" w:hAnsi="宋体" w:eastAsia="宋体"/>
                <w:sz w:val="16"/>
              </w:rPr>
              <w:t>=61户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284B">
            <w:pPr>
              <w:jc w:val="center"/>
            </w:pPr>
            <w:r>
              <w:rPr>
                <w:rFonts w:ascii="宋体" w:hAnsi="宋体" w:eastAsia="宋体"/>
                <w:sz w:val="16"/>
              </w:rPr>
              <w:t>61户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4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17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4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50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12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D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E346">
            <w:pPr>
              <w:jc w:val="center"/>
            </w:pPr>
          </w:p>
        </w:tc>
      </w:tr>
      <w:tr w14:paraId="736E1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D4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FE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D9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FE5F">
            <w:pPr>
              <w:jc w:val="center"/>
            </w:pPr>
            <w:r>
              <w:rPr>
                <w:rFonts w:ascii="宋体" w:hAnsi="宋体" w:eastAsia="宋体"/>
                <w:sz w:val="16"/>
              </w:rPr>
              <w:t>城乡抗震安居工程建设民生实事涉及县市区数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48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F79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2F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2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80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8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E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B9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0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6256">
            <w:pPr>
              <w:jc w:val="center"/>
            </w:pPr>
          </w:p>
        </w:tc>
      </w:tr>
      <w:tr w14:paraId="3F903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48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D45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1F5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4DFD">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B7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0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6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1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9C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6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8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D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6D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0157">
            <w:pPr>
              <w:jc w:val="center"/>
            </w:pPr>
          </w:p>
        </w:tc>
      </w:tr>
      <w:tr w14:paraId="4705C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B0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74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D6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6F81">
            <w:pPr>
              <w:jc w:val="center"/>
            </w:pPr>
            <w:r>
              <w:rPr>
                <w:rFonts w:ascii="宋体" w:hAnsi="宋体" w:eastAsia="宋体"/>
                <w:sz w:val="16"/>
              </w:rPr>
              <w:t>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2C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B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0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A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84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C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1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2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0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E87C">
            <w:pPr>
              <w:jc w:val="center"/>
            </w:pPr>
          </w:p>
        </w:tc>
      </w:tr>
      <w:tr w14:paraId="49E02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7F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D3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DC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26D0">
            <w:pPr>
              <w:jc w:val="center"/>
            </w:pPr>
            <w:r>
              <w:rPr>
                <w:rFonts w:ascii="宋体" w:hAnsi="宋体" w:eastAsia="宋体"/>
                <w:sz w:val="16"/>
              </w:rPr>
              <w:t>工作完成时限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89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A429">
            <w:pPr>
              <w:jc w:val="center"/>
            </w:pPr>
            <w:r>
              <w:rPr>
                <w:rFonts w:ascii="宋体" w:hAnsi="宋体" w:eastAsia="宋体"/>
                <w:sz w:val="16"/>
              </w:rPr>
              <w:t>&lt;=11月30日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1A18">
            <w:pPr>
              <w:jc w:val="center"/>
            </w:pPr>
            <w:r>
              <w:rPr>
                <w:rFonts w:ascii="宋体" w:hAnsi="宋体" w:eastAsia="宋体"/>
                <w:sz w:val="16"/>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4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A0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0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70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9F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6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E8B4">
            <w:pPr>
              <w:jc w:val="center"/>
            </w:pPr>
          </w:p>
        </w:tc>
      </w:tr>
      <w:tr w14:paraId="1AF91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3F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CE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A8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0A5B">
            <w:pPr>
              <w:jc w:val="center"/>
            </w:pPr>
            <w:r>
              <w:rPr>
                <w:rFonts w:ascii="宋体" w:hAnsi="宋体" w:eastAsia="宋体"/>
                <w:sz w:val="16"/>
              </w:rPr>
              <w:t>单户建房价格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77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841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B377">
            <w:pPr>
              <w:jc w:val="center"/>
            </w:pPr>
            <w:r>
              <w:rPr>
                <w:rFonts w:ascii="宋体" w:hAnsi="宋体" w:eastAsia="宋体"/>
                <w:sz w:val="16"/>
              </w:rPr>
              <w:t>2.74万元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89AE">
            <w:pPr>
              <w:jc w:val="center"/>
            </w:pPr>
            <w:r>
              <w:rPr>
                <w:rFonts w:ascii="宋体" w:hAnsi="宋体" w:eastAsia="宋体"/>
                <w:sz w:val="16"/>
              </w:rPr>
              <w:t>91.23%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E0E5">
            <w:pPr>
              <w:jc w:val="center"/>
            </w:pPr>
            <w:r>
              <w:rPr>
                <w:rFonts w:ascii="宋体" w:hAnsi="宋体" w:eastAsia="宋体"/>
                <w:sz w:val="16"/>
              </w:rPr>
              <w:t>18.25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F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E4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F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D2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EE3E">
            <w:pPr>
              <w:jc w:val="center"/>
            </w:pPr>
            <w:r>
              <w:rPr>
                <w:rFonts w:ascii="宋体" w:hAnsi="宋体" w:eastAsia="宋体"/>
                <w:sz w:val="16"/>
              </w:rPr>
              <w:t>未完成工程结算，资金未全部支出。</w:t>
            </w:r>
          </w:p>
        </w:tc>
      </w:tr>
      <w:tr w14:paraId="19069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7FC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BD7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D19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E582">
            <w:pPr>
              <w:jc w:val="center"/>
            </w:pPr>
            <w:r>
              <w:rPr>
                <w:rFonts w:ascii="宋体" w:hAnsi="宋体" w:eastAsia="宋体"/>
                <w:sz w:val="16"/>
              </w:rPr>
              <w:t>城乡抗震安居工程建设资金需求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3A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3546">
            <w:pPr>
              <w:jc w:val="center"/>
            </w:pPr>
            <w:r>
              <w:rPr>
                <w:rFonts w:ascii="宋体" w:hAnsi="宋体" w:eastAsia="宋体"/>
                <w:sz w:val="16"/>
              </w:rPr>
              <w: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0BE8">
            <w:pPr>
              <w:jc w:val="center"/>
            </w:pPr>
            <w:r>
              <w:rPr>
                <w:rFonts w:ascii="宋体" w:hAnsi="宋体" w:eastAsia="宋体"/>
                <w:sz w:val="16"/>
              </w:rPr>
              <w: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E1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BD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7C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5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4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A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6F7B">
            <w:pPr>
              <w:jc w:val="center"/>
            </w:pPr>
          </w:p>
        </w:tc>
      </w:tr>
      <w:tr w14:paraId="1AA11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7D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85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DF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FC44">
            <w:pPr>
              <w:jc w:val="center"/>
            </w:pPr>
            <w:r>
              <w:rPr>
                <w:rFonts w:ascii="宋体" w:hAnsi="宋体" w:eastAsia="宋体"/>
                <w:sz w:val="16"/>
              </w:rPr>
              <w:t>城乡抗震安居工程建设房屋安全隐患排查整治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37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640E">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6303">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F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B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B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F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16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A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2466">
            <w:pPr>
              <w:jc w:val="center"/>
            </w:pPr>
          </w:p>
        </w:tc>
      </w:tr>
      <w:tr w14:paraId="0D963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54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9B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A4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342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B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2A5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D8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88B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E5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6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0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6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2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64C5">
            <w:pPr>
              <w:jc w:val="center"/>
            </w:pPr>
          </w:p>
        </w:tc>
      </w:tr>
      <w:tr w14:paraId="0BDA8B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1FE1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C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FA51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6DB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BA4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88CB">
            <w:pPr>
              <w:jc w:val="center"/>
            </w:pPr>
            <w:r>
              <w:rPr>
                <w:rFonts w:ascii="宋体" w:hAnsi="宋体" w:eastAsia="宋体"/>
                <w:sz w:val="16"/>
              </w:rPr>
              <w:t>96.06分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E1D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19F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C176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99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5E1C2"/>
        </w:tc>
      </w:tr>
    </w:tbl>
    <w:p w14:paraId="457FFB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69BC0A98">
        <w:tblPrEx>
          <w:tblCellMar>
            <w:top w:w="0" w:type="dxa"/>
            <w:left w:w="108" w:type="dxa"/>
            <w:bottom w:w="0" w:type="dxa"/>
            <w:right w:w="108" w:type="dxa"/>
          </w:tblCellMar>
        </w:tblPrEx>
        <w:tc>
          <w:tcPr>
            <w:tcW w:w="8848" w:type="dxa"/>
            <w:gridSpan w:val="14"/>
            <w:vAlign w:val="center"/>
          </w:tcPr>
          <w:p w14:paraId="039CF493">
            <w:pPr>
              <w:jc w:val="center"/>
            </w:pPr>
            <w:r>
              <w:rPr>
                <w:rFonts w:ascii="宋体" w:hAnsi="宋体" w:eastAsia="宋体"/>
                <w:sz w:val="24"/>
              </w:rPr>
              <w:t>项目支出绩效自评表</w:t>
            </w:r>
          </w:p>
        </w:tc>
      </w:tr>
      <w:tr w14:paraId="355EB845">
        <w:tblPrEx>
          <w:tblCellMar>
            <w:top w:w="0" w:type="dxa"/>
            <w:left w:w="108" w:type="dxa"/>
            <w:bottom w:w="0" w:type="dxa"/>
            <w:right w:w="108" w:type="dxa"/>
          </w:tblCellMar>
        </w:tblPrEx>
        <w:tc>
          <w:tcPr>
            <w:tcW w:w="8848" w:type="dxa"/>
            <w:gridSpan w:val="14"/>
            <w:vAlign w:val="center"/>
          </w:tcPr>
          <w:p w14:paraId="5EA6E6DD">
            <w:pPr>
              <w:jc w:val="center"/>
            </w:pPr>
            <w:r>
              <w:rPr>
                <w:rFonts w:ascii="宋体" w:hAnsi="宋体" w:eastAsia="宋体"/>
                <w:sz w:val="24"/>
              </w:rPr>
              <w:t>(2024年度)</w:t>
            </w:r>
          </w:p>
        </w:tc>
      </w:tr>
      <w:tr w14:paraId="519A3E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6D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41B32F">
            <w:pPr>
              <w:jc w:val="center"/>
            </w:pPr>
            <w:r>
              <w:rPr>
                <w:rFonts w:ascii="宋体" w:hAnsi="宋体" w:eastAsia="宋体"/>
                <w:sz w:val="16"/>
              </w:rPr>
              <w:t>齐勒乌泽克镇喀木斯特布拉克村健身场地建设</w:t>
            </w:r>
          </w:p>
        </w:tc>
      </w:tr>
      <w:tr w14:paraId="659718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BC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999CC">
            <w:pPr>
              <w:jc w:val="center"/>
            </w:pPr>
            <w:r>
              <w:rPr>
                <w:rFonts w:ascii="宋体" w:hAnsi="宋体" w:eastAsia="宋体"/>
                <w:sz w:val="16"/>
              </w:rPr>
              <w:t>特克斯县齐勒乌泽克镇人民政府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607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C719B4">
            <w:pPr>
              <w:jc w:val="center"/>
            </w:pPr>
            <w:r>
              <w:rPr>
                <w:rFonts w:ascii="宋体" w:hAnsi="宋体" w:eastAsia="宋体"/>
                <w:sz w:val="16"/>
              </w:rPr>
              <w:t>特克斯县齐勒乌泽克镇人民政府</w:t>
            </w:r>
          </w:p>
        </w:tc>
      </w:tr>
      <w:tr w14:paraId="018180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68D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EC3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7E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17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081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2BD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C24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0E43">
            <w:pPr>
              <w:jc w:val="center"/>
            </w:pPr>
            <w:r>
              <w:rPr>
                <w:rFonts w:ascii="宋体" w:hAnsi="宋体" w:eastAsia="宋体"/>
                <w:sz w:val="16"/>
              </w:rPr>
              <w:t>得分</w:t>
            </w:r>
          </w:p>
        </w:tc>
      </w:tr>
      <w:tr w14:paraId="14EB9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05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2B2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E19E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462F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4E4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285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F0F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FF04">
            <w:pPr>
              <w:jc w:val="center"/>
            </w:pPr>
            <w:r>
              <w:rPr>
                <w:rFonts w:ascii="宋体" w:hAnsi="宋体" w:eastAsia="宋体"/>
                <w:sz w:val="16"/>
              </w:rPr>
              <w:t>10.00</w:t>
            </w:r>
          </w:p>
        </w:tc>
      </w:tr>
      <w:tr w14:paraId="5C042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5DC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05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29E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A3A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017C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70B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317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7A07">
            <w:pPr>
              <w:jc w:val="center"/>
            </w:pPr>
            <w:r>
              <w:rPr>
                <w:rFonts w:ascii="宋体" w:hAnsi="宋体" w:eastAsia="宋体"/>
                <w:sz w:val="16"/>
              </w:rPr>
              <w:t>—</w:t>
            </w:r>
          </w:p>
        </w:tc>
      </w:tr>
      <w:tr w14:paraId="78531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435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DC4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EDD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168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851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F24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0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AF81">
            <w:pPr>
              <w:jc w:val="center"/>
            </w:pPr>
            <w:r>
              <w:rPr>
                <w:rFonts w:ascii="宋体" w:hAnsi="宋体" w:eastAsia="宋体"/>
                <w:sz w:val="16"/>
              </w:rPr>
              <w:t>—</w:t>
            </w:r>
          </w:p>
        </w:tc>
      </w:tr>
      <w:tr w14:paraId="027CD2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6C8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2952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8566E7">
            <w:pPr>
              <w:jc w:val="center"/>
            </w:pPr>
            <w:r>
              <w:rPr>
                <w:rFonts w:ascii="宋体" w:hAnsi="宋体" w:eastAsia="宋体"/>
                <w:sz w:val="16"/>
              </w:rPr>
              <w:t>实际完成情况</w:t>
            </w:r>
          </w:p>
        </w:tc>
      </w:tr>
      <w:tr w14:paraId="34F9A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F11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965E9">
            <w:pPr>
              <w:jc w:val="both"/>
            </w:pPr>
            <w:r>
              <w:rPr>
                <w:rFonts w:ascii="宋体" w:hAnsi="宋体" w:eastAsia="宋体"/>
                <w:sz w:val="16"/>
              </w:rPr>
              <w:t>拨付资金用于为喀木斯特布拉克村购置一批室内及室外健身器材，完善村庄基础设施，推进美丽乡村建设，满足村民的健身及娱乐需求，提高群众的生活水平和生活质量，促进全民健身战略的深入实施。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863CC7">
            <w:pPr>
              <w:jc w:val="both"/>
            </w:pPr>
            <w:r>
              <w:rPr>
                <w:rFonts w:ascii="宋体" w:hAnsi="宋体" w:eastAsia="宋体"/>
                <w:sz w:val="16"/>
              </w:rPr>
              <w:t>购置台球桌1张，棋牌桌3张，动感单车1辆，跑步机1个，多功能举重床1个，弹簧拉力器5个，海绵垫3块，单杠1架，双杠1个，双人秋千1架，健骑机1台，篮球地板格225平方。</w:t>
            </w:r>
          </w:p>
        </w:tc>
      </w:tr>
      <w:tr w14:paraId="07307D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542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1B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A8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D9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E0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694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592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43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2DF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12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66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F6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03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F0D9">
            <w:pPr>
              <w:jc w:val="center"/>
            </w:pPr>
            <w:r>
              <w:rPr>
                <w:rFonts w:ascii="宋体" w:hAnsi="宋体" w:eastAsia="宋体"/>
                <w:sz w:val="16"/>
              </w:rPr>
              <w:t>偏差原因分析及改进措施</w:t>
            </w:r>
          </w:p>
        </w:tc>
      </w:tr>
      <w:tr w14:paraId="5943CB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57A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C3A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C9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DE04">
            <w:pPr>
              <w:jc w:val="center"/>
            </w:pPr>
            <w:r>
              <w:rPr>
                <w:rFonts w:ascii="宋体" w:hAnsi="宋体" w:eastAsia="宋体"/>
                <w:sz w:val="16"/>
              </w:rPr>
              <w:t>拨付喀木斯特布拉克村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761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703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26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A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C48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A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B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97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D4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4AE0">
            <w:pPr>
              <w:jc w:val="center"/>
            </w:pPr>
          </w:p>
        </w:tc>
      </w:tr>
      <w:tr w14:paraId="0B341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C9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15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BD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A130">
            <w:pPr>
              <w:jc w:val="center"/>
            </w:pPr>
            <w:r>
              <w:rPr>
                <w:rFonts w:ascii="宋体" w:hAnsi="宋体" w:eastAsia="宋体"/>
                <w:sz w:val="16"/>
              </w:rPr>
              <w:t>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E9E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6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6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E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372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8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9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8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08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4056">
            <w:pPr>
              <w:jc w:val="center"/>
            </w:pPr>
          </w:p>
        </w:tc>
      </w:tr>
      <w:tr w14:paraId="2B5BC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97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CB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0D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E17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953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1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1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0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5B3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4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84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A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6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9888">
            <w:pPr>
              <w:jc w:val="center"/>
            </w:pPr>
          </w:p>
        </w:tc>
      </w:tr>
      <w:tr w14:paraId="2F53A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B0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394D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D51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A409">
            <w:pPr>
              <w:jc w:val="center"/>
            </w:pPr>
            <w:r>
              <w:rPr>
                <w:rFonts w:ascii="宋体" w:hAnsi="宋体" w:eastAsia="宋体"/>
                <w:sz w:val="16"/>
              </w:rPr>
              <w:t>室内健身设备费用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90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0D57">
            <w:pPr>
              <w:jc w:val="center"/>
            </w:pPr>
            <w:r>
              <w:rPr>
                <w:rFonts w:ascii="宋体" w:hAnsi="宋体" w:eastAsia="宋体"/>
                <w:sz w:val="16"/>
              </w:rPr>
              <w:t>&lt;=48400元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90DE">
            <w:pPr>
              <w:jc w:val="center"/>
            </w:pPr>
            <w:r>
              <w:rPr>
                <w:rFonts w:ascii="宋体" w:hAnsi="宋体" w:eastAsia="宋体"/>
                <w:sz w:val="16"/>
              </w:rPr>
              <w:t>48400元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7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79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4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8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F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E5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B8F7">
            <w:pPr>
              <w:jc w:val="center"/>
            </w:pPr>
          </w:p>
        </w:tc>
      </w:tr>
      <w:tr w14:paraId="1E491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6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45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92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7B1D">
            <w:pPr>
              <w:jc w:val="center"/>
            </w:pPr>
            <w:r>
              <w:rPr>
                <w:rFonts w:ascii="宋体" w:hAnsi="宋体" w:eastAsia="宋体"/>
                <w:sz w:val="16"/>
              </w:rPr>
              <w:t>室外健身设备费用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EB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D717">
            <w:pPr>
              <w:jc w:val="center"/>
            </w:pPr>
            <w:r>
              <w:rPr>
                <w:rFonts w:ascii="宋体" w:hAnsi="宋体" w:eastAsia="宋体"/>
                <w:sz w:val="16"/>
              </w:rPr>
              <w:t>&lt;=51910元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E77D">
            <w:pPr>
              <w:jc w:val="center"/>
            </w:pPr>
            <w:r>
              <w:rPr>
                <w:rFonts w:ascii="宋体" w:hAnsi="宋体" w:eastAsia="宋体"/>
                <w:sz w:val="16"/>
              </w:rPr>
              <w:t>51910元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B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7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7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28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A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70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0E4A">
            <w:pPr>
              <w:jc w:val="center"/>
            </w:pPr>
          </w:p>
        </w:tc>
      </w:tr>
      <w:tr w14:paraId="700DE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656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A578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091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0439">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55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20FD">
            <w:pPr>
              <w:jc w:val="center"/>
            </w:pPr>
            <w:r>
              <w:rPr>
                <w:rFonts w:ascii="宋体" w:hAnsi="宋体" w:eastAsia="宋体"/>
                <w:sz w:val="16"/>
              </w:rPr>
              <w:t>&gt;=1900人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85AB">
            <w:pPr>
              <w:jc w:val="center"/>
            </w:pPr>
            <w:r>
              <w:rPr>
                <w:rFonts w:ascii="宋体" w:hAnsi="宋体" w:eastAsia="宋体"/>
                <w:sz w:val="16"/>
              </w:rPr>
              <w:t>1900人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3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A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B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3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65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72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7B7A">
            <w:pPr>
              <w:jc w:val="center"/>
            </w:pPr>
          </w:p>
        </w:tc>
      </w:tr>
      <w:tr w14:paraId="66F6F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72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73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0F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3774">
            <w:pPr>
              <w:jc w:val="center"/>
            </w:pPr>
            <w:r>
              <w:rPr>
                <w:rFonts w:ascii="宋体" w:hAnsi="宋体" w:eastAsia="宋体"/>
                <w:sz w:val="16"/>
              </w:rPr>
              <w:t>改善基础设施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8E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A491">
            <w:pPr>
              <w:jc w:val="center"/>
            </w:pPr>
            <w:r>
              <w:rPr>
                <w:rFonts w:ascii="宋体" w:hAnsi="宋体" w:eastAsia="宋体"/>
                <w:sz w:val="16"/>
              </w:rPr>
              <w:t>改善明显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F934">
            <w:pPr>
              <w:jc w:val="center"/>
            </w:pPr>
            <w:r>
              <w:rPr>
                <w:rFonts w:ascii="宋体" w:hAnsi="宋体" w:eastAsia="宋体"/>
                <w:sz w:val="16"/>
              </w:rPr>
              <w:t>改善明显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3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87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F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B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1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08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8768">
            <w:pPr>
              <w:jc w:val="center"/>
            </w:pPr>
          </w:p>
        </w:tc>
      </w:tr>
      <w:tr w14:paraId="40B90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A2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7A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C5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F756">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87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EC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5E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059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42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55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43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EA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E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B23A">
            <w:pPr>
              <w:jc w:val="center"/>
            </w:pPr>
          </w:p>
        </w:tc>
      </w:tr>
      <w:tr w14:paraId="522B71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D3C0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5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E4D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E58F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30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C02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F20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D2F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185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41A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DB31F"/>
        </w:tc>
      </w:tr>
    </w:tbl>
    <w:p w14:paraId="7D51A3D8">
      <w:r>
        <w:br w:type="page"/>
      </w:r>
    </w:p>
    <w:p w14:paraId="70F8F4BC">
      <w:pPr>
        <w:spacing w:line="640" w:lineRule="exact"/>
        <w:ind w:firstLine="640"/>
        <w:jc w:val="both"/>
        <w:outlineLvl w:val="2"/>
      </w:pPr>
      <w:r>
        <w:rPr>
          <w:rFonts w:ascii="黑体" w:hAnsi="黑体" w:eastAsia="黑体"/>
          <w:sz w:val="32"/>
        </w:rPr>
        <w:t>十二、其他需说明的事项</w:t>
      </w:r>
    </w:p>
    <w:p w14:paraId="7808C1B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798F58C">
      <w:r>
        <w:br w:type="page"/>
      </w:r>
    </w:p>
    <w:p w14:paraId="3AEF35EF">
      <w:pPr>
        <w:spacing w:line="240" w:lineRule="auto"/>
        <w:jc w:val="center"/>
        <w:outlineLvl w:val="1"/>
      </w:pPr>
      <w:r>
        <w:rPr>
          <w:rFonts w:ascii="黑体" w:hAnsi="黑体" w:eastAsia="黑体"/>
          <w:sz w:val="32"/>
        </w:rPr>
        <w:t>第三部分 专业名词解释</w:t>
      </w:r>
    </w:p>
    <w:p w14:paraId="4CAF431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43C78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0C893F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1C5B30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82DB76B">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B32DDD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E63040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2D08C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2EDE9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5AA89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86EAB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5F949DA">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94CD4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6FAA516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5F57B42">
      <w:r>
        <w:br w:type="page"/>
      </w:r>
    </w:p>
    <w:p w14:paraId="03F226E4">
      <w:pPr>
        <w:spacing w:line="240" w:lineRule="auto"/>
        <w:jc w:val="center"/>
        <w:outlineLvl w:val="1"/>
      </w:pPr>
      <w:r>
        <w:rPr>
          <w:rFonts w:ascii="黑体" w:hAnsi="黑体" w:eastAsia="黑体"/>
          <w:sz w:val="32"/>
        </w:rPr>
        <w:t>第四部分 部门决算报表（见附表）</w:t>
      </w:r>
    </w:p>
    <w:p w14:paraId="22502A51">
      <w:pPr>
        <w:spacing w:line="240" w:lineRule="auto"/>
        <w:ind w:firstLine="640"/>
        <w:jc w:val="both"/>
      </w:pPr>
      <w:r>
        <w:rPr>
          <w:rFonts w:ascii="仿宋_GB2312" w:hAnsi="仿宋_GB2312" w:eastAsia="仿宋_GB2312"/>
          <w:b w:val="0"/>
          <w:sz w:val="32"/>
        </w:rPr>
        <w:t>一、《收入支出决算总表》</w:t>
      </w:r>
    </w:p>
    <w:p w14:paraId="73F50CF9">
      <w:pPr>
        <w:spacing w:line="240" w:lineRule="auto"/>
        <w:ind w:firstLine="640"/>
        <w:jc w:val="both"/>
      </w:pPr>
      <w:r>
        <w:rPr>
          <w:rFonts w:ascii="仿宋_GB2312" w:hAnsi="仿宋_GB2312" w:eastAsia="仿宋_GB2312"/>
          <w:b w:val="0"/>
          <w:sz w:val="32"/>
        </w:rPr>
        <w:t>二、《收入决算表》</w:t>
      </w:r>
    </w:p>
    <w:p w14:paraId="067FF03B">
      <w:pPr>
        <w:spacing w:line="240" w:lineRule="auto"/>
        <w:ind w:firstLine="640"/>
        <w:jc w:val="both"/>
      </w:pPr>
      <w:r>
        <w:rPr>
          <w:rFonts w:ascii="仿宋_GB2312" w:hAnsi="仿宋_GB2312" w:eastAsia="仿宋_GB2312"/>
          <w:b w:val="0"/>
          <w:sz w:val="32"/>
        </w:rPr>
        <w:t>三、《支出决算表》</w:t>
      </w:r>
    </w:p>
    <w:p w14:paraId="574CC402">
      <w:pPr>
        <w:spacing w:line="240" w:lineRule="auto"/>
        <w:ind w:firstLine="640"/>
        <w:jc w:val="both"/>
      </w:pPr>
      <w:r>
        <w:rPr>
          <w:rFonts w:ascii="仿宋_GB2312" w:hAnsi="仿宋_GB2312" w:eastAsia="仿宋_GB2312"/>
          <w:b w:val="0"/>
          <w:sz w:val="32"/>
        </w:rPr>
        <w:t>四、《财政拨款收入支出决算总表》</w:t>
      </w:r>
    </w:p>
    <w:p w14:paraId="049A0B8D">
      <w:pPr>
        <w:spacing w:line="240" w:lineRule="auto"/>
        <w:ind w:firstLine="640"/>
        <w:jc w:val="both"/>
      </w:pPr>
      <w:r>
        <w:rPr>
          <w:rFonts w:ascii="仿宋_GB2312" w:hAnsi="仿宋_GB2312" w:eastAsia="仿宋_GB2312"/>
          <w:b w:val="0"/>
          <w:sz w:val="32"/>
        </w:rPr>
        <w:t>五、《一般公共预算财政拨款支出决算表》</w:t>
      </w:r>
    </w:p>
    <w:p w14:paraId="2CE4CA70">
      <w:pPr>
        <w:spacing w:line="240" w:lineRule="auto"/>
        <w:ind w:firstLine="640"/>
        <w:jc w:val="both"/>
      </w:pPr>
      <w:r>
        <w:rPr>
          <w:rFonts w:ascii="仿宋_GB2312" w:hAnsi="仿宋_GB2312" w:eastAsia="仿宋_GB2312"/>
          <w:b w:val="0"/>
          <w:sz w:val="32"/>
        </w:rPr>
        <w:t>六、《一般公共预算财政拨款基本支出决算表》</w:t>
      </w:r>
    </w:p>
    <w:p w14:paraId="00F7EFD9">
      <w:pPr>
        <w:spacing w:line="240" w:lineRule="auto"/>
        <w:ind w:firstLine="640"/>
        <w:jc w:val="both"/>
      </w:pPr>
      <w:r>
        <w:rPr>
          <w:rFonts w:ascii="仿宋_GB2312" w:hAnsi="仿宋_GB2312" w:eastAsia="仿宋_GB2312"/>
          <w:b w:val="0"/>
          <w:sz w:val="32"/>
        </w:rPr>
        <w:t>七、《政府性基金预算财政拨款收入支出决算表》</w:t>
      </w:r>
    </w:p>
    <w:p w14:paraId="46A581CF">
      <w:pPr>
        <w:spacing w:line="240" w:lineRule="auto"/>
        <w:ind w:firstLine="640"/>
        <w:jc w:val="both"/>
      </w:pPr>
      <w:r>
        <w:rPr>
          <w:rFonts w:ascii="仿宋_GB2312" w:hAnsi="仿宋_GB2312" w:eastAsia="仿宋_GB2312"/>
          <w:b w:val="0"/>
          <w:sz w:val="32"/>
        </w:rPr>
        <w:t>八、《国有资本经营预算财政拨款收入支出决算表》</w:t>
      </w:r>
    </w:p>
    <w:p w14:paraId="1929907A">
      <w:pPr>
        <w:spacing w:line="240" w:lineRule="auto"/>
        <w:ind w:firstLine="640"/>
        <w:jc w:val="both"/>
      </w:pPr>
      <w:r>
        <w:rPr>
          <w:rFonts w:ascii="仿宋_GB2312" w:hAnsi="仿宋_GB2312" w:eastAsia="仿宋_GB2312"/>
          <w:b w:val="0"/>
          <w:sz w:val="32"/>
        </w:rPr>
        <w:t>九、《财政拨款“三公”经费支出决算表》</w:t>
      </w:r>
    </w:p>
    <w:p w14:paraId="23AA3B14">
      <w:pPr>
        <w:spacing w:line="240" w:lineRule="auto"/>
        <w:ind w:firstLine="640"/>
        <w:jc w:val="both"/>
      </w:pPr>
    </w:p>
    <w:p w14:paraId="1800AD93">
      <w:pPr>
        <w:spacing w:line="240" w:lineRule="auto"/>
        <w:ind w:firstLine="640"/>
        <w:jc w:val="both"/>
      </w:pPr>
    </w:p>
    <w:p w14:paraId="244E92B8">
      <w:pPr>
        <w:spacing w:line="240" w:lineRule="auto"/>
        <w:ind w:firstLine="640"/>
        <w:jc w:val="both"/>
      </w:pPr>
    </w:p>
    <w:p w14:paraId="52FE1BE5">
      <w:pPr>
        <w:spacing w:line="240" w:lineRule="auto"/>
        <w:ind w:firstLine="640"/>
        <w:jc w:val="both"/>
      </w:pPr>
    </w:p>
    <w:p w14:paraId="7476304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E03DF9-DC5E-409A-B60D-18DD002E9B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3922786-1F4C-49DD-80A9-99C3A9F60EFF}"/>
  </w:font>
  <w:font w:name="仿宋_GB2312">
    <w:panose1 w:val="02010609030101010101"/>
    <w:charset w:val="86"/>
    <w:family w:val="modern"/>
    <w:pitch w:val="default"/>
    <w:sig w:usb0="00000001" w:usb1="080E0000" w:usb2="00000000" w:usb3="00000000" w:csb0="00040000" w:csb1="00000000"/>
    <w:embedRegular r:id="rId3" w:fontKey="{6AFB8D95-0853-46EB-908F-932CE6D1639F}"/>
  </w:font>
  <w:font w:name="楷体_GB2312">
    <w:panose1 w:val="02010609030101010101"/>
    <w:charset w:val="86"/>
    <w:family w:val="auto"/>
    <w:pitch w:val="default"/>
    <w:sig w:usb0="00000001" w:usb1="080E0000" w:usb2="00000000" w:usb3="00000000" w:csb0="00040000" w:csb1="00000000"/>
    <w:embedRegular r:id="rId4" w:fontKey="{DC35AE98-8685-4A64-A2F5-04CC752CE58D}"/>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215DBB"/>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62251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763B1B"/>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EC64C9"/>
    <w:rsid w:val="6E0F7A08"/>
    <w:rsid w:val="6E801ABC"/>
    <w:rsid w:val="71473612"/>
    <w:rsid w:val="718F7F65"/>
    <w:rsid w:val="73423603"/>
    <w:rsid w:val="737A5923"/>
    <w:rsid w:val="73DE4104"/>
    <w:rsid w:val="73FB6630"/>
    <w:rsid w:val="74B17BA3"/>
    <w:rsid w:val="74CE04EC"/>
    <w:rsid w:val="74E76DCD"/>
    <w:rsid w:val="76660D7C"/>
    <w:rsid w:val="77ED6F44"/>
    <w:rsid w:val="795A0A34"/>
    <w:rsid w:val="7A0D3BC7"/>
    <w:rsid w:val="7A3A3CDB"/>
    <w:rsid w:val="7E370F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38110256-f691-4008-8cf0-a8168536e830</errorID>
      <errorWord>民族团结一家亲</errorWord>
      <group>L1_Sensitive</group>
      <groupName>敏感问题</groupName>
      <ability>L2_UserSensitive</ability>
      <abilityName>自定义敏感词</abilityName>
      <candidateList/>
      <explain>来自自定义敏感词库。</explain>
      <paraID>77BC3BE6</paraID>
      <start>144</start>
      <end>151</end>
      <status>unmodified</status>
      <modifiedWord/>
      <trackRevisions>false</trackRevisions>
    </reviewItem>
    <reviewItem>
      <errorID>37d4441a-9e8f-44e7-8ba0-e314839ddd9f</errorID>
      <errorWord>一、二、三产业</errorWord>
      <group>L1_Punc</group>
      <groupName>标点问题</groupName>
      <ability>L2_Punc</ability>
      <abilityName>标点符号检查</abilityName>
      <candidateList>
        <item>一二三产业</item>
      </candidateList>
      <explain/>
      <paraID>7F41202F</paraID>
      <start>67</start>
      <end>72</end>
      <status>modified</status>
      <modifiedWord>一二三产业</modifiedWord>
      <trackRevisions>false</trackRevisions>
    </reviewItem>
    <reviewItem>
      <errorID>e0a79087-a109-44e9-a909-809a5911424c</errorID>
      <errorWord>宗教</errorWord>
      <group>L1_Sensitive</group>
      <groupName>敏感问题</groupName>
      <ability>L2_UserSensitive</ability>
      <abilityName>自定义敏感词</abilityName>
      <candidateList/>
      <explain>来自自定义敏感词库。</explain>
      <paraID>2A418F2B</paraID>
      <start>37</start>
      <end>39</end>
      <status>unmodified</status>
      <modifiedWord/>
      <trackRevisions>false</trackRevisions>
    </reviewItem>
    <reviewItem>
      <errorID>637f4405-90bc-469f-a04c-8ba294203399</errorID>
      <errorWord>统战</errorWord>
      <group>L1_Sensitive</group>
      <groupName>敏感问题</groupName>
      <ability>L2_UserSensitive</ability>
      <abilityName>自定义敏感词</abilityName>
      <candidateList/>
      <explain>来自自定义敏感词库。</explain>
      <paraID>2A418F2B</paraID>
      <start>46</start>
      <end>48</end>
      <status>unmodified</status>
      <modifiedWord/>
      <trackRevisions>false</trackRevisions>
    </reviewItem>
    <reviewItem>
      <errorID>d50645ab-af2d-4aed-956e-04a15118b44d</errorID>
      <errorWord>理</errorWord>
      <group>L1_Word</group>
      <groupName>字词问题</groupName>
      <ability>L2_Typo</ability>
      <abilityName>字词错误</abilityName>
      <candidateList>
        <item>理和</item>
      </candidateList>
      <explain/>
      <paraID>   6673C</paraID>
      <start>233</start>
      <end>234</end>
      <status>unmodified</status>
      <modifiedWord/>
      <trackRevisions>false</trackRevisions>
    </reviewItem>
    <reviewItem>
      <errorID>02f0027a-b0d3-4c18-b797-3954cc7e020c</errorID>
      <errorWord>三老四类</errorWord>
      <group>L1_Knowledge</group>
      <groupName>知识性问题</groupName>
      <ability>L2_Idiom</ability>
      <abilityName>成语和诗歌</abilityName>
      <candidateList>
        <item>三老四少</item>
      </candidateList>
      <explain>1.老少众人。
                    2.方言。称参加青帮的人。犹言老少爷们或兄弟爷们。</explain>
      <paraID>4E076F5F</paraID>
      <start>225</start>
      <end>229</end>
      <status>unmodified</status>
      <modifiedWord/>
      <trackRevisions>false</trackRevisions>
    </reviewItem>
    <reviewItem>
      <errorID>edc7d48a-b0b3-4b43-b841-aac88f2b5e9d</errorID>
      <errorWord>三老四类</errorWord>
      <group>L1_Knowledge</group>
      <groupName>知识性问题</groupName>
      <ability>L2_Idiom</ability>
      <abilityName>成语和诗歌</abilityName>
      <candidateList>
        <item>三老四少</item>
      </candidateList>
      <explain>1.老少众人。
                    2.方言。称参加青帮的人。犹言老少爷们或兄弟爷们。</explain>
      <paraID>4D0DB7EE</paraID>
      <start>259</start>
      <end>263</end>
      <status>unmodified</status>
      <modifiedWord/>
      <trackRevisions>false</trackRevisions>
    </reviewItem>
    <reviewItem>
      <errorID>61a0bd02-3409-48fe-9eaa-4e2455953360</errorID>
      <errorWord>计划生育</errorWord>
      <group>L1_Sensitive</group>
      <groupName>敏感问题</groupName>
      <ability>L2_UserSensitive</ability>
      <abilityName>自定义敏感词</abilityName>
      <candidateList/>
      <explain>来自自定义敏感词库。</explain>
      <paraID> 39FE6AB</paraID>
      <start>117</start>
      <end>121</end>
      <status>unmodified</status>
      <modifiedWord/>
      <trackRevisions>false</trackRevisions>
    </reviewItem>
    <reviewItem>
      <errorID>785fdf1e-7831-4f4c-9f31-665f238cb228</errorID>
      <errorWord>计划生育</errorWord>
      <group>L1_Sensitive</group>
      <groupName>敏感问题</groupName>
      <ability>L2_UserSensitive</ability>
      <abilityName>自定义敏感词</abilityName>
      <candidateList/>
      <explain>来自自定义敏感词库。</explain>
      <paraID>13A84BA1</paraID>
      <start>107</start>
      <end>111</end>
      <status>unmodified</status>
      <modifiedWord/>
      <trackRevisions>false</trackRevisions>
    </reviewItem>
    <reviewItem>
      <errorID>ad9dec5b-ce76-4f85-9640-9fe9abb804f4</errorID>
      <errorWord>计划生育</errorWord>
      <group>L1_Sensitive</group>
      <groupName>敏感问题</groupName>
      <ability>L2_UserSensitive</ability>
      <abilityName>自定义敏感词</abilityName>
      <candidateList/>
      <explain>来自自定义敏感词库。</explain>
      <paraID>64AAFD3F</paraID>
      <start>11</start>
      <end>15</end>
      <status>unmodified</status>
      <modifiedWord/>
      <trackRevisions>false</trackRevisions>
    </reviewItem>
    <reviewItem>
      <errorID>be84bb95-3720-4a3f-8502-1e5db843d298</errorID>
      <errorWord>计划生育</errorWord>
      <group>L1_Sensitive</group>
      <groupName>敏感问题</groupName>
      <ability>L2_UserSensitive</ability>
      <abilityName>自定义敏感词</abilityName>
      <candidateList/>
      <explain>来自自定义敏感词库。</explain>
      <paraID>64AAFD3F</paraID>
      <start>22</start>
      <end>26</end>
      <status>unmodified</status>
      <modifiedWord/>
      <trackRevisions>false</trackRevisions>
    </reviewItem>
    <reviewItem>
      <errorID>902a40ba-1e15-4c7b-8eb2-983a9632260b</errorID>
      <errorWord>计划生育</errorWord>
      <group>L1_Sensitive</group>
      <groupName>敏感问题</groupName>
      <ability>L2_UserSensitive</ability>
      <abilityName>自定义敏感词</abilityName>
      <candidateList/>
      <explain>来自自定义敏感词库。</explain>
      <paraID>64AAFD3F</paraID>
      <start>129</start>
      <end>133</end>
      <status>unmodified</status>
      <modifiedWord/>
      <trackRevisions>false</trackRevisions>
    </reviewItem>
    <reviewItem>
      <errorID>3d3d92a7-6d2f-4bda-8eec-29a142ca2ddb</errorID>
      <errorWord>巩固脱贫攻坚成果</errorWord>
      <group>L1_Other</group>
      <groupName>其他问题</groupName>
      <ability>L2_UserTypo</ability>
      <abilityName>自定义错误</abilityName>
      <candidateList>
        <item>巩固拓展脱贫攻坚成果</item>
      </candidateList>
      <explain>来自自定义错词库。</explain>
      <paraID>21F7FBE8</paraID>
      <start>11</start>
      <end>19</end>
      <status>unmodified</status>
      <modifiedWord/>
      <trackRevisions>false</trackRevisions>
    </reviewItem>
    <reviewItem>
      <errorID>e8b5175a-9b50-469a-b063-d63e7ad59543</errorID>
      <errorWord>巩固脱贫攻坚成果</errorWord>
      <group>L1_Other</group>
      <groupName>其他问题</groupName>
      <ability>L2_UserTypo</ability>
      <abilityName>自定义错误</abilityName>
      <candidateList>
        <item>巩固拓展脱贫攻坚成果</item>
      </candidateList>
      <explain>来自自定义错词库。</explain>
      <paraID>6A004041</paraID>
      <start>11</start>
      <end>19</end>
      <status>unmodified</status>
      <modifiedWord/>
      <trackRevisions>false</trackRevisions>
    </reviewItem>
    <reviewItem>
      <errorID>0e298287-a856-4115-beb8-b3d236049f07</errorID>
      <errorWord>巩固脱贫攻坚成果</errorWord>
      <group>L1_Other</group>
      <groupName>其他问题</groupName>
      <ability>L2_UserTypo</ability>
      <abilityName>自定义错误</abilityName>
      <candidateList>
        <item>巩固拓展脱贫攻坚成果</item>
      </candidateList>
      <explain>来自自定义错词库。</explain>
      <paraID>48E3FA7A</paraID>
      <start>11</start>
      <end>19</end>
      <status>unmodified</status>
      <modifiedWord/>
      <trackRevisions>false</trackRevisions>
    </reviewItem>
    <reviewItem>
      <errorID>f9d99d2c-73b0-4aa9-bade-bc61373a4f8e</errorID>
      <errorWord>巩固脱贫攻坚成果</errorWord>
      <group>L1_Other</group>
      <groupName>其他问题</groupName>
      <ability>L2_UserTypo</ability>
      <abilityName>自定义错误</abilityName>
      <candidateList>
        <item>巩固拓展脱贫攻坚成果</item>
      </candidateList>
      <explain>来自自定义错词库。</explain>
      <paraID>48E3FA7A</paraID>
      <start>30</start>
      <end>38</end>
      <status>unmodified</status>
      <modifiedWord/>
      <trackRevisions>false</trackRevisions>
    </reviewItem>
    <reviewItem>
      <errorID>d2e18a23-1f57-449e-b1be-6c3a588d0ce4</errorID>
      <errorWord>巩固脱贫攻坚成果</errorWord>
      <group>L1_Other</group>
      <groupName>其他问题</groupName>
      <ability>L2_UserTypo</ability>
      <abilityName>自定义错误</abilityName>
      <candidateList>
        <item>巩固拓展脱贫攻坚成果</item>
      </candidateList>
      <explain>来自自定义错词库。</explain>
      <paraID>48E3FA7A</paraID>
      <start>100</start>
      <end>108</end>
      <status>unmodified</status>
      <modifiedWord/>
      <trackRevisions>false</trackRevisions>
    </reviewItem>
    <reviewItem>
      <errorID>23ec7cf7-7a21-4181-85a7-8b59e60c55e0</errorID>
      <errorWord>2月31日</errorWord>
      <group>L1_Sensitive</group>
      <groupName>敏感问题</groupName>
      <ability>L2_UserSensitive</ability>
      <abilityName>自定义敏感词</abilityName>
      <candidateList/>
      <explain>来自自定义敏感词库。</explain>
      <paraID>60C9CCA5</paraID>
      <start>8</start>
      <end>13</end>
      <status>unmodified</status>
      <modifiedWord/>
      <trackRevisions>false</trackRevisions>
    </reviewItem>
    <reviewItem>
      <errorID>6aac1121-ea0a-47e5-a59d-966d7d1bfe50</errorID>
      <errorWord>监控</errorWord>
      <group>L1_Sensitive</group>
      <groupName>敏感问题</groupName>
      <ability>L2_UserSensitive</ability>
      <abilityName>自定义敏感词</abilityName>
      <candidateList/>
      <explain>来自自定义敏感词库。</explain>
      <paraID>1717D412</paraID>
      <start>316</start>
      <end>318</end>
      <status>unmodified</status>
      <modifiedWord/>
      <trackRevisions>false</trackRevisions>
    </reviewItem>
    <reviewItem>
      <errorID>13dced8c-36e9-4802-bfc2-c8113ba1945c</errorID>
      <errorWord>社会主义现代国家的</errorWord>
      <group>L1_Political</group>
      <groupName>政治性问题</groupName>
      <ability>L2_Unpolitical</ability>
      <abilityName>政治敏感错误</abilityName>
      <candidateList>
        <item>社会主义现代化国家的</item>
      </candidateList>
      <explain/>
      <paraID>46195C7D</paraID>
      <start>115</start>
      <end>125</end>
      <status>modified</status>
      <modifiedWord>社会主义现代化国家的</modifiedWord>
      <trackRevisions>false</trackRevisions>
    </reviewItem>
    <reviewItem>
      <errorID>62fff4e7-5440-4575-8508-ac75d876db4c</errorID>
      <errorWord>社会主义现代国家的</errorWord>
      <group>L1_Political</group>
      <groupName>政治性问题</groupName>
      <ability>L2_Unpolitical</ability>
      <abilityName>政治敏感错误</abilityName>
      <candidateList>
        <item>社会主义现代化国家的</item>
      </candidateList>
      <explain/>
      <paraID>20317DC9</paraID>
      <start>250</start>
      <end>260</end>
      <status>modified</status>
      <modifiedWord>社会主义现代化国家的</modifiedWord>
      <trackRevisions>false</trackRevisions>
    </reviewItem>
    <reviewItem>
      <errorID>f45bc3e6-1bce-4f2d-b53a-30b4f3cc0ab8</errorID>
      <errorWord>劳动力转移</errorWord>
      <group>L1_Sensitive</group>
      <groupName>敏感问题</groupName>
      <ability>L2_UserSensitive</ability>
      <abilityName>自定义敏感词</abilityName>
      <candidateList/>
      <explain>来自自定义敏感词库。</explain>
      <paraID>3B41E7DF</paraID>
      <start>4</start>
      <end>9</end>
      <status>unmodified</status>
      <modifiedWord/>
      <trackRevisions>false</trackRevisions>
    </reviewItem>
    <reviewItem>
      <errorID>d8957e28-0abb-43a0-a4fc-e9b67d4079d2</errorID>
      <errorWord>工作报告工作报告</errorWord>
      <group>L1_Word</group>
      <groupName>字词问题</groupName>
      <ability>L2_Typo</ability>
      <abilityName>字词错误</abilityName>
      <candidateList>
        <item>工作报告</item>
      </candidateList>
      <explain/>
      <paraID>79FF412F</paraID>
      <start>12</start>
      <end>16</end>
      <status>modified</status>
      <modifiedWord>工作报告</modifiedWord>
      <trackRevisions>false</trackRevisions>
    </reviewItem>
    <reviewItem>
      <errorID>6b9b26bd-e87f-42bf-8b14-c3f7c1237adb</errorID>
      <errorWord>【2024】81号</errorWord>
      <group>L1_Knowledge</group>
      <groupName>知识性问题</groupName>
      <ability>L2_Knowledge</ability>
      <abilityName>其他知识</abilityName>
      <candidateList>
        <item>〔2024〕81号</item>
      </candidateList>
      <explain>发文字号格式错误</explain>
      <paraID> F53C05E</paraID>
      <start>38</start>
      <end>47</end>
      <status>modified</status>
      <modifiedWord>〔2024〕81号</modifiedWord>
      <trackRevisions>false</trackRevisions>
    </reviewItem>
    <reviewItem>
      <errorID>e9260197-99b1-461d-9c80-a07003cf496b</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F53C05E</paraID>
      <start>165</start>
      <end>166</end>
      <status>modified</status>
      <modifiedWord>地</modifiedWord>
      <trackRevisions>false</trackRevisions>
    </reviewItem>
    <reviewItem>
      <errorID>4d8be025-a81e-4039-a256-90e7e6f49d22</errorID>
      <errorWord>有效的</errorWord>
      <group>L1_Word</group>
      <groupName>字词问题</groupName>
      <ability>L2_Typo</ability>
      <abilityName>字词错误</abilityName>
      <candidateList>
        <item>有效地</item>
      </candidateList>
      <explain/>
      <paraID> F53C05E</paraID>
      <start>188</start>
      <end>191</end>
      <status>modified</status>
      <modifiedWord>有效地</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412007-7ce1-41cd-85b2-f410ee1a8e1b}">
  <ds:schemaRefs/>
</ds:datastoreItem>
</file>

<file path=docProps/app.xml><?xml version="1.0" encoding="utf-8"?>
<Properties xmlns="http://schemas.openxmlformats.org/officeDocument/2006/extended-properties" xmlns:vt="http://schemas.openxmlformats.org/officeDocument/2006/docPropsVTypes">
  <Template>Normal.dotm</Template>
  <Pages>34</Pages>
  <Words>9663</Words>
  <Characters>11026</Characters>
  <Lines>0</Lines>
  <Paragraphs>0</Paragraphs>
  <TotalTime>10</TotalTime>
  <ScaleCrop>false</ScaleCrop>
  <LinksUpToDate>false</LinksUpToDate>
  <CharactersWithSpaces>11034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