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7FCD">
      <w:pPr>
        <w:keepNext w:val="0"/>
        <w:keepLines w:val="0"/>
        <w:pageBreakBefore w:val="0"/>
        <w:kinsoku/>
        <w:wordWrap/>
        <w:overflowPunct/>
        <w:topLinePunct w:val="0"/>
        <w:autoSpaceDE/>
        <w:autoSpaceDN/>
        <w:bidi w:val="0"/>
        <w:adjustRightInd w:val="0"/>
        <w:spacing w:line="360" w:lineRule="auto"/>
        <w:textAlignment w:val="auto"/>
        <w:rPr>
          <w:rFonts w:ascii="黑体" w:hAnsi="宋体" w:eastAsia="黑体"/>
          <w:sz w:val="32"/>
          <w:szCs w:val="32"/>
        </w:rPr>
      </w:pPr>
      <w:r>
        <w:rPr>
          <w:rFonts w:ascii="黑体" w:hAnsi="宋体" w:eastAsia="黑体"/>
          <w:sz w:val="32"/>
          <w:szCs w:val="32"/>
        </w:rPr>
        <w:t xml:space="preserve">                                                       </w:t>
      </w:r>
    </w:p>
    <w:tbl>
      <w:tblPr>
        <w:tblStyle w:val="7"/>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3"/>
      </w:tblGrid>
      <w:tr w14:paraId="6B560E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14:paraId="691F85FA">
            <w:pPr>
              <w:keepNext w:val="0"/>
              <w:keepLines w:val="0"/>
              <w:pageBreakBefore w:val="0"/>
              <w:kinsoku/>
              <w:wordWrap/>
              <w:overflowPunct/>
              <w:topLinePunct w:val="0"/>
              <w:autoSpaceDE/>
              <w:autoSpaceDN/>
              <w:bidi w:val="0"/>
              <w:spacing w:line="360" w:lineRule="auto"/>
              <w:jc w:val="center"/>
              <w:textAlignment w:val="auto"/>
              <w:rPr>
                <w:rFonts w:ascii="黑体" w:hAnsi="宋体" w:eastAsia="黑体"/>
                <w:spacing w:val="20"/>
                <w:w w:val="105"/>
                <w:sz w:val="52"/>
                <w:szCs w:val="52"/>
              </w:rPr>
            </w:pPr>
            <w:r>
              <w:rPr>
                <w:rFonts w:hint="eastAsia" w:ascii="黑体" w:hAnsi="宋体" w:eastAsia="黑体"/>
                <w:spacing w:val="20"/>
                <w:w w:val="105"/>
                <w:sz w:val="48"/>
                <w:szCs w:val="48"/>
              </w:rPr>
              <w:t>产品质量监督抽查实施细则</w:t>
            </w:r>
          </w:p>
        </w:tc>
      </w:tr>
    </w:tbl>
    <w:p w14:paraId="780F6F3D">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2D3E64C7">
      <w:pPr>
        <w:keepNext w:val="0"/>
        <w:keepLines w:val="0"/>
        <w:pageBreakBefore w:val="0"/>
        <w:kinsoku/>
        <w:wordWrap/>
        <w:overflowPunct/>
        <w:topLinePunct w:val="0"/>
        <w:autoSpaceDE/>
        <w:autoSpaceDN/>
        <w:bidi w:val="0"/>
        <w:adjustRightInd w:val="0"/>
        <w:spacing w:line="360" w:lineRule="auto"/>
        <w:jc w:val="center"/>
        <w:textAlignment w:val="auto"/>
        <w:rPr>
          <w:rFonts w:ascii="黑体" w:hAnsi="宋体" w:eastAsia="黑体"/>
          <w:b/>
          <w:sz w:val="52"/>
          <w:szCs w:val="52"/>
        </w:rPr>
      </w:pPr>
    </w:p>
    <w:p w14:paraId="410BED51">
      <w:pPr>
        <w:keepNext w:val="0"/>
        <w:keepLines w:val="0"/>
        <w:pageBreakBefore w:val="0"/>
        <w:kinsoku/>
        <w:wordWrap/>
        <w:overflowPunct/>
        <w:topLinePunct w:val="0"/>
        <w:autoSpaceDE/>
        <w:autoSpaceDN/>
        <w:bidi w:val="0"/>
        <w:adjustRightInd w:val="0"/>
        <w:spacing w:line="360" w:lineRule="auto"/>
        <w:jc w:val="center"/>
        <w:textAlignment w:val="auto"/>
        <w:rPr>
          <w:rFonts w:ascii="黑体" w:hAnsi="宋体" w:eastAsia="黑体"/>
          <w:b/>
          <w:sz w:val="52"/>
          <w:szCs w:val="52"/>
        </w:rPr>
      </w:pPr>
    </w:p>
    <w:p w14:paraId="29017AC6">
      <w:pPr>
        <w:keepNext w:val="0"/>
        <w:keepLines w:val="0"/>
        <w:pageBreakBefore w:val="0"/>
        <w:kinsoku/>
        <w:wordWrap/>
        <w:overflowPunct/>
        <w:topLinePunct w:val="0"/>
        <w:autoSpaceDE/>
        <w:autoSpaceDN/>
        <w:bidi w:val="0"/>
        <w:spacing w:line="360" w:lineRule="auto"/>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eastAsia="zh-CN"/>
        </w:rPr>
        <w:t>特克斯县</w:t>
      </w:r>
      <w:r>
        <w:rPr>
          <w:rFonts w:hint="eastAsia" w:ascii="黑体" w:hAnsi="黑体" w:eastAsia="黑体" w:cs="黑体"/>
          <w:b/>
          <w:bCs/>
          <w:sz w:val="44"/>
          <w:szCs w:val="44"/>
        </w:rPr>
        <w:t>建筑防水卷材产品质量</w:t>
      </w:r>
    </w:p>
    <w:p w14:paraId="3F9938AD">
      <w:pPr>
        <w:keepNext w:val="0"/>
        <w:keepLines w:val="0"/>
        <w:pageBreakBefore w:val="0"/>
        <w:kinsoku/>
        <w:wordWrap/>
        <w:overflowPunct/>
        <w:topLinePunct w:val="0"/>
        <w:autoSpaceDE/>
        <w:autoSpaceDN/>
        <w:bidi w:val="0"/>
        <w:spacing w:line="360" w:lineRule="auto"/>
        <w:jc w:val="center"/>
        <w:textAlignment w:val="auto"/>
        <w:rPr>
          <w:rFonts w:ascii="黑体" w:hAnsi="黑体" w:eastAsia="黑体" w:cs="黑体"/>
          <w:b/>
          <w:bCs/>
          <w:sz w:val="44"/>
          <w:szCs w:val="44"/>
        </w:rPr>
      </w:pPr>
      <w:r>
        <w:rPr>
          <w:rFonts w:hint="eastAsia" w:ascii="黑体" w:hAnsi="黑体" w:eastAsia="黑体" w:cs="黑体"/>
          <w:b/>
          <w:bCs/>
          <w:sz w:val="44"/>
          <w:szCs w:val="44"/>
        </w:rPr>
        <w:t>监督抽查实施细则</w:t>
      </w:r>
      <w:bookmarkStart w:id="0" w:name="_GoBack"/>
      <w:bookmarkEnd w:id="0"/>
    </w:p>
    <w:p w14:paraId="46A79FC7">
      <w:pPr>
        <w:keepNext w:val="0"/>
        <w:keepLines w:val="0"/>
        <w:pageBreakBefore w:val="0"/>
        <w:tabs>
          <w:tab w:val="left" w:pos="6930"/>
        </w:tabs>
        <w:kinsoku/>
        <w:wordWrap/>
        <w:overflowPunct/>
        <w:topLinePunct w:val="0"/>
        <w:autoSpaceDE/>
        <w:autoSpaceDN/>
        <w:bidi w:val="0"/>
        <w:adjustRightInd w:val="0"/>
        <w:spacing w:line="360" w:lineRule="auto"/>
        <w:jc w:val="left"/>
        <w:textAlignment w:val="auto"/>
        <w:rPr>
          <w:rFonts w:ascii="黑体" w:hAnsi="黑体" w:eastAsia="黑体" w:cs="黑体"/>
          <w:b/>
          <w:bCs/>
          <w:sz w:val="44"/>
          <w:szCs w:val="44"/>
        </w:rPr>
      </w:pPr>
      <w:r>
        <w:rPr>
          <w:rFonts w:ascii="黑体" w:hAnsi="宋体" w:eastAsia="黑体"/>
          <w:b/>
          <w:sz w:val="52"/>
          <w:szCs w:val="52"/>
        </w:rPr>
        <w:t xml:space="preserve">           </w:t>
      </w:r>
    </w:p>
    <w:p w14:paraId="3E44F143">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7AB55499">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0EC87D83">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166D52CB">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3249DF8A">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434576CF">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r>
        <mc:AlternateContent>
          <mc:Choice Requires="wps">
            <w:drawing>
              <wp:anchor distT="0" distB="0" distL="114300" distR="114300" simplePos="0" relativeHeight="251660288" behindDoc="0" locked="0" layoutInCell="1" allowOverlap="1">
                <wp:simplePos x="0" y="0"/>
                <wp:positionH relativeFrom="page">
                  <wp:posOffset>2400300</wp:posOffset>
                </wp:positionH>
                <wp:positionV relativeFrom="page">
                  <wp:posOffset>6461760</wp:posOffset>
                </wp:positionV>
                <wp:extent cx="1440180" cy="198120"/>
                <wp:effectExtent l="0" t="0" r="7620" b="1905"/>
                <wp:wrapNone/>
                <wp:docPr id="1"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762DFFD0"/>
                        </w:txbxContent>
                      </wps:txbx>
                      <wps:bodyPr lIns="0" tIns="0" rIns="0" bIns="0" upright="1"/>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60288;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nLBS2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NllGdwvsSsB4d5Yby1Y0yd/R6dkfXYgo5f5EMwjuIeL+KKMRAei66v82KFIY6x&#10;4v2qWCb1s6dqBz7cCatJNCoKeHlJU3b45AN2xNRzSmzmrZLNTiqVDtDVHxSQA8OL3qUnDokl/6Qp&#10;E5ONjWVTOHqyyHHiEq0w1uNMsLbNEXmrjwY1j/tzNuBs1Gdj70B2Pc6d1EmQeGdphHm/4lL8fU6N&#10;n/6p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pywUts4BAACbAwAADgAAAAAAAAABACAA&#10;AAApAQAAZHJzL2Uyb0RvYy54bWxQSwUGAAAAAAYABgBZAQAAaQUAAAAA&#10;">
                <v:fill on="t" focussize="0,0"/>
                <v:stroke on="f"/>
                <v:imagedata o:title=""/>
                <o:lock v:ext="edit" aspectratio="f"/>
                <v:textbox inset="0mm,0mm,0mm,0mm">
                  <w:txbxContent>
                    <w:p w14:paraId="762DFFD0"/>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3657600</wp:posOffset>
                </wp:positionH>
                <wp:positionV relativeFrom="page">
                  <wp:posOffset>6865620</wp:posOffset>
                </wp:positionV>
                <wp:extent cx="1440180" cy="198120"/>
                <wp:effectExtent l="0" t="0" r="7620" b="1905"/>
                <wp:wrapNone/>
                <wp:docPr id="2" name="文本框 3"/>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131CC8AB"/>
                        </w:txbxContent>
                      </wps:txbx>
                      <wps:bodyPr lIns="0" tIns="0" rIns="0" bIns="0" upright="1"/>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61312;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SPF9oAAAANAQAADwAAAAAAAAABACAAAAAi&#10;AAAAZHJzL2Rvd25yZXYueG1sUEsBAhQAFAAAAAgAh07iQFUiiYLPAQAAmwMAAA4AAAAAAAAAAQAg&#10;AAAAKQEAAGRycy9lMm9Eb2MueG1sUEsFBgAAAAAGAAYAWQEAAGoFAAAAAA==&#10;">
                <v:fill on="t" focussize="0,0"/>
                <v:stroke on="f"/>
                <v:imagedata o:title=""/>
                <o:lock v:ext="edit" aspectratio="f"/>
                <v:textbox inset="0mm,0mm,0mm,0mm">
                  <w:txbxContent>
                    <w:p w14:paraId="131CC8AB"/>
                  </w:txbxContent>
                </v:textbox>
              </v:shape>
            </w:pict>
          </mc:Fallback>
        </mc:AlternateContent>
      </w:r>
    </w:p>
    <w:p w14:paraId="2B32439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
          <w:bCs/>
          <w:sz w:val="24"/>
        </w:rPr>
      </w:pPr>
      <w:r>
        <w:rPr>
          <w:rFonts w:hint="eastAsia" w:ascii="黑体" w:hAnsi="黑体" w:eastAsia="黑体" w:cs="黑体"/>
          <w:sz w:val="24"/>
        </w:rPr>
        <w:t>202</w:t>
      </w:r>
      <w:r>
        <w:rPr>
          <w:rFonts w:hint="eastAsia" w:ascii="黑体" w:hAnsi="黑体" w:eastAsia="黑体" w:cs="黑体"/>
          <w:sz w:val="24"/>
          <w:lang w:val="en-US" w:eastAsia="zh-CN"/>
        </w:rPr>
        <w:t>5</w:t>
      </w:r>
      <w:r>
        <w:rPr>
          <w:rFonts w:hint="eastAsia" w:ascii="黑体" w:hAnsi="黑体" w:eastAsia="黑体" w:cs="黑体"/>
          <w:sz w:val="24"/>
        </w:rPr>
        <w:t>-</w:t>
      </w:r>
      <w:r>
        <w:rPr>
          <w:rFonts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发布                                        202</w:t>
      </w:r>
      <w:r>
        <w:rPr>
          <w:rFonts w:hint="eastAsia" w:ascii="黑体" w:hAnsi="黑体" w:eastAsia="黑体" w:cs="黑体"/>
          <w:sz w:val="24"/>
          <w:lang w:val="en-US" w:eastAsia="zh-CN"/>
        </w:rPr>
        <w:t>5</w:t>
      </w:r>
      <w:r>
        <w:rPr>
          <w:rFonts w:hint="eastAsia"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实施</w:t>
      </w:r>
    </w:p>
    <w:p w14:paraId="19478F40">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eastAsia="zh-CN"/>
        </w:rPr>
        <w:t>特克斯县</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-198755</wp:posOffset>
                </wp:positionH>
                <wp:positionV relativeFrom="paragraph">
                  <wp:posOffset>29845</wp:posOffset>
                </wp:positionV>
                <wp:extent cx="5831205" cy="0"/>
                <wp:effectExtent l="0" t="9525" r="7620" b="9525"/>
                <wp:wrapNone/>
                <wp:docPr id="3" name="自选图形 4"/>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5.65pt;margin-top:2.35pt;height:0pt;width:459.15pt;z-index:251662336;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5b0r0wAAAAcBAAAPAAAAAAAAAAEAIAAAACIAAABkcnMvZG93bnJldi54bWxQSwECFAAU&#10;AAAACACHTuJAXybMHfYBAADkAwAADgAAAAAAAAABACAAAAAiAQAAZHJzL2Uyb0RvYy54bWxQSwUG&#10;AAAAAAYABgBZAQAAigUAAAAA&#10;">
                <v:fill on="f" focussize="0,0"/>
                <v:stroke weight="1.5pt" color="#000000" joinstyle="round"/>
                <v:imagedata o:title=""/>
                <o:lock v:ext="edit" aspectratio="f"/>
              </v:shape>
            </w:pict>
          </mc:Fallback>
        </mc:AlternateContent>
      </w:r>
    </w:p>
    <w:p w14:paraId="08ADFE53">
      <w:pPr>
        <w:keepNext w:val="0"/>
        <w:keepLines w:val="0"/>
        <w:pageBreakBefore w:val="0"/>
        <w:kinsoku/>
        <w:wordWrap/>
        <w:overflowPunct/>
        <w:topLinePunct w:val="0"/>
        <w:autoSpaceDE/>
        <w:autoSpaceDN/>
        <w:bidi w:val="0"/>
        <w:spacing w:line="360" w:lineRule="auto"/>
        <w:jc w:val="center"/>
        <w:textAlignment w:val="auto"/>
        <w:rPr>
          <w:rFonts w:hint="eastAsia" w:ascii="方正小标宋_GBK" w:hAnsi="方正小标宋_GBK" w:eastAsia="方正小标宋_GBK" w:cs="方正小标宋_GBK"/>
          <w:b/>
          <w:color w:val="000000"/>
          <w:spacing w:val="-8"/>
          <w:sz w:val="32"/>
          <w:szCs w:val="32"/>
        </w:rPr>
      </w:pPr>
      <w:r>
        <w:rPr>
          <w:rFonts w:hint="eastAsia" w:ascii="方正小标宋_GBK" w:hAnsi="方正小标宋_GBK" w:eastAsia="方正小标宋_GBK" w:cs="方正小标宋_GBK"/>
          <w:b/>
          <w:color w:val="000000"/>
          <w:spacing w:val="-8"/>
          <w:sz w:val="32"/>
          <w:szCs w:val="32"/>
          <w:lang w:val="en-US" w:eastAsia="zh-CN"/>
        </w:rPr>
        <w:t>2</w:t>
      </w:r>
      <w:r>
        <w:rPr>
          <w:rFonts w:hint="eastAsia" w:ascii="方正小标宋_GBK" w:hAnsi="方正小标宋_GBK" w:eastAsia="方正小标宋_GBK" w:cs="方正小标宋_GBK"/>
          <w:b/>
          <w:color w:val="000000"/>
          <w:spacing w:val="-8"/>
          <w:sz w:val="32"/>
          <w:szCs w:val="32"/>
        </w:rPr>
        <w:t>02</w:t>
      </w:r>
      <w:r>
        <w:rPr>
          <w:rFonts w:hint="eastAsia" w:ascii="方正小标宋_GBK" w:hAnsi="方正小标宋_GBK" w:eastAsia="方正小标宋_GBK" w:cs="方正小标宋_GBK"/>
          <w:b/>
          <w:color w:val="000000"/>
          <w:spacing w:val="-8"/>
          <w:sz w:val="32"/>
          <w:szCs w:val="32"/>
          <w:lang w:val="en-US" w:eastAsia="zh-CN"/>
        </w:rPr>
        <w:t>5</w:t>
      </w:r>
      <w:r>
        <w:rPr>
          <w:rFonts w:hint="eastAsia" w:ascii="方正小标宋_GBK" w:hAnsi="方正小标宋_GBK" w:eastAsia="方正小标宋_GBK" w:cs="方正小标宋_GBK"/>
          <w:b/>
          <w:color w:val="000000"/>
          <w:spacing w:val="-8"/>
          <w:sz w:val="32"/>
          <w:szCs w:val="32"/>
        </w:rPr>
        <w:t>年</w:t>
      </w:r>
      <w:r>
        <w:rPr>
          <w:rFonts w:hint="eastAsia" w:ascii="方正小标宋_GBK" w:hAnsi="方正小标宋_GBK" w:eastAsia="方正小标宋_GBK" w:cs="方正小标宋_GBK"/>
          <w:b/>
          <w:color w:val="000000"/>
          <w:spacing w:val="-8"/>
          <w:sz w:val="32"/>
          <w:szCs w:val="32"/>
          <w:lang w:eastAsia="zh-CN"/>
        </w:rPr>
        <w:t>特克斯县</w:t>
      </w:r>
      <w:r>
        <w:rPr>
          <w:rFonts w:hint="eastAsia" w:ascii="方正小标宋_GBK" w:hAnsi="方正小标宋_GBK" w:eastAsia="方正小标宋_GBK" w:cs="方正小标宋_GBK"/>
          <w:b/>
          <w:color w:val="000000"/>
          <w:spacing w:val="-8"/>
          <w:sz w:val="32"/>
          <w:szCs w:val="32"/>
        </w:rPr>
        <w:t>建筑防水卷材产品质量监督抽查</w:t>
      </w:r>
    </w:p>
    <w:p w14:paraId="23D29EB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_GBK" w:hAnsi="方正小标宋_GBK" w:eastAsia="方正小标宋_GBK" w:cs="方正小标宋_GBK"/>
          <w:b/>
          <w:color w:val="000000"/>
          <w:spacing w:val="-8"/>
          <w:sz w:val="32"/>
          <w:szCs w:val="32"/>
        </w:rPr>
      </w:pPr>
      <w:r>
        <w:rPr>
          <w:rFonts w:hint="eastAsia" w:ascii="方正小标宋_GBK" w:hAnsi="方正小标宋_GBK" w:eastAsia="方正小标宋_GBK" w:cs="方正小标宋_GBK"/>
          <w:b/>
          <w:color w:val="000000"/>
          <w:spacing w:val="-8"/>
          <w:sz w:val="32"/>
          <w:szCs w:val="32"/>
        </w:rPr>
        <w:t>实施细则</w:t>
      </w:r>
    </w:p>
    <w:p w14:paraId="2DC1593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eastAsia="方正小标宋简体" w:cs="方正仿宋简体"/>
          <w:b/>
          <w:color w:val="000000"/>
          <w:spacing w:val="-8"/>
          <w:sz w:val="32"/>
          <w:szCs w:val="32"/>
        </w:rPr>
      </w:pPr>
    </w:p>
    <w:p w14:paraId="5B55A5B0">
      <w:pPr>
        <w:keepNext w:val="0"/>
        <w:keepLines w:val="0"/>
        <w:pageBreakBefore w:val="0"/>
        <w:kinsoku/>
        <w:wordWrap/>
        <w:overflowPunct/>
        <w:topLinePunct w:val="0"/>
        <w:autoSpaceDE/>
        <w:autoSpaceDN/>
        <w:bidi w:val="0"/>
        <w:snapToGrid w:val="0"/>
        <w:spacing w:line="360" w:lineRule="auto"/>
        <w:textAlignment w:val="auto"/>
        <w:rPr>
          <w:rFonts w:ascii="黑体" w:hAnsi="黑体" w:eastAsia="黑体"/>
          <w:b/>
          <w:color w:val="000000"/>
          <w:szCs w:val="21"/>
        </w:rPr>
      </w:pPr>
      <w:r>
        <w:rPr>
          <w:rFonts w:ascii="黑体" w:hAnsi="黑体" w:eastAsia="黑体"/>
          <w:b/>
          <w:color w:val="000000"/>
          <w:szCs w:val="21"/>
        </w:rPr>
        <w:t>1 抽样方法</w:t>
      </w:r>
    </w:p>
    <w:p w14:paraId="1922EB5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以随机抽样的方式在被抽样生产者的待销产品</w:t>
      </w:r>
      <w:r>
        <w:rPr>
          <w:rFonts w:hint="eastAsia" w:ascii="宋体" w:hAnsi="宋体"/>
          <w:color w:val="000000"/>
          <w:szCs w:val="21"/>
          <w:highlight w:val="none"/>
        </w:rPr>
        <w:t>中抽取。</w:t>
      </w:r>
    </w:p>
    <w:p w14:paraId="41393EF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随机数一般可使用随机数表等方法产生。</w:t>
      </w:r>
    </w:p>
    <w:p w14:paraId="58EBBCC7">
      <w:pPr>
        <w:keepNext w:val="0"/>
        <w:keepLines w:val="0"/>
        <w:pageBreakBefore w:val="0"/>
        <w:kinsoku/>
        <w:wordWrap/>
        <w:overflowPunct/>
        <w:topLinePunct w:val="0"/>
        <w:autoSpaceDE/>
        <w:autoSpaceDN/>
        <w:bidi w:val="0"/>
        <w:spacing w:line="360" w:lineRule="auto"/>
        <w:ind w:firstLine="420" w:firstLineChars="200"/>
        <w:textAlignment w:val="auto"/>
        <w:rPr>
          <w:rFonts w:hint="eastAsia"/>
        </w:rPr>
      </w:pPr>
      <w:r>
        <w:rPr>
          <w:rFonts w:hint="eastAsia" w:ascii="宋体" w:hAnsi="宋体"/>
          <w:bCs/>
          <w:szCs w:val="21"/>
          <w:lang w:eastAsia="zh-CN"/>
        </w:rPr>
        <w:t>每批次抽样数量见表</w:t>
      </w:r>
      <w:r>
        <w:rPr>
          <w:rFonts w:hint="eastAsia" w:ascii="宋体" w:hAnsi="宋体"/>
          <w:bCs/>
          <w:szCs w:val="21"/>
          <w:lang w:val="en-US" w:eastAsia="zh-CN"/>
        </w:rPr>
        <w:t>1</w:t>
      </w:r>
      <w:r>
        <w:rPr>
          <w:rFonts w:hint="eastAsia"/>
        </w:rPr>
        <w:t>。</w:t>
      </w:r>
    </w:p>
    <w:p w14:paraId="113040D5">
      <w:pPr>
        <w:keepNext w:val="0"/>
        <w:keepLines w:val="0"/>
        <w:pageBreakBefore w:val="0"/>
        <w:kinsoku/>
        <w:wordWrap/>
        <w:overflowPunct/>
        <w:topLinePunct w:val="0"/>
        <w:autoSpaceDE/>
        <w:autoSpaceDN/>
        <w:bidi w:val="0"/>
        <w:snapToGrid w:val="0"/>
        <w:spacing w:line="360" w:lineRule="auto"/>
        <w:ind w:firstLine="360" w:firstLineChars="200"/>
        <w:jc w:val="center"/>
        <w:textAlignment w:val="auto"/>
        <w:rPr>
          <w:rFonts w:ascii="宋体" w:hAnsi="宋体"/>
          <w:color w:val="000000"/>
          <w:sz w:val="18"/>
          <w:szCs w:val="18"/>
        </w:rPr>
      </w:pPr>
      <w:r>
        <w:rPr>
          <w:rFonts w:ascii="宋体" w:hAnsi="宋体"/>
          <w:color w:val="000000"/>
          <w:sz w:val="18"/>
          <w:szCs w:val="18"/>
        </w:rPr>
        <w:t>表1 抽取样品数量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977"/>
        <w:gridCol w:w="1750"/>
        <w:gridCol w:w="1750"/>
        <w:gridCol w:w="1751"/>
      </w:tblGrid>
      <w:tr w14:paraId="1182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dxa"/>
            <w:noWrap w:val="0"/>
            <w:vAlign w:val="center"/>
          </w:tcPr>
          <w:p w14:paraId="3AE60C43">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bCs/>
                <w:color w:val="000000"/>
                <w:sz w:val="18"/>
                <w:szCs w:val="18"/>
              </w:rPr>
              <w:t>序号</w:t>
            </w:r>
          </w:p>
        </w:tc>
        <w:tc>
          <w:tcPr>
            <w:tcW w:w="2977" w:type="dxa"/>
            <w:noWrap w:val="0"/>
            <w:vAlign w:val="center"/>
          </w:tcPr>
          <w:p w14:paraId="347E5C09">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bCs/>
                <w:color w:val="000000"/>
                <w:sz w:val="18"/>
                <w:szCs w:val="18"/>
              </w:rPr>
              <w:t>产品品种</w:t>
            </w:r>
          </w:p>
        </w:tc>
        <w:tc>
          <w:tcPr>
            <w:tcW w:w="1750" w:type="dxa"/>
            <w:noWrap w:val="0"/>
            <w:vAlign w:val="center"/>
          </w:tcPr>
          <w:p w14:paraId="6D315CAE">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抽样数量（m）</w:t>
            </w:r>
          </w:p>
        </w:tc>
        <w:tc>
          <w:tcPr>
            <w:tcW w:w="1750" w:type="dxa"/>
            <w:noWrap w:val="0"/>
            <w:vAlign w:val="center"/>
          </w:tcPr>
          <w:p w14:paraId="7169B75B">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color w:val="000000"/>
                <w:sz w:val="18"/>
                <w:szCs w:val="18"/>
              </w:rPr>
              <w:t>检验样品数量（m）</w:t>
            </w:r>
          </w:p>
        </w:tc>
        <w:tc>
          <w:tcPr>
            <w:tcW w:w="1751" w:type="dxa"/>
            <w:noWrap w:val="0"/>
            <w:vAlign w:val="center"/>
          </w:tcPr>
          <w:p w14:paraId="3FFBC017">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color w:val="000000"/>
                <w:sz w:val="18"/>
                <w:szCs w:val="18"/>
              </w:rPr>
              <w:t>备用样品数量（m）</w:t>
            </w:r>
          </w:p>
        </w:tc>
      </w:tr>
      <w:tr w14:paraId="4930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dxa"/>
            <w:noWrap w:val="0"/>
            <w:vAlign w:val="center"/>
          </w:tcPr>
          <w:p w14:paraId="1F151DF8">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1</w:t>
            </w:r>
          </w:p>
        </w:tc>
        <w:tc>
          <w:tcPr>
            <w:tcW w:w="2977" w:type="dxa"/>
            <w:noWrap w:val="0"/>
            <w:vAlign w:val="center"/>
          </w:tcPr>
          <w:p w14:paraId="54FF3BAE">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弹性体改性沥青防水卷材</w:t>
            </w:r>
          </w:p>
        </w:tc>
        <w:tc>
          <w:tcPr>
            <w:tcW w:w="1750" w:type="dxa"/>
            <w:noWrap w:val="0"/>
            <w:vAlign w:val="center"/>
          </w:tcPr>
          <w:p w14:paraId="6C20F73C">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5.0</w:t>
            </w:r>
          </w:p>
        </w:tc>
        <w:tc>
          <w:tcPr>
            <w:tcW w:w="1750" w:type="dxa"/>
            <w:noWrap w:val="0"/>
            <w:vAlign w:val="center"/>
          </w:tcPr>
          <w:p w14:paraId="55ACBD72">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2.5</w:t>
            </w:r>
          </w:p>
        </w:tc>
        <w:tc>
          <w:tcPr>
            <w:tcW w:w="1751" w:type="dxa"/>
            <w:noWrap w:val="0"/>
            <w:vAlign w:val="center"/>
          </w:tcPr>
          <w:p w14:paraId="583B53B9">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2.5</w:t>
            </w:r>
          </w:p>
        </w:tc>
      </w:tr>
    </w:tbl>
    <w:p w14:paraId="34BC95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b/>
          <w:szCs w:val="21"/>
        </w:rPr>
      </w:pPr>
    </w:p>
    <w:p w14:paraId="00772D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2 检验依据</w:t>
      </w:r>
    </w:p>
    <w:p w14:paraId="3BAA910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检验项目</w:t>
      </w:r>
      <w:r>
        <w:rPr>
          <w:rFonts w:hint="eastAsia" w:ascii="宋体" w:hAnsi="宋体"/>
          <w:color w:val="000000"/>
          <w:szCs w:val="21"/>
          <w:lang w:eastAsia="zh-CN"/>
        </w:rPr>
        <w:t>、检验方法</w:t>
      </w:r>
      <w:r>
        <w:rPr>
          <w:rFonts w:hint="eastAsia" w:ascii="宋体" w:hAnsi="宋体"/>
          <w:color w:val="000000"/>
          <w:szCs w:val="21"/>
        </w:rPr>
        <w:t>见表</w:t>
      </w:r>
      <w:r>
        <w:rPr>
          <w:rFonts w:hint="eastAsia" w:ascii="宋体" w:hAnsi="宋体"/>
          <w:color w:val="000000"/>
          <w:szCs w:val="21"/>
          <w:lang w:val="en-US" w:eastAsia="zh-CN"/>
        </w:rPr>
        <w:t>2</w:t>
      </w:r>
      <w:r>
        <w:rPr>
          <w:rFonts w:hint="eastAsia" w:ascii="宋体" w:hAnsi="宋体"/>
          <w:color w:val="000000"/>
          <w:szCs w:val="21"/>
        </w:rPr>
        <w:t>。</w:t>
      </w:r>
    </w:p>
    <w:p w14:paraId="00F8F46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  弹性体改性沥青防水卷材</w:t>
      </w:r>
    </w:p>
    <w:tbl>
      <w:tblPr>
        <w:tblStyle w:val="7"/>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79"/>
        <w:gridCol w:w="3654"/>
      </w:tblGrid>
      <w:tr w14:paraId="54DF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A6A0B65">
            <w:pPr>
              <w:snapToGrid w:val="0"/>
              <w:spacing w:line="4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3279" w:type="dxa"/>
            <w:noWrap/>
            <w:vAlign w:val="center"/>
          </w:tcPr>
          <w:p w14:paraId="02136C7C">
            <w:pPr>
              <w:snapToGrid w:val="0"/>
              <w:spacing w:line="440" w:lineRule="exact"/>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654" w:type="dxa"/>
            <w:noWrap/>
            <w:vAlign w:val="center"/>
          </w:tcPr>
          <w:p w14:paraId="69765C8A">
            <w:pPr>
              <w:snapToGrid w:val="0"/>
              <w:spacing w:line="440" w:lineRule="exact"/>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7F77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6D8DB78">
            <w:pPr>
              <w:widowControl/>
              <w:ind w:right="198"/>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1</w:t>
            </w:r>
          </w:p>
        </w:tc>
        <w:tc>
          <w:tcPr>
            <w:tcW w:w="3279" w:type="dxa"/>
            <w:noWrap/>
            <w:vAlign w:val="center"/>
          </w:tcPr>
          <w:p w14:paraId="47BB8C27">
            <w:pPr>
              <w:widowControl/>
              <w:ind w:right="19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可溶物含量</w:t>
            </w:r>
          </w:p>
        </w:tc>
        <w:tc>
          <w:tcPr>
            <w:tcW w:w="3654" w:type="dxa"/>
            <w:noWrap/>
            <w:vAlign w:val="center"/>
          </w:tcPr>
          <w:p w14:paraId="1AB3D5F7">
            <w:pPr>
              <w:widowControl/>
              <w:ind w:right="198"/>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GB/T 328.26-2007</w:t>
            </w:r>
          </w:p>
        </w:tc>
      </w:tr>
      <w:tr w14:paraId="79D2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6BAFF110">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2</w:t>
            </w:r>
          </w:p>
        </w:tc>
        <w:tc>
          <w:tcPr>
            <w:tcW w:w="3279" w:type="dxa"/>
            <w:noWrap/>
            <w:vAlign w:val="center"/>
          </w:tcPr>
          <w:p w14:paraId="41847FE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低温柔性</w:t>
            </w:r>
          </w:p>
        </w:tc>
        <w:tc>
          <w:tcPr>
            <w:tcW w:w="3654" w:type="dxa"/>
            <w:noWrap/>
            <w:vAlign w:val="center"/>
          </w:tcPr>
          <w:p w14:paraId="75D9446D">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328.14-2007</w:t>
            </w:r>
          </w:p>
        </w:tc>
      </w:tr>
      <w:tr w14:paraId="3DA9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5AD72BBE">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3</w:t>
            </w:r>
          </w:p>
        </w:tc>
        <w:tc>
          <w:tcPr>
            <w:tcW w:w="3279" w:type="dxa"/>
            <w:noWrap/>
            <w:vAlign w:val="center"/>
          </w:tcPr>
          <w:p w14:paraId="6F6B2D5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不透水性</w:t>
            </w:r>
          </w:p>
        </w:tc>
        <w:tc>
          <w:tcPr>
            <w:tcW w:w="3654" w:type="dxa"/>
            <w:noWrap/>
            <w:vAlign w:val="center"/>
          </w:tcPr>
          <w:p w14:paraId="04DF2FB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r w14:paraId="0C0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12A1DD4E">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4</w:t>
            </w:r>
          </w:p>
        </w:tc>
        <w:tc>
          <w:tcPr>
            <w:tcW w:w="3279" w:type="dxa"/>
            <w:noWrap/>
            <w:vAlign w:val="center"/>
          </w:tcPr>
          <w:p w14:paraId="039DAAB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耐热性</w:t>
            </w:r>
          </w:p>
        </w:tc>
        <w:tc>
          <w:tcPr>
            <w:tcW w:w="3654" w:type="dxa"/>
            <w:noWrap/>
            <w:vAlign w:val="center"/>
          </w:tcPr>
          <w:p w14:paraId="5AF72DA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328.11-2007中A法</w:t>
            </w:r>
          </w:p>
        </w:tc>
      </w:tr>
      <w:tr w14:paraId="4C5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F46CFA7">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5</w:t>
            </w:r>
          </w:p>
        </w:tc>
        <w:tc>
          <w:tcPr>
            <w:tcW w:w="3279" w:type="dxa"/>
            <w:noWrap/>
            <w:vAlign w:val="center"/>
          </w:tcPr>
          <w:p w14:paraId="232A60F5">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拉力</w:t>
            </w:r>
          </w:p>
        </w:tc>
        <w:tc>
          <w:tcPr>
            <w:tcW w:w="3654" w:type="dxa"/>
            <w:noWrap/>
            <w:vAlign w:val="center"/>
          </w:tcPr>
          <w:p w14:paraId="63456ADF">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328.8-2007</w:t>
            </w:r>
          </w:p>
        </w:tc>
      </w:tr>
      <w:tr w14:paraId="635E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35BECA43">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6</w:t>
            </w:r>
          </w:p>
        </w:tc>
        <w:tc>
          <w:tcPr>
            <w:tcW w:w="3279" w:type="dxa"/>
            <w:noWrap/>
            <w:vAlign w:val="center"/>
          </w:tcPr>
          <w:p w14:paraId="0E8D259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延伸率</w:t>
            </w:r>
          </w:p>
        </w:tc>
        <w:tc>
          <w:tcPr>
            <w:tcW w:w="3654" w:type="dxa"/>
            <w:noWrap/>
            <w:vAlign w:val="center"/>
          </w:tcPr>
          <w:p w14:paraId="37C34B80">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328.8-2007</w:t>
            </w:r>
          </w:p>
        </w:tc>
      </w:tr>
      <w:tr w14:paraId="1DC3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3857A834">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7</w:t>
            </w:r>
          </w:p>
        </w:tc>
        <w:tc>
          <w:tcPr>
            <w:tcW w:w="3279" w:type="dxa"/>
            <w:noWrap/>
            <w:vAlign w:val="center"/>
          </w:tcPr>
          <w:p w14:paraId="2899064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热老化（拉力保持率）</w:t>
            </w:r>
          </w:p>
        </w:tc>
        <w:tc>
          <w:tcPr>
            <w:tcW w:w="3654" w:type="dxa"/>
            <w:noWrap/>
            <w:vAlign w:val="center"/>
          </w:tcPr>
          <w:p w14:paraId="043160C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r w14:paraId="6AE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77F9D936">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8</w:t>
            </w:r>
          </w:p>
        </w:tc>
        <w:tc>
          <w:tcPr>
            <w:tcW w:w="3279" w:type="dxa"/>
            <w:noWrap/>
            <w:vAlign w:val="center"/>
          </w:tcPr>
          <w:p w14:paraId="3F5A5A7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热老化（延伸率保持率）</w:t>
            </w:r>
          </w:p>
        </w:tc>
        <w:tc>
          <w:tcPr>
            <w:tcW w:w="3654" w:type="dxa"/>
            <w:noWrap/>
            <w:vAlign w:val="center"/>
          </w:tcPr>
          <w:p w14:paraId="5FB6883E">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r w14:paraId="033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2F6F4866">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9</w:t>
            </w:r>
          </w:p>
        </w:tc>
        <w:tc>
          <w:tcPr>
            <w:tcW w:w="3279" w:type="dxa"/>
            <w:noWrap/>
            <w:vAlign w:val="center"/>
          </w:tcPr>
          <w:p w14:paraId="6ECAAE35">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热老化（低温柔性）</w:t>
            </w:r>
          </w:p>
        </w:tc>
        <w:tc>
          <w:tcPr>
            <w:tcW w:w="3654" w:type="dxa"/>
            <w:noWrap/>
            <w:vAlign w:val="center"/>
          </w:tcPr>
          <w:p w14:paraId="015AED99">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r w14:paraId="6FEF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2B002314">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10</w:t>
            </w:r>
          </w:p>
        </w:tc>
        <w:tc>
          <w:tcPr>
            <w:tcW w:w="3279" w:type="dxa"/>
            <w:noWrap/>
            <w:vAlign w:val="center"/>
          </w:tcPr>
          <w:p w14:paraId="7F2AF3A7">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热老化（尺寸变化率）</w:t>
            </w:r>
          </w:p>
        </w:tc>
        <w:tc>
          <w:tcPr>
            <w:tcW w:w="3654" w:type="dxa"/>
            <w:noWrap/>
            <w:vAlign w:val="center"/>
          </w:tcPr>
          <w:p w14:paraId="6DE159B9">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r w14:paraId="51B9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3B1915A1">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11</w:t>
            </w:r>
          </w:p>
        </w:tc>
        <w:tc>
          <w:tcPr>
            <w:tcW w:w="3279" w:type="dxa"/>
            <w:noWrap/>
            <w:vAlign w:val="center"/>
          </w:tcPr>
          <w:p w14:paraId="27247EF1">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热老化（质量损失）</w:t>
            </w:r>
          </w:p>
        </w:tc>
        <w:tc>
          <w:tcPr>
            <w:tcW w:w="3654" w:type="dxa"/>
            <w:noWrap/>
            <w:vAlign w:val="center"/>
          </w:tcPr>
          <w:p w14:paraId="59AD13EB">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r w14:paraId="5FA9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1158FD81">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12</w:t>
            </w:r>
          </w:p>
        </w:tc>
        <w:tc>
          <w:tcPr>
            <w:tcW w:w="3279" w:type="dxa"/>
            <w:noWrap/>
            <w:vAlign w:val="center"/>
          </w:tcPr>
          <w:p w14:paraId="66E5F59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渗油性</w:t>
            </w:r>
          </w:p>
        </w:tc>
        <w:tc>
          <w:tcPr>
            <w:tcW w:w="3654" w:type="dxa"/>
            <w:noWrap/>
            <w:vAlign w:val="center"/>
          </w:tcPr>
          <w:p w14:paraId="7AD2430D">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tc>
      </w:tr>
    </w:tbl>
    <w:p w14:paraId="2045EADA">
      <w:pPr>
        <w:rPr>
          <w:rFonts w:hint="eastAsia" w:ascii="宋体" w:hAnsi="宋体"/>
          <w:color w:val="auto"/>
          <w:szCs w:val="21"/>
        </w:rPr>
      </w:pPr>
    </w:p>
    <w:p w14:paraId="21FCC08A">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000000"/>
          <w:szCs w:val="21"/>
        </w:rPr>
      </w:pPr>
      <w:r>
        <w:rPr>
          <w:rFonts w:hint="eastAsia" w:ascii="宋体" w:hAnsi="宋体"/>
          <w:color w:val="auto"/>
          <w:szCs w:val="21"/>
        </w:rPr>
        <w:t>执行企业标准、团体标准、地方标准的产品，检验项目参照上述内容执</w:t>
      </w:r>
      <w:r>
        <w:rPr>
          <w:rFonts w:hint="eastAsia" w:ascii="宋体" w:hAnsi="宋体"/>
          <w:color w:val="000000"/>
          <w:szCs w:val="21"/>
        </w:rPr>
        <w:t>行。</w:t>
      </w:r>
    </w:p>
    <w:p w14:paraId="43CEE3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2A8FC6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p>
    <w:p w14:paraId="4D6BAD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3 判定规则</w:t>
      </w:r>
    </w:p>
    <w:p w14:paraId="19BE647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000000"/>
          <w:szCs w:val="21"/>
        </w:rPr>
      </w:pPr>
      <w:r>
        <w:rPr>
          <w:rFonts w:hint="eastAsia" w:ascii="宋体" w:hAnsi="宋体"/>
          <w:b/>
          <w:color w:val="000000"/>
          <w:szCs w:val="21"/>
        </w:rPr>
        <w:t>3.1依据标准</w:t>
      </w:r>
    </w:p>
    <w:p w14:paraId="409875C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color w:val="000000"/>
          <w:szCs w:val="21"/>
          <w:lang w:val="en-US"/>
        </w:rPr>
      </w:pPr>
      <w:r>
        <w:rPr>
          <w:rFonts w:ascii="宋体" w:hAnsi="宋体"/>
          <w:color w:val="000000"/>
          <w:szCs w:val="21"/>
        </w:rPr>
        <w:t>GB</w:t>
      </w:r>
      <w:r>
        <w:rPr>
          <w:rFonts w:hint="eastAsia" w:ascii="宋体" w:hAnsi="宋体"/>
          <w:color w:val="000000"/>
          <w:szCs w:val="21"/>
          <w:lang w:val="en-US" w:eastAsia="zh-CN"/>
        </w:rPr>
        <w:t xml:space="preserve"> 18242-2008  弹性体改性沥青防水卷材</w:t>
      </w:r>
    </w:p>
    <w:p w14:paraId="251023C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相关的法律、行政法规、部门规章、规范性文件</w:t>
      </w:r>
    </w:p>
    <w:p w14:paraId="69C7478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ascii="宋体" w:hAnsi="宋体"/>
          <w:color w:val="000000"/>
          <w:szCs w:val="21"/>
        </w:rPr>
        <w:t>现行有效的企业标准、团体标准、地方标准及产品明示质量要求</w:t>
      </w:r>
    </w:p>
    <w:p w14:paraId="6A18D9B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000000"/>
          <w:szCs w:val="21"/>
        </w:rPr>
      </w:pPr>
      <w:r>
        <w:rPr>
          <w:rFonts w:hint="eastAsia" w:ascii="宋体" w:hAnsi="宋体"/>
          <w:b/>
          <w:color w:val="000000"/>
          <w:szCs w:val="21"/>
        </w:rPr>
        <w:t>3.2判定原则</w:t>
      </w:r>
    </w:p>
    <w:p w14:paraId="06A6B9C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经检验，检验项目全部合格，</w:t>
      </w:r>
      <w:r>
        <w:rPr>
          <w:rFonts w:hint="default" w:ascii="Times New Roman" w:hAnsi="Times New Roman" w:cs="Times New Roman"/>
          <w:color w:val="000000"/>
          <w:szCs w:val="21"/>
        </w:rPr>
        <w:t>判定为被抽查产品所检项目未发现不合格；</w:t>
      </w:r>
      <w:r>
        <w:rPr>
          <w:rFonts w:hint="eastAsia" w:ascii="宋体" w:hAnsi="宋体"/>
          <w:color w:val="000000"/>
          <w:szCs w:val="21"/>
        </w:rPr>
        <w:t>检验项目中任一项或一项以上不合格，判定为被抽查产品不合格。</w:t>
      </w:r>
    </w:p>
    <w:p w14:paraId="25AEEB3E">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2C401327">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34075503">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669D3DD5">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FBDC1E8">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081824B1">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2012315</wp:posOffset>
                </wp:positionH>
                <wp:positionV relativeFrom="paragraph">
                  <wp:posOffset>93345</wp:posOffset>
                </wp:positionV>
                <wp:extent cx="1800225" cy="0"/>
                <wp:effectExtent l="0" t="7620" r="0" b="11430"/>
                <wp:wrapNone/>
                <wp:docPr id="4" name="自选图形 5"/>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8.45pt;margin-top:7.35pt;height:0pt;width:141.75pt;z-index:251663360;mso-width-relative:page;mso-height-relative:page;" filled="f" stroked="t" coordsize="21600,21600" o:gfxdata="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v6cMwuGLvzu&#10;8/dfn77cfv15++MbmyeFBo8VBa7tNpx26Lch0T20waQ/EWGHrOrxrKo8RCbocLooy9lszpm49xUP&#10;iT5gfC2dYcmoOcYAquvj2llLd+fCNKsK+zcYqTQl3iekqtqygfDni5cJHWgYWxoCMo0nQmi7nIxO&#10;q+ZaaZ1SMHS7tQ5sD2kg8pcYEvBfYanKBrAf47JrHJVeQvPKNiwePUll6YXw1IORDWda0oNKFgFC&#10;FUHpSyKptLbUQRJ5lDVZO9ccs9r5nC4/93ga1DRdf+5z9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HJJutYAAAAJAQAADwAAAAAAAAABACAAAAAiAAAAZHJzL2Rvd25yZXYueG1sUEsBAhQA&#10;FAAAAAgAh07iQJ2fw8D0AQAA5AMAAA4AAAAAAAAAAQAgAAAAJQEAAGRycy9lMm9Eb2MueG1sUEsF&#10;BgAAAAAGAAYAWQEAAIsFAAAAAA==&#10;">
                <v:fill on="f" focussize="0,0"/>
                <v:stroke weight="1.25pt" color="#000000" joinstyle="round"/>
                <v:imagedata o:title=""/>
                <o:lock v:ext="edit" aspectratio="f"/>
              </v:shape>
            </w:pict>
          </mc:Fallback>
        </mc:AlternateContent>
      </w:r>
    </w:p>
    <w:p w14:paraId="07E4398D">
      <w:pPr>
        <w:snapToGrid w:val="0"/>
        <w:spacing w:line="360" w:lineRule="auto"/>
        <w:ind w:firstLine="417" w:firstLineChars="199"/>
        <w:rPr>
          <w:rFonts w:ascii="宋体" w:hAnsi="宋体"/>
          <w:color w:val="000000"/>
          <w:szCs w:val="21"/>
        </w:rPr>
      </w:pP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p>
    <w:p w14:paraId="3CF9058D">
      <w:pPr>
        <w:keepNext w:val="0"/>
        <w:keepLines w:val="0"/>
        <w:pageBreakBefore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p>
    <w:sectPr>
      <w:headerReference r:id="rId8" w:type="default"/>
      <w:footerReference r:id="rId9" w:type="default"/>
      <w:footerReference r:id="rId10" w:type="even"/>
      <w:pgSz w:w="11906" w:h="16838"/>
      <w:pgMar w:top="1985" w:right="1361" w:bottom="1361"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5D3794-D1B6-472E-A527-FDC5B9B0AA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287B2B2-7338-4793-B27E-57F0F0980E39}"/>
  </w:font>
  <w:font w:name="方正小标宋简体">
    <w:panose1 w:val="02010600010101010101"/>
    <w:charset w:val="86"/>
    <w:family w:val="script"/>
    <w:pitch w:val="default"/>
    <w:sig w:usb0="00000001" w:usb1="080E0000" w:usb2="00000000" w:usb3="00000000" w:csb0="00040000" w:csb1="00000000"/>
    <w:embedRegular r:id="rId3" w:fontKey="{90427ED5-5D0F-4829-804C-7B8AFA99DFF9}"/>
  </w:font>
  <w:font w:name="方正仿宋简体">
    <w:altName w:val="微软雅黑"/>
    <w:panose1 w:val="02000000000000000000"/>
    <w:charset w:val="86"/>
    <w:family w:val="script"/>
    <w:pitch w:val="default"/>
    <w:sig w:usb0="00000000" w:usb1="00000000" w:usb2="00000012" w:usb3="00000000" w:csb0="00040001" w:csb1="00000000"/>
    <w:embedRegular r:id="rId4" w:fontKey="{FD59CC7F-F747-43F3-837A-66BE5C2B499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6CE184CA">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7F2F11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D825">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7961A84C">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E734">
    <w:pPr>
      <w:pStyle w:val="5"/>
    </w:pPr>
  </w:p>
  <w:p w14:paraId="0C48FF6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6840">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32C2AF">
                          <w:pPr>
                            <w:pStyle w:val="5"/>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14:paraId="7332C2AF">
                    <w:pPr>
                      <w:pStyle w:val="5"/>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txbxContent>
              </v:textbox>
            </v:shape>
          </w:pict>
        </mc:Fallback>
      </mc:AlternateContent>
    </w:r>
  </w:p>
  <w:p w14:paraId="2AFACE7E">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1F65">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05DE19C6">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F7C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227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D75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276A9"/>
    <w:rsid w:val="00035064"/>
    <w:rsid w:val="00037D8D"/>
    <w:rsid w:val="00051A44"/>
    <w:rsid w:val="00071001"/>
    <w:rsid w:val="00081CBD"/>
    <w:rsid w:val="000976DE"/>
    <w:rsid w:val="000A18D0"/>
    <w:rsid w:val="000D0007"/>
    <w:rsid w:val="000D671D"/>
    <w:rsid w:val="000F64F9"/>
    <w:rsid w:val="000F6E44"/>
    <w:rsid w:val="001035C2"/>
    <w:rsid w:val="001638B1"/>
    <w:rsid w:val="001715A9"/>
    <w:rsid w:val="00172A27"/>
    <w:rsid w:val="00175489"/>
    <w:rsid w:val="001754B1"/>
    <w:rsid w:val="001809DD"/>
    <w:rsid w:val="0018638C"/>
    <w:rsid w:val="001B0F23"/>
    <w:rsid w:val="001C4F34"/>
    <w:rsid w:val="001D1FBC"/>
    <w:rsid w:val="001D6824"/>
    <w:rsid w:val="001E4729"/>
    <w:rsid w:val="00210539"/>
    <w:rsid w:val="00216BA6"/>
    <w:rsid w:val="00223317"/>
    <w:rsid w:val="00253624"/>
    <w:rsid w:val="002710B5"/>
    <w:rsid w:val="00274E3E"/>
    <w:rsid w:val="002825C2"/>
    <w:rsid w:val="00287B95"/>
    <w:rsid w:val="00293B52"/>
    <w:rsid w:val="002A7D1C"/>
    <w:rsid w:val="002B50E7"/>
    <w:rsid w:val="002D414E"/>
    <w:rsid w:val="002D7F8A"/>
    <w:rsid w:val="002E0D1D"/>
    <w:rsid w:val="002E1EAC"/>
    <w:rsid w:val="002E68A8"/>
    <w:rsid w:val="002E772A"/>
    <w:rsid w:val="002F1D2D"/>
    <w:rsid w:val="002F49EA"/>
    <w:rsid w:val="00306A87"/>
    <w:rsid w:val="003203A3"/>
    <w:rsid w:val="00371567"/>
    <w:rsid w:val="00375E4A"/>
    <w:rsid w:val="0039208F"/>
    <w:rsid w:val="00392A15"/>
    <w:rsid w:val="003B226D"/>
    <w:rsid w:val="003C388C"/>
    <w:rsid w:val="003C4CFD"/>
    <w:rsid w:val="003D0118"/>
    <w:rsid w:val="003E4890"/>
    <w:rsid w:val="003E61BF"/>
    <w:rsid w:val="00427D8E"/>
    <w:rsid w:val="00441CD2"/>
    <w:rsid w:val="00442A9A"/>
    <w:rsid w:val="00445E86"/>
    <w:rsid w:val="00457A50"/>
    <w:rsid w:val="00470FA3"/>
    <w:rsid w:val="00474E04"/>
    <w:rsid w:val="004820E0"/>
    <w:rsid w:val="00490A9C"/>
    <w:rsid w:val="004A2393"/>
    <w:rsid w:val="004D0C5A"/>
    <w:rsid w:val="004D0E11"/>
    <w:rsid w:val="004D25D5"/>
    <w:rsid w:val="004E1396"/>
    <w:rsid w:val="004F4DF1"/>
    <w:rsid w:val="00515553"/>
    <w:rsid w:val="005317D6"/>
    <w:rsid w:val="005608C8"/>
    <w:rsid w:val="00560BA9"/>
    <w:rsid w:val="00563EBC"/>
    <w:rsid w:val="006241C7"/>
    <w:rsid w:val="006324E6"/>
    <w:rsid w:val="00643C90"/>
    <w:rsid w:val="006617E9"/>
    <w:rsid w:val="00664DE7"/>
    <w:rsid w:val="006661AC"/>
    <w:rsid w:val="006B3511"/>
    <w:rsid w:val="006B702B"/>
    <w:rsid w:val="006B7ACD"/>
    <w:rsid w:val="006F0971"/>
    <w:rsid w:val="007035AB"/>
    <w:rsid w:val="007064E0"/>
    <w:rsid w:val="007076A7"/>
    <w:rsid w:val="00720D95"/>
    <w:rsid w:val="00721C12"/>
    <w:rsid w:val="0072334C"/>
    <w:rsid w:val="0074174D"/>
    <w:rsid w:val="00756139"/>
    <w:rsid w:val="00756A15"/>
    <w:rsid w:val="007626BB"/>
    <w:rsid w:val="00764B44"/>
    <w:rsid w:val="007B3BBD"/>
    <w:rsid w:val="007C6565"/>
    <w:rsid w:val="007D4454"/>
    <w:rsid w:val="007D5622"/>
    <w:rsid w:val="007E052A"/>
    <w:rsid w:val="007F26B4"/>
    <w:rsid w:val="00805C5E"/>
    <w:rsid w:val="0080654F"/>
    <w:rsid w:val="008121A2"/>
    <w:rsid w:val="0081453E"/>
    <w:rsid w:val="00832480"/>
    <w:rsid w:val="0083350B"/>
    <w:rsid w:val="00833A7C"/>
    <w:rsid w:val="00835F10"/>
    <w:rsid w:val="0084366D"/>
    <w:rsid w:val="00854F6E"/>
    <w:rsid w:val="00865D04"/>
    <w:rsid w:val="00875457"/>
    <w:rsid w:val="0088761D"/>
    <w:rsid w:val="00895BEA"/>
    <w:rsid w:val="008A0055"/>
    <w:rsid w:val="008A0FF4"/>
    <w:rsid w:val="008A3497"/>
    <w:rsid w:val="008A5AF6"/>
    <w:rsid w:val="008A5D98"/>
    <w:rsid w:val="008B69C6"/>
    <w:rsid w:val="008B6AA6"/>
    <w:rsid w:val="008B7D7D"/>
    <w:rsid w:val="008F2CA7"/>
    <w:rsid w:val="009055F7"/>
    <w:rsid w:val="00916DA0"/>
    <w:rsid w:val="00917A54"/>
    <w:rsid w:val="009339AE"/>
    <w:rsid w:val="00936209"/>
    <w:rsid w:val="009439DD"/>
    <w:rsid w:val="0094409B"/>
    <w:rsid w:val="009443F6"/>
    <w:rsid w:val="009659A3"/>
    <w:rsid w:val="00972E10"/>
    <w:rsid w:val="00973B12"/>
    <w:rsid w:val="00986872"/>
    <w:rsid w:val="009D29B0"/>
    <w:rsid w:val="009D7B49"/>
    <w:rsid w:val="009E73FD"/>
    <w:rsid w:val="009F265F"/>
    <w:rsid w:val="009F6B32"/>
    <w:rsid w:val="00A011A2"/>
    <w:rsid w:val="00A12B96"/>
    <w:rsid w:val="00A43553"/>
    <w:rsid w:val="00A62B41"/>
    <w:rsid w:val="00A821A3"/>
    <w:rsid w:val="00A8284B"/>
    <w:rsid w:val="00A8778B"/>
    <w:rsid w:val="00A95167"/>
    <w:rsid w:val="00AA2B3B"/>
    <w:rsid w:val="00AA2BE0"/>
    <w:rsid w:val="00AB47A2"/>
    <w:rsid w:val="00AC2C98"/>
    <w:rsid w:val="00AD1654"/>
    <w:rsid w:val="00AD5446"/>
    <w:rsid w:val="00B052CD"/>
    <w:rsid w:val="00B07D2D"/>
    <w:rsid w:val="00B11A9D"/>
    <w:rsid w:val="00B21ADC"/>
    <w:rsid w:val="00B4421F"/>
    <w:rsid w:val="00B520AD"/>
    <w:rsid w:val="00B6027C"/>
    <w:rsid w:val="00B60FC4"/>
    <w:rsid w:val="00B613DA"/>
    <w:rsid w:val="00B71D32"/>
    <w:rsid w:val="00B92EA8"/>
    <w:rsid w:val="00BA29DB"/>
    <w:rsid w:val="00BA39E8"/>
    <w:rsid w:val="00BA444C"/>
    <w:rsid w:val="00BC0F3D"/>
    <w:rsid w:val="00BC11AA"/>
    <w:rsid w:val="00BC2570"/>
    <w:rsid w:val="00BD5E15"/>
    <w:rsid w:val="00BF04E2"/>
    <w:rsid w:val="00BF2499"/>
    <w:rsid w:val="00C04BB6"/>
    <w:rsid w:val="00C07213"/>
    <w:rsid w:val="00C11645"/>
    <w:rsid w:val="00C24760"/>
    <w:rsid w:val="00C253DC"/>
    <w:rsid w:val="00C26074"/>
    <w:rsid w:val="00C353D5"/>
    <w:rsid w:val="00C5014D"/>
    <w:rsid w:val="00C54BC5"/>
    <w:rsid w:val="00C54FB2"/>
    <w:rsid w:val="00C77CE3"/>
    <w:rsid w:val="00C83B0A"/>
    <w:rsid w:val="00C94824"/>
    <w:rsid w:val="00CB4CFB"/>
    <w:rsid w:val="00CC3BFE"/>
    <w:rsid w:val="00CC3F7B"/>
    <w:rsid w:val="00CE1E0C"/>
    <w:rsid w:val="00CE277E"/>
    <w:rsid w:val="00D01796"/>
    <w:rsid w:val="00D106AE"/>
    <w:rsid w:val="00D15D3E"/>
    <w:rsid w:val="00D31AD0"/>
    <w:rsid w:val="00D356AC"/>
    <w:rsid w:val="00D45E0D"/>
    <w:rsid w:val="00D56867"/>
    <w:rsid w:val="00D65BE5"/>
    <w:rsid w:val="00DB6E0E"/>
    <w:rsid w:val="00DC19FC"/>
    <w:rsid w:val="00DC7251"/>
    <w:rsid w:val="00DE5A74"/>
    <w:rsid w:val="00DF135C"/>
    <w:rsid w:val="00E02A7F"/>
    <w:rsid w:val="00E07880"/>
    <w:rsid w:val="00E20E35"/>
    <w:rsid w:val="00E3579F"/>
    <w:rsid w:val="00E37E5A"/>
    <w:rsid w:val="00E43C18"/>
    <w:rsid w:val="00E753E6"/>
    <w:rsid w:val="00E82621"/>
    <w:rsid w:val="00E82AA9"/>
    <w:rsid w:val="00E85E2F"/>
    <w:rsid w:val="00EB2BD1"/>
    <w:rsid w:val="00EC01EC"/>
    <w:rsid w:val="00EE2F85"/>
    <w:rsid w:val="00EE53BC"/>
    <w:rsid w:val="00F01BEC"/>
    <w:rsid w:val="00F030E4"/>
    <w:rsid w:val="00F15D86"/>
    <w:rsid w:val="00F370D1"/>
    <w:rsid w:val="00F41F1B"/>
    <w:rsid w:val="00F51B27"/>
    <w:rsid w:val="00F5233C"/>
    <w:rsid w:val="00F721D8"/>
    <w:rsid w:val="00F77C9A"/>
    <w:rsid w:val="00F9402A"/>
    <w:rsid w:val="00F9792E"/>
    <w:rsid w:val="00FB2570"/>
    <w:rsid w:val="00FB576C"/>
    <w:rsid w:val="00FD2AA6"/>
    <w:rsid w:val="00FE7E8A"/>
    <w:rsid w:val="00FF477D"/>
    <w:rsid w:val="010D4DF9"/>
    <w:rsid w:val="017E268E"/>
    <w:rsid w:val="02000C7A"/>
    <w:rsid w:val="02005B8D"/>
    <w:rsid w:val="02385327"/>
    <w:rsid w:val="03E868D9"/>
    <w:rsid w:val="08C34A36"/>
    <w:rsid w:val="0B8D66E4"/>
    <w:rsid w:val="0B8E5FB8"/>
    <w:rsid w:val="0DB16D12"/>
    <w:rsid w:val="0F451083"/>
    <w:rsid w:val="0F4A7D3F"/>
    <w:rsid w:val="0F943265"/>
    <w:rsid w:val="10F26F21"/>
    <w:rsid w:val="12E87A0B"/>
    <w:rsid w:val="14F926F4"/>
    <w:rsid w:val="16EA1486"/>
    <w:rsid w:val="17FF2717"/>
    <w:rsid w:val="19A2504A"/>
    <w:rsid w:val="19BE3706"/>
    <w:rsid w:val="19DD25E4"/>
    <w:rsid w:val="1A49562F"/>
    <w:rsid w:val="1AD97324"/>
    <w:rsid w:val="1B310649"/>
    <w:rsid w:val="1BA004BA"/>
    <w:rsid w:val="1BAC7F86"/>
    <w:rsid w:val="1D036806"/>
    <w:rsid w:val="1D24052A"/>
    <w:rsid w:val="1E9B2A6E"/>
    <w:rsid w:val="21271E30"/>
    <w:rsid w:val="21696E53"/>
    <w:rsid w:val="228F4698"/>
    <w:rsid w:val="22A70FE7"/>
    <w:rsid w:val="244B2840"/>
    <w:rsid w:val="25901ED5"/>
    <w:rsid w:val="26094761"/>
    <w:rsid w:val="27EE2B60"/>
    <w:rsid w:val="29BC7704"/>
    <w:rsid w:val="2A520044"/>
    <w:rsid w:val="2A782C39"/>
    <w:rsid w:val="2A870C43"/>
    <w:rsid w:val="2BC5737C"/>
    <w:rsid w:val="2CC47634"/>
    <w:rsid w:val="2DBD47AF"/>
    <w:rsid w:val="2E6E6139"/>
    <w:rsid w:val="2E9A4EC4"/>
    <w:rsid w:val="30707CF8"/>
    <w:rsid w:val="308675AA"/>
    <w:rsid w:val="31B61C41"/>
    <w:rsid w:val="32A26FE0"/>
    <w:rsid w:val="383F6027"/>
    <w:rsid w:val="38F90665"/>
    <w:rsid w:val="3A257964"/>
    <w:rsid w:val="3A865F28"/>
    <w:rsid w:val="3A8D5509"/>
    <w:rsid w:val="3BA713EC"/>
    <w:rsid w:val="3BDD601C"/>
    <w:rsid w:val="3E171CB9"/>
    <w:rsid w:val="3E6E32C4"/>
    <w:rsid w:val="3EF5367D"/>
    <w:rsid w:val="3F544847"/>
    <w:rsid w:val="3F704CFE"/>
    <w:rsid w:val="3F874C1D"/>
    <w:rsid w:val="402E32EA"/>
    <w:rsid w:val="408D50F6"/>
    <w:rsid w:val="412D5350"/>
    <w:rsid w:val="426D634C"/>
    <w:rsid w:val="44A678F3"/>
    <w:rsid w:val="44FA19ED"/>
    <w:rsid w:val="458F7371"/>
    <w:rsid w:val="45BA3A6E"/>
    <w:rsid w:val="45D71D2E"/>
    <w:rsid w:val="46A301FD"/>
    <w:rsid w:val="46AB11F1"/>
    <w:rsid w:val="48193F05"/>
    <w:rsid w:val="4A037596"/>
    <w:rsid w:val="4A800BE6"/>
    <w:rsid w:val="4B6E4EE3"/>
    <w:rsid w:val="4BEC1766"/>
    <w:rsid w:val="4C224BFA"/>
    <w:rsid w:val="4CA566E2"/>
    <w:rsid w:val="4DD5233A"/>
    <w:rsid w:val="4F891FE9"/>
    <w:rsid w:val="4FD0310F"/>
    <w:rsid w:val="50052A51"/>
    <w:rsid w:val="50406E4E"/>
    <w:rsid w:val="517B3EB5"/>
    <w:rsid w:val="52133DDD"/>
    <w:rsid w:val="533119CE"/>
    <w:rsid w:val="53AB5B7B"/>
    <w:rsid w:val="549459BA"/>
    <w:rsid w:val="54D1276A"/>
    <w:rsid w:val="54FA76BD"/>
    <w:rsid w:val="56A3467A"/>
    <w:rsid w:val="56AD3A92"/>
    <w:rsid w:val="57AE0B41"/>
    <w:rsid w:val="59E12048"/>
    <w:rsid w:val="5A522FD2"/>
    <w:rsid w:val="5B7756EE"/>
    <w:rsid w:val="5C25339C"/>
    <w:rsid w:val="5CBE5393"/>
    <w:rsid w:val="5E345B18"/>
    <w:rsid w:val="5E3943A1"/>
    <w:rsid w:val="5E9B5B97"/>
    <w:rsid w:val="602C4CF9"/>
    <w:rsid w:val="60387B56"/>
    <w:rsid w:val="60CE5DB0"/>
    <w:rsid w:val="62A10094"/>
    <w:rsid w:val="63862972"/>
    <w:rsid w:val="648570CD"/>
    <w:rsid w:val="64DD0CB7"/>
    <w:rsid w:val="67900263"/>
    <w:rsid w:val="686F7E78"/>
    <w:rsid w:val="68F20AA9"/>
    <w:rsid w:val="694F2375"/>
    <w:rsid w:val="6A1C6093"/>
    <w:rsid w:val="6B3D425E"/>
    <w:rsid w:val="6EAE0FCF"/>
    <w:rsid w:val="70730722"/>
    <w:rsid w:val="71F87130"/>
    <w:rsid w:val="721D7F70"/>
    <w:rsid w:val="73312BDC"/>
    <w:rsid w:val="73FF41C7"/>
    <w:rsid w:val="755271FF"/>
    <w:rsid w:val="75F61BD9"/>
    <w:rsid w:val="76513D54"/>
    <w:rsid w:val="79276150"/>
    <w:rsid w:val="7B074623"/>
    <w:rsid w:val="7C067F4F"/>
    <w:rsid w:val="7C81210A"/>
    <w:rsid w:val="7C8A4E29"/>
    <w:rsid w:val="7CF14EA8"/>
    <w:rsid w:val="7E5A4CCF"/>
    <w:rsid w:val="7E89659A"/>
    <w:rsid w:val="7E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unhideWhenUsed/>
    <w:qFormat/>
    <w:uiPriority w:val="99"/>
    <w:pPr>
      <w:jc w:val="left"/>
    </w:pPr>
  </w:style>
  <w:style w:type="paragraph" w:styleId="3">
    <w:name w:val="Date"/>
    <w:basedOn w:val="1"/>
    <w:next w:val="1"/>
    <w:link w:val="13"/>
    <w:autoRedefine/>
    <w:unhideWhenUsed/>
    <w:qFormat/>
    <w:uiPriority w:val="99"/>
    <w:pPr>
      <w:ind w:left="100" w:leftChars="2500"/>
    </w:pPr>
  </w:style>
  <w:style w:type="paragraph" w:styleId="4">
    <w:name w:val="Balloon Text"/>
    <w:basedOn w:val="1"/>
    <w:link w:val="17"/>
    <w:autoRedefine/>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annotation reference"/>
    <w:autoRedefine/>
    <w:unhideWhenUsed/>
    <w:qFormat/>
    <w:uiPriority w:val="99"/>
    <w:rPr>
      <w:sz w:val="21"/>
      <w:szCs w:val="21"/>
    </w:rPr>
  </w:style>
  <w:style w:type="character" w:customStyle="1" w:styleId="12">
    <w:name w:val="highlight"/>
    <w:basedOn w:val="9"/>
    <w:autoRedefine/>
    <w:qFormat/>
    <w:uiPriority w:val="0"/>
  </w:style>
  <w:style w:type="character" w:customStyle="1" w:styleId="13">
    <w:name w:val="日期 Char"/>
    <w:link w:val="3"/>
    <w:autoRedefine/>
    <w:semiHidden/>
    <w:qFormat/>
    <w:uiPriority w:val="99"/>
    <w:rPr>
      <w:kern w:val="2"/>
      <w:sz w:val="21"/>
      <w:szCs w:val="24"/>
    </w:rPr>
  </w:style>
  <w:style w:type="character" w:customStyle="1" w:styleId="14">
    <w:name w:val="页脚 Char"/>
    <w:link w:val="5"/>
    <w:autoRedefine/>
    <w:qFormat/>
    <w:uiPriority w:val="99"/>
    <w:rPr>
      <w:kern w:val="2"/>
      <w:sz w:val="18"/>
      <w:szCs w:val="18"/>
    </w:rPr>
  </w:style>
  <w:style w:type="character" w:customStyle="1" w:styleId="15">
    <w:name w:val="批注文字 Char"/>
    <w:link w:val="2"/>
    <w:autoRedefine/>
    <w:semiHidden/>
    <w:qFormat/>
    <w:uiPriority w:val="99"/>
    <w:rPr>
      <w:kern w:val="2"/>
      <w:sz w:val="21"/>
      <w:szCs w:val="24"/>
    </w:rPr>
  </w:style>
  <w:style w:type="character" w:customStyle="1" w:styleId="16">
    <w:name w:val="页眉 Char"/>
    <w:link w:val="6"/>
    <w:autoRedefine/>
    <w:semiHidden/>
    <w:qFormat/>
    <w:uiPriority w:val="99"/>
    <w:rPr>
      <w:kern w:val="2"/>
      <w:sz w:val="18"/>
      <w:szCs w:val="18"/>
    </w:rPr>
  </w:style>
  <w:style w:type="character" w:customStyle="1" w:styleId="17">
    <w:name w:val="批注框文本 Char"/>
    <w:link w:val="4"/>
    <w:autoRedefine/>
    <w:semiHidden/>
    <w:qFormat/>
    <w:uiPriority w:val="99"/>
    <w:rPr>
      <w:kern w:val="2"/>
      <w:sz w:val="18"/>
      <w:szCs w:val="18"/>
    </w:rPr>
  </w:style>
  <w:style w:type="paragraph" w:customStyle="1" w:styleId="18">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866</Words>
  <Characters>1057</Characters>
  <Lines>27</Lines>
  <Paragraphs>7</Paragraphs>
  <TotalTime>4</TotalTime>
  <ScaleCrop>false</ScaleCrop>
  <LinksUpToDate>false</LinksUpToDate>
  <CharactersWithSpaces>1198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2020-04-07T09:45:00Z</dcterms:created>
  <dc:creator>Legend User</dc:creator>
  <cp:lastModifiedBy>Smile</cp:lastModifiedBy>
  <cp:lastPrinted>2019-12-05T07:53:00Z</cp:lastPrinted>
  <dcterms:modified xsi:type="dcterms:W3CDTF">2025-10-31T02:33:58Z</dcterms:modified>
  <dc:title>××产品质量监督抽查实施细则</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C775A202FF014A48A95C71AE1F3482F1_13</vt:lpwstr>
  </property>
  <property fmtid="{D5CDD505-2E9C-101B-9397-08002B2CF9AE}" pid="4" name="KSOTemplateDocerSaveRecord">
    <vt:lpwstr>eyJoZGlkIjoiMzEwNTM5NzYwMDRjMzkwZTVkZjY2ODkwMGIxNGU0OTUiLCJ1c2VySWQiOiIzODA3NDc4MDQifQ==</vt:lpwstr>
  </property>
</Properties>
</file>