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adjustRightInd/>
        <w:snapToGrid/>
        <w:spacing w:line="240" w:lineRule="auto"/>
        <w:textAlignment w:val="auto"/>
        <w:rPr>
          <w:rFonts w:ascii="黑体" w:hAnsi="黑体" w:eastAsia="黑体"/>
          <w:sz w:val="32"/>
          <w:szCs w:val="32"/>
          <w:highlight w:val="none"/>
        </w:rPr>
      </w:pPr>
      <w:r>
        <w:rPr>
          <w:rFonts w:hint="eastAsia" w:ascii="黑体" w:hAnsi="黑体" w:eastAsia="黑体"/>
          <w:sz w:val="32"/>
          <w:szCs w:val="32"/>
          <w:highlight w:val="none"/>
        </w:rPr>
        <w:t>附件：</w:t>
      </w:r>
    </w:p>
    <w:p>
      <w:pPr>
        <w:jc w:val="center"/>
        <w:rPr>
          <w:rFonts w:ascii="方正小标宋_GBK" w:hAnsi="宋体" w:eastAsia="方正小标宋_GBK"/>
          <w:sz w:val="44"/>
          <w:szCs w:val="44"/>
        </w:rPr>
      </w:pPr>
    </w:p>
    <w:p>
      <w:pPr>
        <w:jc w:val="center"/>
        <w:rPr>
          <w:rFonts w:ascii="方正小标宋_GBK" w:hAnsi="宋体" w:eastAsia="方正小标宋_GBK"/>
          <w:sz w:val="44"/>
          <w:szCs w:val="44"/>
        </w:rPr>
      </w:pPr>
    </w:p>
    <w:p>
      <w:pPr>
        <w:jc w:val="center"/>
        <w:rPr>
          <w:rFonts w:ascii="方正小标宋_GBK" w:hAnsi="宋体" w:eastAsia="方正小标宋_GBK"/>
          <w:sz w:val="44"/>
          <w:szCs w:val="44"/>
        </w:rPr>
      </w:pPr>
    </w:p>
    <w:p>
      <w:pPr>
        <w:jc w:val="center"/>
        <w:rPr>
          <w:rFonts w:ascii="方正小标宋_GBK" w:hAnsi="宋体" w:eastAsia="方正小标宋_GBK"/>
          <w:sz w:val="44"/>
          <w:szCs w:val="44"/>
        </w:rPr>
      </w:pPr>
    </w:p>
    <w:p>
      <w:pPr>
        <w:jc w:val="center"/>
        <w:rPr>
          <w:rFonts w:ascii="方正小标宋_GBK" w:hAnsi="宋体" w:eastAsia="方正小标宋_GBK"/>
          <w:sz w:val="44"/>
          <w:szCs w:val="44"/>
        </w:rPr>
      </w:pPr>
      <w:r>
        <w:rPr>
          <w:rFonts w:hint="eastAsia" w:ascii="方正小标宋_GBK" w:hAnsi="宋体" w:eastAsia="方正小标宋_GBK"/>
          <w:sz w:val="44"/>
          <w:szCs w:val="44"/>
        </w:rPr>
        <w:t>新疆伊犁州特克斯县阔克苏乡卫生院201</w:t>
      </w:r>
      <w:r>
        <w:rPr>
          <w:rFonts w:hint="eastAsia" w:ascii="方正小标宋_GBK" w:hAnsi="宋体" w:eastAsia="方正小标宋_GBK"/>
          <w:sz w:val="44"/>
          <w:szCs w:val="44"/>
          <w:lang w:val="en-US" w:eastAsia="zh-CN"/>
        </w:rPr>
        <w:t>9</w:t>
      </w:r>
      <w:r>
        <w:rPr>
          <w:rFonts w:hint="eastAsia" w:ascii="方正小标宋_GBK" w:hAnsi="宋体" w:eastAsia="方正小标宋_GBK"/>
          <w:sz w:val="44"/>
          <w:szCs w:val="44"/>
        </w:rPr>
        <w:t>年度部门决算公开说明</w:t>
      </w:r>
    </w:p>
    <w:p>
      <w:pPr>
        <w:jc w:val="center"/>
        <w:rPr>
          <w:rFonts w:ascii="仿宋_GB2312" w:hAnsi="仿宋_GB2312" w:eastAsia="仿宋_GB2312" w:cs="仿宋_GB2312"/>
          <w:bCs/>
          <w:kern w:val="0"/>
          <w:sz w:val="32"/>
          <w:szCs w:val="32"/>
        </w:rPr>
      </w:pPr>
      <w:r>
        <w:rPr>
          <w:rFonts w:hint="eastAsia" w:ascii="方正小标宋_GBK" w:hAnsi="宋体" w:eastAsia="方正小标宋_GBK"/>
          <w:sz w:val="44"/>
          <w:szCs w:val="44"/>
        </w:rPr>
        <w:br w:type="page"/>
      </w:r>
      <w:r>
        <w:rPr>
          <w:rFonts w:hint="eastAsia" w:ascii="仿宋_GB2312" w:hAnsi="仿宋_GB2312" w:eastAsia="仿宋_GB2312" w:cs="仿宋_GB2312"/>
          <w:b/>
          <w:kern w:val="0"/>
          <w:sz w:val="36"/>
          <w:szCs w:val="36"/>
        </w:rPr>
        <w:t>目  录</w:t>
      </w:r>
    </w:p>
    <w:p>
      <w:pPr>
        <w:pStyle w:val="6"/>
        <w:keepNext w:val="0"/>
        <w:keepLines w:val="0"/>
        <w:pageBreakBefore w:val="0"/>
        <w:widowControl w:val="0"/>
        <w:tabs>
          <w:tab w:val="right" w:pos="8306"/>
        </w:tabs>
        <w:kinsoku/>
        <w:wordWrap/>
        <w:overflowPunct/>
        <w:topLinePunct w:val="0"/>
        <w:bidi w:val="0"/>
        <w:adjustRightInd/>
        <w:snapToGrid/>
        <w:spacing w:line="560" w:lineRule="exact"/>
        <w:textAlignment w:val="auto"/>
        <w:rPr>
          <w:rFonts w:ascii="仿宋_GB2312" w:hAnsi="仿宋_GB2312" w:eastAsia="仿宋_GB2312" w:cs="仿宋_GB2312"/>
          <w:b/>
          <w:bCs/>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TOC \o "1-3" \n  \h \u </w:instrText>
      </w:r>
      <w:r>
        <w:rPr>
          <w:rFonts w:hint="eastAsia" w:ascii="仿宋_GB2312" w:hAnsi="仿宋_GB2312" w:eastAsia="仿宋_GB2312" w:cs="仿宋_GB2312"/>
          <w:sz w:val="32"/>
          <w:szCs w:val="32"/>
        </w:rPr>
        <w:fldChar w:fldCharType="separate"/>
      </w:r>
      <w:r>
        <w:fldChar w:fldCharType="begin"/>
      </w:r>
      <w:r>
        <w:instrText xml:space="preserve"> HYPERLINK \l "_Toc32314" </w:instrText>
      </w:r>
      <w:r>
        <w:fldChar w:fldCharType="separate"/>
      </w:r>
      <w:r>
        <w:rPr>
          <w:rFonts w:hint="eastAsia" w:ascii="仿宋_GB2312" w:hAnsi="仿宋_GB2312" w:eastAsia="仿宋_GB2312" w:cs="仿宋_GB2312"/>
          <w:b/>
          <w:bCs/>
          <w:sz w:val="32"/>
          <w:szCs w:val="32"/>
        </w:rPr>
        <w:t>第一部分 部门单位概况</w:t>
      </w:r>
      <w:r>
        <w:rPr>
          <w:rFonts w:hint="eastAsia" w:ascii="仿宋_GB2312" w:hAnsi="仿宋_GB2312" w:eastAsia="仿宋_GB2312" w:cs="仿宋_GB2312"/>
          <w:b/>
          <w:bCs/>
          <w:sz w:val="32"/>
          <w:szCs w:val="32"/>
        </w:rPr>
        <w:fldChar w:fldCharType="end"/>
      </w:r>
    </w:p>
    <w:p>
      <w:pPr>
        <w:pStyle w:val="7"/>
        <w:keepNext w:val="0"/>
        <w:keepLines w:val="0"/>
        <w:pageBreakBefore w:val="0"/>
        <w:widowControl w:val="0"/>
        <w:tabs>
          <w:tab w:val="right" w:pos="8306"/>
        </w:tabs>
        <w:kinsoku/>
        <w:wordWrap/>
        <w:overflowPunct/>
        <w:topLinePunct w:val="0"/>
        <w:bidi w:val="0"/>
        <w:adjustRightInd/>
        <w:snapToGrid/>
        <w:spacing w:line="560" w:lineRule="exact"/>
        <w:ind w:left="0" w:leftChars="0"/>
        <w:textAlignment w:val="auto"/>
        <w:rPr>
          <w:rFonts w:ascii="仿宋_GB2312" w:hAnsi="仿宋_GB2312" w:eastAsia="仿宋_GB2312" w:cs="仿宋_GB2312"/>
          <w:sz w:val="32"/>
          <w:szCs w:val="32"/>
        </w:rPr>
      </w:pPr>
      <w:r>
        <w:fldChar w:fldCharType="begin"/>
      </w:r>
      <w:r>
        <w:instrText xml:space="preserve"> HYPERLINK \l "_Toc30567" </w:instrText>
      </w:r>
      <w:r>
        <w:fldChar w:fldCharType="separate"/>
      </w:r>
      <w:r>
        <w:rPr>
          <w:rFonts w:hint="eastAsia" w:ascii="仿宋_GB2312" w:hAnsi="仿宋_GB2312" w:eastAsia="仿宋_GB2312" w:cs="仿宋_GB2312"/>
          <w:bCs/>
          <w:kern w:val="0"/>
          <w:sz w:val="32"/>
          <w:szCs w:val="32"/>
        </w:rPr>
        <w:t>一、主要职能</w:t>
      </w:r>
      <w:r>
        <w:rPr>
          <w:rFonts w:hint="eastAsia" w:ascii="仿宋_GB2312" w:hAnsi="仿宋_GB2312" w:eastAsia="仿宋_GB2312" w:cs="仿宋_GB2312"/>
          <w:bCs/>
          <w:kern w:val="0"/>
          <w:sz w:val="32"/>
          <w:szCs w:val="32"/>
        </w:rPr>
        <w:fldChar w:fldCharType="end"/>
      </w:r>
    </w:p>
    <w:p>
      <w:pPr>
        <w:pStyle w:val="7"/>
        <w:keepNext w:val="0"/>
        <w:keepLines w:val="0"/>
        <w:pageBreakBefore w:val="0"/>
        <w:widowControl w:val="0"/>
        <w:tabs>
          <w:tab w:val="right" w:pos="8306"/>
        </w:tabs>
        <w:kinsoku/>
        <w:wordWrap/>
        <w:overflowPunct/>
        <w:topLinePunct w:val="0"/>
        <w:bidi w:val="0"/>
        <w:adjustRightInd/>
        <w:snapToGrid/>
        <w:spacing w:line="560" w:lineRule="exact"/>
        <w:ind w:left="0" w:leftChars="0"/>
        <w:textAlignment w:val="auto"/>
        <w:rPr>
          <w:rFonts w:ascii="仿宋_GB2312" w:hAnsi="仿宋_GB2312" w:eastAsia="仿宋_GB2312" w:cs="仿宋_GB2312"/>
          <w:sz w:val="32"/>
          <w:szCs w:val="32"/>
        </w:rPr>
      </w:pPr>
      <w:r>
        <w:fldChar w:fldCharType="begin"/>
      </w:r>
      <w:r>
        <w:instrText xml:space="preserve"> HYPERLINK \l "_Toc2151" </w:instrText>
      </w:r>
      <w:r>
        <w:fldChar w:fldCharType="separate"/>
      </w:r>
      <w:r>
        <w:rPr>
          <w:rFonts w:hint="eastAsia" w:ascii="仿宋_GB2312" w:hAnsi="仿宋_GB2312" w:eastAsia="仿宋_GB2312" w:cs="仿宋_GB2312"/>
          <w:bCs/>
          <w:kern w:val="0"/>
          <w:sz w:val="32"/>
          <w:szCs w:val="32"/>
        </w:rPr>
        <w:t>二、机构设置及人员情况</w:t>
      </w:r>
      <w:r>
        <w:rPr>
          <w:rFonts w:hint="eastAsia" w:ascii="仿宋_GB2312" w:hAnsi="仿宋_GB2312" w:eastAsia="仿宋_GB2312" w:cs="仿宋_GB2312"/>
          <w:bCs/>
          <w:kern w:val="0"/>
          <w:sz w:val="32"/>
          <w:szCs w:val="32"/>
        </w:rPr>
        <w:fldChar w:fldCharType="end"/>
      </w:r>
    </w:p>
    <w:p>
      <w:pPr>
        <w:pStyle w:val="6"/>
        <w:keepNext w:val="0"/>
        <w:keepLines w:val="0"/>
        <w:pageBreakBefore w:val="0"/>
        <w:widowControl w:val="0"/>
        <w:tabs>
          <w:tab w:val="right" w:pos="8306"/>
        </w:tabs>
        <w:kinsoku/>
        <w:wordWrap/>
        <w:overflowPunct/>
        <w:topLinePunct w:val="0"/>
        <w:bidi w:val="0"/>
        <w:adjustRightInd/>
        <w:snapToGrid/>
        <w:spacing w:line="560" w:lineRule="exact"/>
        <w:textAlignment w:val="auto"/>
        <w:rPr>
          <w:rFonts w:ascii="仿宋_GB2312" w:hAnsi="仿宋_GB2312" w:eastAsia="仿宋_GB2312" w:cs="仿宋_GB2312"/>
          <w:b/>
          <w:bCs/>
          <w:sz w:val="32"/>
          <w:szCs w:val="32"/>
        </w:rPr>
      </w:pPr>
      <w:r>
        <w:fldChar w:fldCharType="begin"/>
      </w:r>
      <w:r>
        <w:instrText xml:space="preserve"> HYPERLINK \l "_Toc29374" </w:instrText>
      </w:r>
      <w:r>
        <w:fldChar w:fldCharType="separate"/>
      </w:r>
      <w:r>
        <w:rPr>
          <w:rFonts w:hint="eastAsia" w:ascii="仿宋_GB2312" w:hAnsi="仿宋_GB2312" w:eastAsia="仿宋_GB2312" w:cs="仿宋_GB2312"/>
          <w:b/>
          <w:bCs/>
          <w:sz w:val="32"/>
          <w:szCs w:val="32"/>
        </w:rPr>
        <w:t>第二部分 部门决算情况说明</w:t>
      </w:r>
      <w:r>
        <w:rPr>
          <w:rFonts w:hint="eastAsia" w:ascii="仿宋_GB2312" w:hAnsi="仿宋_GB2312" w:eastAsia="仿宋_GB2312" w:cs="仿宋_GB2312"/>
          <w:b/>
          <w:bCs/>
          <w:sz w:val="32"/>
          <w:szCs w:val="32"/>
        </w:rPr>
        <w:fldChar w:fldCharType="end"/>
      </w:r>
    </w:p>
    <w:p>
      <w:pPr>
        <w:pStyle w:val="7"/>
        <w:keepNext w:val="0"/>
        <w:keepLines w:val="0"/>
        <w:pageBreakBefore w:val="0"/>
        <w:widowControl w:val="0"/>
        <w:tabs>
          <w:tab w:val="right" w:pos="8306"/>
        </w:tabs>
        <w:kinsoku/>
        <w:wordWrap/>
        <w:overflowPunct/>
        <w:topLinePunct w:val="0"/>
        <w:bidi w:val="0"/>
        <w:adjustRightInd/>
        <w:snapToGrid/>
        <w:spacing w:line="560" w:lineRule="exact"/>
        <w:ind w:left="0" w:leftChars="0"/>
        <w:textAlignment w:val="auto"/>
        <w:rPr>
          <w:rFonts w:ascii="仿宋_GB2312" w:hAnsi="仿宋_GB2312" w:eastAsia="仿宋_GB2312" w:cs="仿宋_GB2312"/>
          <w:sz w:val="32"/>
          <w:szCs w:val="32"/>
        </w:rPr>
      </w:pPr>
      <w:r>
        <w:fldChar w:fldCharType="begin"/>
      </w:r>
      <w:r>
        <w:instrText xml:space="preserve"> HYPERLINK \l "_Toc25314" </w:instrText>
      </w:r>
      <w:r>
        <w:fldChar w:fldCharType="separate"/>
      </w:r>
      <w:r>
        <w:rPr>
          <w:rFonts w:hint="eastAsia" w:ascii="仿宋_GB2312" w:hAnsi="仿宋_GB2312" w:eastAsia="仿宋_GB2312" w:cs="仿宋_GB2312"/>
          <w:bCs/>
          <w:kern w:val="0"/>
          <w:sz w:val="32"/>
          <w:szCs w:val="32"/>
        </w:rPr>
        <w:t>一、收入支出决算总体情况说明</w:t>
      </w:r>
      <w:r>
        <w:rPr>
          <w:rFonts w:hint="eastAsia" w:ascii="仿宋_GB2312" w:hAnsi="仿宋_GB2312" w:eastAsia="仿宋_GB2312" w:cs="仿宋_GB2312"/>
          <w:bCs/>
          <w:kern w:val="0"/>
          <w:sz w:val="32"/>
          <w:szCs w:val="32"/>
        </w:rPr>
        <w:fldChar w:fldCharType="end"/>
      </w:r>
    </w:p>
    <w:p>
      <w:pPr>
        <w:pStyle w:val="7"/>
        <w:keepNext w:val="0"/>
        <w:keepLines w:val="0"/>
        <w:pageBreakBefore w:val="0"/>
        <w:widowControl w:val="0"/>
        <w:tabs>
          <w:tab w:val="right" w:pos="8306"/>
        </w:tabs>
        <w:kinsoku/>
        <w:wordWrap/>
        <w:overflowPunct/>
        <w:topLinePunct w:val="0"/>
        <w:bidi w:val="0"/>
        <w:adjustRightInd/>
        <w:snapToGrid/>
        <w:spacing w:line="560" w:lineRule="exact"/>
        <w:ind w:left="0" w:leftChars="0"/>
        <w:textAlignment w:val="auto"/>
        <w:rPr>
          <w:rFonts w:ascii="仿宋_GB2312" w:hAnsi="仿宋_GB2312" w:eastAsia="仿宋_GB2312" w:cs="仿宋_GB2312"/>
          <w:sz w:val="32"/>
          <w:szCs w:val="32"/>
        </w:rPr>
      </w:pPr>
      <w:r>
        <w:fldChar w:fldCharType="begin"/>
      </w:r>
      <w:r>
        <w:instrText xml:space="preserve"> HYPERLINK \l "_Toc12142" </w:instrText>
      </w:r>
      <w:r>
        <w:fldChar w:fldCharType="separate"/>
      </w:r>
      <w:r>
        <w:rPr>
          <w:rFonts w:hint="eastAsia" w:ascii="仿宋_GB2312" w:hAnsi="仿宋_GB2312" w:eastAsia="仿宋_GB2312" w:cs="仿宋_GB2312"/>
          <w:bCs/>
          <w:kern w:val="0"/>
          <w:sz w:val="32"/>
          <w:szCs w:val="32"/>
        </w:rPr>
        <w:t>二、收入决算情况说明</w:t>
      </w:r>
      <w:r>
        <w:rPr>
          <w:rFonts w:hint="eastAsia" w:ascii="仿宋_GB2312" w:hAnsi="仿宋_GB2312" w:eastAsia="仿宋_GB2312" w:cs="仿宋_GB2312"/>
          <w:bCs/>
          <w:kern w:val="0"/>
          <w:sz w:val="32"/>
          <w:szCs w:val="32"/>
        </w:rPr>
        <w:fldChar w:fldCharType="end"/>
      </w:r>
    </w:p>
    <w:p>
      <w:pPr>
        <w:pStyle w:val="7"/>
        <w:keepNext w:val="0"/>
        <w:keepLines w:val="0"/>
        <w:pageBreakBefore w:val="0"/>
        <w:widowControl w:val="0"/>
        <w:tabs>
          <w:tab w:val="right" w:pos="8306"/>
        </w:tabs>
        <w:kinsoku/>
        <w:wordWrap/>
        <w:overflowPunct/>
        <w:topLinePunct w:val="0"/>
        <w:bidi w:val="0"/>
        <w:adjustRightInd/>
        <w:snapToGrid/>
        <w:spacing w:line="560" w:lineRule="exact"/>
        <w:ind w:left="0" w:leftChars="0"/>
        <w:textAlignment w:val="auto"/>
        <w:rPr>
          <w:rFonts w:ascii="仿宋_GB2312" w:hAnsi="仿宋_GB2312" w:eastAsia="仿宋_GB2312" w:cs="仿宋_GB2312"/>
          <w:sz w:val="32"/>
          <w:szCs w:val="32"/>
        </w:rPr>
      </w:pPr>
      <w:r>
        <w:fldChar w:fldCharType="begin"/>
      </w:r>
      <w:r>
        <w:instrText xml:space="preserve"> HYPERLINK \l "_Toc13201" </w:instrText>
      </w:r>
      <w:r>
        <w:fldChar w:fldCharType="separate"/>
      </w:r>
      <w:r>
        <w:rPr>
          <w:rFonts w:hint="eastAsia" w:ascii="仿宋_GB2312" w:hAnsi="仿宋_GB2312" w:eastAsia="仿宋_GB2312" w:cs="仿宋_GB2312"/>
          <w:bCs/>
          <w:kern w:val="0"/>
          <w:sz w:val="32"/>
          <w:szCs w:val="32"/>
        </w:rPr>
        <w:t>三、支出决算情况说明</w:t>
      </w:r>
      <w:r>
        <w:rPr>
          <w:rFonts w:hint="eastAsia" w:ascii="仿宋_GB2312" w:hAnsi="仿宋_GB2312" w:eastAsia="仿宋_GB2312" w:cs="仿宋_GB2312"/>
          <w:bCs/>
          <w:kern w:val="0"/>
          <w:sz w:val="32"/>
          <w:szCs w:val="32"/>
        </w:rPr>
        <w:fldChar w:fldCharType="end"/>
      </w:r>
    </w:p>
    <w:p>
      <w:pPr>
        <w:pStyle w:val="7"/>
        <w:keepNext w:val="0"/>
        <w:keepLines w:val="0"/>
        <w:pageBreakBefore w:val="0"/>
        <w:widowControl w:val="0"/>
        <w:tabs>
          <w:tab w:val="right" w:pos="8306"/>
        </w:tabs>
        <w:kinsoku/>
        <w:wordWrap/>
        <w:overflowPunct/>
        <w:topLinePunct w:val="0"/>
        <w:bidi w:val="0"/>
        <w:adjustRightInd/>
        <w:snapToGrid/>
        <w:spacing w:line="560" w:lineRule="exact"/>
        <w:ind w:left="0" w:leftChars="0"/>
        <w:textAlignment w:val="auto"/>
        <w:rPr>
          <w:rFonts w:ascii="仿宋_GB2312" w:hAnsi="仿宋_GB2312" w:eastAsia="仿宋_GB2312" w:cs="仿宋_GB2312"/>
          <w:sz w:val="32"/>
          <w:szCs w:val="32"/>
        </w:rPr>
      </w:pPr>
      <w:r>
        <w:fldChar w:fldCharType="begin"/>
      </w:r>
      <w:r>
        <w:instrText xml:space="preserve"> HYPERLINK \l "_Toc26564" </w:instrText>
      </w:r>
      <w:r>
        <w:fldChar w:fldCharType="separate"/>
      </w:r>
      <w:r>
        <w:rPr>
          <w:rFonts w:hint="eastAsia" w:ascii="仿宋_GB2312" w:hAnsi="仿宋_GB2312" w:eastAsia="仿宋_GB2312" w:cs="仿宋_GB2312"/>
          <w:bCs/>
          <w:kern w:val="0"/>
          <w:sz w:val="32"/>
          <w:szCs w:val="32"/>
        </w:rPr>
        <w:t>四、财政拨款收入支出决算总体情况说明</w:t>
      </w:r>
      <w:r>
        <w:rPr>
          <w:rFonts w:hint="eastAsia" w:ascii="仿宋_GB2312" w:hAnsi="仿宋_GB2312" w:eastAsia="仿宋_GB2312" w:cs="仿宋_GB2312"/>
          <w:bCs/>
          <w:kern w:val="0"/>
          <w:sz w:val="32"/>
          <w:szCs w:val="32"/>
        </w:rPr>
        <w:fldChar w:fldCharType="end"/>
      </w:r>
    </w:p>
    <w:p>
      <w:pPr>
        <w:pStyle w:val="7"/>
        <w:keepNext w:val="0"/>
        <w:keepLines w:val="0"/>
        <w:pageBreakBefore w:val="0"/>
        <w:widowControl w:val="0"/>
        <w:tabs>
          <w:tab w:val="right" w:pos="8306"/>
        </w:tabs>
        <w:kinsoku/>
        <w:wordWrap/>
        <w:overflowPunct/>
        <w:topLinePunct w:val="0"/>
        <w:bidi w:val="0"/>
        <w:adjustRightInd/>
        <w:snapToGrid/>
        <w:spacing w:line="560" w:lineRule="exact"/>
        <w:ind w:left="0" w:leftChars="0"/>
        <w:textAlignment w:val="auto"/>
        <w:rPr>
          <w:rFonts w:ascii="仿宋_GB2312" w:hAnsi="仿宋_GB2312" w:eastAsia="仿宋_GB2312" w:cs="仿宋_GB2312"/>
          <w:sz w:val="32"/>
          <w:szCs w:val="32"/>
        </w:rPr>
      </w:pPr>
      <w:r>
        <w:fldChar w:fldCharType="begin"/>
      </w:r>
      <w:r>
        <w:instrText xml:space="preserve"> HYPERLINK \l "_Toc20360" </w:instrText>
      </w:r>
      <w:r>
        <w:fldChar w:fldCharType="separate"/>
      </w:r>
      <w:r>
        <w:rPr>
          <w:rFonts w:hint="eastAsia" w:ascii="仿宋_GB2312" w:hAnsi="仿宋_GB2312" w:eastAsia="仿宋_GB2312" w:cs="仿宋_GB2312"/>
          <w:bCs/>
          <w:kern w:val="0"/>
          <w:sz w:val="32"/>
          <w:szCs w:val="32"/>
        </w:rPr>
        <w:t>五、一般公共预算财政拨款支出决算情况说明</w:t>
      </w:r>
      <w:r>
        <w:rPr>
          <w:rFonts w:hint="eastAsia" w:ascii="仿宋_GB2312" w:hAnsi="仿宋_GB2312" w:eastAsia="仿宋_GB2312" w:cs="仿宋_GB2312"/>
          <w:bCs/>
          <w:kern w:val="0"/>
          <w:sz w:val="32"/>
          <w:szCs w:val="32"/>
        </w:rPr>
        <w:fldChar w:fldCharType="end"/>
      </w:r>
    </w:p>
    <w:p>
      <w:pPr>
        <w:pStyle w:val="7"/>
        <w:keepNext w:val="0"/>
        <w:keepLines w:val="0"/>
        <w:pageBreakBefore w:val="0"/>
        <w:widowControl w:val="0"/>
        <w:tabs>
          <w:tab w:val="right" w:pos="8306"/>
        </w:tabs>
        <w:kinsoku/>
        <w:wordWrap/>
        <w:overflowPunct/>
        <w:topLinePunct w:val="0"/>
        <w:bidi w:val="0"/>
        <w:adjustRightInd/>
        <w:snapToGrid/>
        <w:spacing w:line="560" w:lineRule="exact"/>
        <w:ind w:left="0" w:leftChars="0"/>
        <w:textAlignment w:val="auto"/>
        <w:rPr>
          <w:rFonts w:ascii="仿宋_GB2312" w:hAnsi="仿宋_GB2312" w:eastAsia="仿宋_GB2312" w:cs="仿宋_GB2312"/>
          <w:sz w:val="32"/>
          <w:szCs w:val="32"/>
        </w:rPr>
      </w:pPr>
      <w:r>
        <w:fldChar w:fldCharType="begin"/>
      </w:r>
      <w:r>
        <w:instrText xml:space="preserve"> HYPERLINK \l "_Toc30870" </w:instrText>
      </w:r>
      <w:r>
        <w:fldChar w:fldCharType="separate"/>
      </w:r>
      <w:r>
        <w:rPr>
          <w:rFonts w:hint="eastAsia" w:ascii="仿宋_GB2312" w:hAnsi="仿宋_GB2312" w:eastAsia="仿宋_GB2312" w:cs="仿宋_GB2312"/>
          <w:bCs/>
          <w:kern w:val="0"/>
          <w:sz w:val="32"/>
          <w:szCs w:val="32"/>
        </w:rPr>
        <w:t>六、一般公共预算财政拨款基本支出决算情况说明</w:t>
      </w:r>
      <w:r>
        <w:rPr>
          <w:rFonts w:hint="eastAsia" w:ascii="仿宋_GB2312" w:hAnsi="仿宋_GB2312" w:eastAsia="仿宋_GB2312" w:cs="仿宋_GB2312"/>
          <w:bCs/>
          <w:kern w:val="0"/>
          <w:sz w:val="32"/>
          <w:szCs w:val="32"/>
        </w:rPr>
        <w:fldChar w:fldCharType="end"/>
      </w:r>
    </w:p>
    <w:p>
      <w:pPr>
        <w:pStyle w:val="7"/>
        <w:keepNext w:val="0"/>
        <w:keepLines w:val="0"/>
        <w:pageBreakBefore w:val="0"/>
        <w:widowControl w:val="0"/>
        <w:tabs>
          <w:tab w:val="right" w:pos="8306"/>
        </w:tabs>
        <w:kinsoku/>
        <w:wordWrap/>
        <w:overflowPunct/>
        <w:topLinePunct w:val="0"/>
        <w:bidi w:val="0"/>
        <w:adjustRightInd/>
        <w:snapToGrid/>
        <w:spacing w:line="560" w:lineRule="exact"/>
        <w:ind w:left="0" w:leftChars="0"/>
        <w:textAlignment w:val="auto"/>
        <w:rPr>
          <w:rFonts w:ascii="仿宋_GB2312" w:hAnsi="仿宋_GB2312" w:eastAsia="仿宋_GB2312" w:cs="仿宋_GB2312"/>
          <w:sz w:val="32"/>
          <w:szCs w:val="32"/>
        </w:rPr>
      </w:pPr>
      <w:r>
        <w:fldChar w:fldCharType="begin"/>
      </w:r>
      <w:r>
        <w:instrText xml:space="preserve"> HYPERLINK \l "_Toc21518" </w:instrText>
      </w:r>
      <w:r>
        <w:fldChar w:fldCharType="separate"/>
      </w:r>
      <w:r>
        <w:rPr>
          <w:rFonts w:hint="eastAsia" w:ascii="仿宋_GB2312" w:hAnsi="仿宋_GB2312" w:eastAsia="仿宋_GB2312" w:cs="仿宋_GB2312"/>
          <w:bCs/>
          <w:kern w:val="0"/>
          <w:sz w:val="32"/>
          <w:szCs w:val="32"/>
        </w:rPr>
        <w:t>七、一般公共预算财政拨款“三公”经费支出决算情况说明</w:t>
      </w:r>
      <w:r>
        <w:rPr>
          <w:rFonts w:hint="eastAsia" w:ascii="仿宋_GB2312" w:hAnsi="仿宋_GB2312" w:eastAsia="仿宋_GB2312" w:cs="仿宋_GB2312"/>
          <w:bCs/>
          <w:kern w:val="0"/>
          <w:sz w:val="32"/>
          <w:szCs w:val="32"/>
        </w:rPr>
        <w:fldChar w:fldCharType="end"/>
      </w:r>
    </w:p>
    <w:p>
      <w:pPr>
        <w:pStyle w:val="7"/>
        <w:keepNext w:val="0"/>
        <w:keepLines w:val="0"/>
        <w:pageBreakBefore w:val="0"/>
        <w:widowControl w:val="0"/>
        <w:tabs>
          <w:tab w:val="right" w:pos="8306"/>
        </w:tabs>
        <w:kinsoku/>
        <w:wordWrap/>
        <w:overflowPunct/>
        <w:topLinePunct w:val="0"/>
        <w:bidi w:val="0"/>
        <w:adjustRightInd/>
        <w:snapToGrid/>
        <w:spacing w:line="560" w:lineRule="exact"/>
        <w:ind w:left="0" w:leftChars="0"/>
        <w:textAlignment w:val="auto"/>
        <w:rPr>
          <w:rFonts w:ascii="仿宋_GB2312" w:hAnsi="仿宋_GB2312" w:eastAsia="仿宋_GB2312" w:cs="仿宋_GB2312"/>
          <w:sz w:val="32"/>
          <w:szCs w:val="32"/>
        </w:rPr>
      </w:pPr>
      <w:r>
        <w:fldChar w:fldCharType="begin"/>
      </w:r>
      <w:r>
        <w:instrText xml:space="preserve"> HYPERLINK \l "_Toc5810" </w:instrText>
      </w:r>
      <w:r>
        <w:fldChar w:fldCharType="separate"/>
      </w:r>
      <w:r>
        <w:rPr>
          <w:rFonts w:hint="eastAsia" w:ascii="仿宋_GB2312" w:hAnsi="仿宋_GB2312" w:eastAsia="仿宋_GB2312" w:cs="仿宋_GB2312"/>
          <w:bCs/>
          <w:kern w:val="0"/>
          <w:sz w:val="32"/>
          <w:szCs w:val="32"/>
        </w:rPr>
        <w:t>八、政府性基金预算收入支出决算情况说明</w:t>
      </w:r>
      <w:r>
        <w:rPr>
          <w:rFonts w:hint="eastAsia" w:ascii="仿宋_GB2312" w:hAnsi="仿宋_GB2312" w:eastAsia="仿宋_GB2312" w:cs="仿宋_GB2312"/>
          <w:bCs/>
          <w:kern w:val="0"/>
          <w:sz w:val="32"/>
          <w:szCs w:val="32"/>
        </w:rPr>
        <w:fldChar w:fldCharType="end"/>
      </w:r>
    </w:p>
    <w:p>
      <w:pPr>
        <w:pStyle w:val="7"/>
        <w:keepNext w:val="0"/>
        <w:keepLines w:val="0"/>
        <w:pageBreakBefore w:val="0"/>
        <w:widowControl w:val="0"/>
        <w:tabs>
          <w:tab w:val="right" w:pos="8306"/>
        </w:tabs>
        <w:kinsoku/>
        <w:wordWrap/>
        <w:overflowPunct/>
        <w:topLinePunct w:val="0"/>
        <w:bidi w:val="0"/>
        <w:adjustRightInd/>
        <w:snapToGrid/>
        <w:spacing w:line="560" w:lineRule="exact"/>
        <w:ind w:left="0" w:leftChars="0"/>
        <w:textAlignment w:val="auto"/>
        <w:rPr>
          <w:rFonts w:ascii="仿宋_GB2312" w:hAnsi="仿宋_GB2312" w:eastAsia="仿宋_GB2312" w:cs="仿宋_GB2312"/>
          <w:sz w:val="32"/>
          <w:szCs w:val="32"/>
        </w:rPr>
      </w:pPr>
      <w:r>
        <w:fldChar w:fldCharType="begin"/>
      </w:r>
      <w:r>
        <w:instrText xml:space="preserve"> HYPERLINK \l "_Toc1235" </w:instrText>
      </w:r>
      <w:r>
        <w:fldChar w:fldCharType="separate"/>
      </w:r>
      <w:r>
        <w:rPr>
          <w:rFonts w:hint="eastAsia" w:ascii="仿宋_GB2312" w:hAnsi="仿宋_GB2312" w:eastAsia="仿宋_GB2312" w:cs="仿宋_GB2312"/>
          <w:bCs/>
          <w:kern w:val="0"/>
          <w:sz w:val="32"/>
          <w:szCs w:val="32"/>
        </w:rPr>
        <w:t>九、其他重要事项的情况说明</w:t>
      </w:r>
      <w:r>
        <w:rPr>
          <w:rFonts w:hint="eastAsia" w:ascii="仿宋_GB2312" w:hAnsi="仿宋_GB2312" w:eastAsia="仿宋_GB2312" w:cs="仿宋_GB2312"/>
          <w:bCs/>
          <w:kern w:val="0"/>
          <w:sz w:val="32"/>
          <w:szCs w:val="32"/>
        </w:rPr>
        <w:fldChar w:fldCharType="end"/>
      </w:r>
    </w:p>
    <w:p>
      <w:pPr>
        <w:pStyle w:val="3"/>
        <w:keepNext w:val="0"/>
        <w:keepLines w:val="0"/>
        <w:pageBreakBefore w:val="0"/>
        <w:widowControl w:val="0"/>
        <w:tabs>
          <w:tab w:val="right" w:pos="8306"/>
        </w:tabs>
        <w:kinsoku/>
        <w:wordWrap/>
        <w:overflowPunct/>
        <w:topLinePunct w:val="0"/>
        <w:bidi w:val="0"/>
        <w:adjustRightInd/>
        <w:snapToGrid/>
        <w:spacing w:line="560" w:lineRule="exact"/>
        <w:ind w:left="0" w:leftChars="0"/>
        <w:textAlignment w:val="auto"/>
        <w:rPr>
          <w:rFonts w:ascii="仿宋_GB2312" w:hAnsi="仿宋_GB2312" w:eastAsia="仿宋_GB2312" w:cs="仿宋_GB2312"/>
          <w:sz w:val="32"/>
          <w:szCs w:val="32"/>
        </w:rPr>
      </w:pPr>
      <w:r>
        <w:fldChar w:fldCharType="begin"/>
      </w:r>
      <w:r>
        <w:instrText xml:space="preserve"> HYPERLINK \l "_Toc14519" </w:instrText>
      </w:r>
      <w:r>
        <w:fldChar w:fldCharType="separate"/>
      </w:r>
      <w:r>
        <w:rPr>
          <w:rFonts w:hint="eastAsia" w:ascii="仿宋_GB2312" w:hAnsi="仿宋_GB2312" w:eastAsia="仿宋_GB2312" w:cs="仿宋_GB2312"/>
          <w:sz w:val="32"/>
          <w:szCs w:val="32"/>
        </w:rPr>
        <w:t>（一）机关运行经费支出情况</w:t>
      </w:r>
      <w:r>
        <w:rPr>
          <w:rFonts w:hint="eastAsia" w:ascii="仿宋_GB2312" w:hAnsi="仿宋_GB2312" w:eastAsia="仿宋_GB2312" w:cs="仿宋_GB2312"/>
          <w:sz w:val="32"/>
          <w:szCs w:val="32"/>
        </w:rPr>
        <w:fldChar w:fldCharType="end"/>
      </w:r>
    </w:p>
    <w:p>
      <w:pPr>
        <w:pStyle w:val="3"/>
        <w:keepNext w:val="0"/>
        <w:keepLines w:val="0"/>
        <w:pageBreakBefore w:val="0"/>
        <w:widowControl w:val="0"/>
        <w:tabs>
          <w:tab w:val="right" w:pos="8306"/>
        </w:tabs>
        <w:kinsoku/>
        <w:wordWrap/>
        <w:overflowPunct/>
        <w:topLinePunct w:val="0"/>
        <w:bidi w:val="0"/>
        <w:adjustRightInd/>
        <w:snapToGrid/>
        <w:spacing w:line="560" w:lineRule="exact"/>
        <w:ind w:left="0" w:leftChars="0"/>
        <w:textAlignment w:val="auto"/>
        <w:rPr>
          <w:rFonts w:ascii="仿宋_GB2312" w:hAnsi="仿宋_GB2312" w:eastAsia="仿宋_GB2312" w:cs="仿宋_GB2312"/>
          <w:sz w:val="32"/>
          <w:szCs w:val="32"/>
        </w:rPr>
      </w:pPr>
      <w:r>
        <w:fldChar w:fldCharType="begin"/>
      </w:r>
      <w:r>
        <w:instrText xml:space="preserve"> HYPERLINK \l "_Toc227" </w:instrText>
      </w:r>
      <w:r>
        <w:fldChar w:fldCharType="separate"/>
      </w:r>
      <w:r>
        <w:rPr>
          <w:rFonts w:hint="eastAsia" w:ascii="仿宋_GB2312" w:hAnsi="仿宋_GB2312" w:eastAsia="仿宋_GB2312" w:cs="仿宋_GB2312"/>
          <w:sz w:val="32"/>
          <w:szCs w:val="32"/>
        </w:rPr>
        <w:t>（二）政府采购情况</w:t>
      </w:r>
      <w:r>
        <w:rPr>
          <w:rFonts w:hint="eastAsia" w:ascii="仿宋_GB2312" w:hAnsi="仿宋_GB2312" w:eastAsia="仿宋_GB2312" w:cs="仿宋_GB2312"/>
          <w:sz w:val="32"/>
          <w:szCs w:val="32"/>
        </w:rPr>
        <w:fldChar w:fldCharType="end"/>
      </w:r>
    </w:p>
    <w:p>
      <w:pPr>
        <w:pStyle w:val="3"/>
        <w:keepNext w:val="0"/>
        <w:keepLines w:val="0"/>
        <w:pageBreakBefore w:val="0"/>
        <w:widowControl w:val="0"/>
        <w:tabs>
          <w:tab w:val="right" w:pos="8306"/>
        </w:tabs>
        <w:kinsoku/>
        <w:wordWrap/>
        <w:overflowPunct/>
        <w:topLinePunct w:val="0"/>
        <w:bidi w:val="0"/>
        <w:adjustRightInd/>
        <w:snapToGrid/>
        <w:spacing w:line="560" w:lineRule="exact"/>
        <w:ind w:left="0" w:leftChars="0"/>
        <w:textAlignment w:val="auto"/>
        <w:rPr>
          <w:rFonts w:ascii="仿宋_GB2312" w:hAnsi="仿宋_GB2312" w:eastAsia="仿宋_GB2312" w:cs="仿宋_GB2312"/>
          <w:sz w:val="32"/>
          <w:szCs w:val="32"/>
        </w:rPr>
      </w:pPr>
      <w:r>
        <w:fldChar w:fldCharType="begin"/>
      </w:r>
      <w:r>
        <w:instrText xml:space="preserve"> HYPERLINK \l "_Toc8391" </w:instrText>
      </w:r>
      <w:r>
        <w:fldChar w:fldCharType="separate"/>
      </w:r>
      <w:r>
        <w:rPr>
          <w:rFonts w:hint="eastAsia" w:ascii="仿宋_GB2312" w:hAnsi="仿宋_GB2312" w:eastAsia="仿宋_GB2312" w:cs="仿宋_GB2312"/>
          <w:sz w:val="32"/>
          <w:szCs w:val="32"/>
        </w:rPr>
        <w:t>（三）国有资产占用情况说明</w:t>
      </w:r>
      <w:r>
        <w:rPr>
          <w:rFonts w:hint="eastAsia" w:ascii="仿宋_GB2312" w:hAnsi="仿宋_GB2312" w:eastAsia="仿宋_GB2312" w:cs="仿宋_GB2312"/>
          <w:sz w:val="32"/>
          <w:szCs w:val="32"/>
        </w:rPr>
        <w:fldChar w:fldCharType="end"/>
      </w:r>
    </w:p>
    <w:p>
      <w:pPr>
        <w:pStyle w:val="7"/>
        <w:keepNext w:val="0"/>
        <w:keepLines w:val="0"/>
        <w:pageBreakBefore w:val="0"/>
        <w:widowControl w:val="0"/>
        <w:tabs>
          <w:tab w:val="right" w:pos="8306"/>
        </w:tabs>
        <w:kinsoku/>
        <w:wordWrap/>
        <w:overflowPunct/>
        <w:topLinePunct w:val="0"/>
        <w:bidi w:val="0"/>
        <w:adjustRightInd/>
        <w:snapToGrid/>
        <w:spacing w:line="560" w:lineRule="exact"/>
        <w:ind w:left="0" w:leftChars="0"/>
        <w:textAlignment w:val="auto"/>
        <w:rPr>
          <w:rFonts w:ascii="仿宋_GB2312" w:hAnsi="仿宋_GB2312" w:eastAsia="仿宋_GB2312" w:cs="仿宋_GB2312"/>
          <w:sz w:val="32"/>
          <w:szCs w:val="32"/>
        </w:rPr>
      </w:pPr>
      <w:r>
        <w:fldChar w:fldCharType="begin"/>
      </w:r>
      <w:r>
        <w:instrText xml:space="preserve"> HYPERLINK \l "_Toc11283" </w:instrText>
      </w:r>
      <w:r>
        <w:fldChar w:fldCharType="separate"/>
      </w:r>
      <w:r>
        <w:rPr>
          <w:rFonts w:hint="eastAsia" w:ascii="仿宋_GB2312" w:hAnsi="仿宋_GB2312" w:eastAsia="仿宋_GB2312" w:cs="仿宋_GB2312"/>
          <w:bCs/>
          <w:kern w:val="0"/>
          <w:sz w:val="32"/>
          <w:szCs w:val="32"/>
        </w:rPr>
        <w:t>十、预算绩效的情况说明</w:t>
      </w:r>
      <w:r>
        <w:rPr>
          <w:rFonts w:hint="eastAsia" w:ascii="仿宋_GB2312" w:hAnsi="仿宋_GB2312" w:eastAsia="仿宋_GB2312" w:cs="仿宋_GB2312"/>
          <w:bCs/>
          <w:kern w:val="0"/>
          <w:sz w:val="32"/>
          <w:szCs w:val="32"/>
        </w:rPr>
        <w:fldChar w:fldCharType="end"/>
      </w:r>
    </w:p>
    <w:p>
      <w:pPr>
        <w:pStyle w:val="6"/>
        <w:keepNext w:val="0"/>
        <w:keepLines w:val="0"/>
        <w:pageBreakBefore w:val="0"/>
        <w:widowControl w:val="0"/>
        <w:tabs>
          <w:tab w:val="right" w:pos="8306"/>
        </w:tabs>
        <w:kinsoku/>
        <w:wordWrap/>
        <w:overflowPunct/>
        <w:topLinePunct w:val="0"/>
        <w:bidi w:val="0"/>
        <w:adjustRightInd/>
        <w:snapToGrid/>
        <w:spacing w:line="560" w:lineRule="exact"/>
        <w:textAlignment w:val="auto"/>
        <w:rPr>
          <w:rFonts w:ascii="仿宋_GB2312" w:hAnsi="仿宋_GB2312" w:eastAsia="仿宋_GB2312" w:cs="仿宋_GB2312"/>
          <w:b/>
          <w:bCs/>
          <w:sz w:val="32"/>
          <w:szCs w:val="32"/>
        </w:rPr>
      </w:pPr>
      <w:r>
        <w:fldChar w:fldCharType="begin"/>
      </w:r>
      <w:r>
        <w:instrText xml:space="preserve"> HYPERLINK \l "_Toc3250" </w:instrText>
      </w:r>
      <w:r>
        <w:fldChar w:fldCharType="separate"/>
      </w:r>
      <w:r>
        <w:rPr>
          <w:rFonts w:hint="eastAsia" w:ascii="仿宋_GB2312" w:hAnsi="仿宋_GB2312" w:eastAsia="仿宋_GB2312" w:cs="仿宋_GB2312"/>
          <w:b/>
          <w:bCs/>
          <w:sz w:val="32"/>
          <w:szCs w:val="32"/>
        </w:rPr>
        <w:t>第三部分 专业名词解释</w:t>
      </w:r>
      <w:r>
        <w:rPr>
          <w:rFonts w:hint="eastAsia" w:ascii="仿宋_GB2312" w:hAnsi="仿宋_GB2312" w:eastAsia="仿宋_GB2312" w:cs="仿宋_GB2312"/>
          <w:b/>
          <w:bCs/>
          <w:sz w:val="32"/>
          <w:szCs w:val="32"/>
        </w:rPr>
        <w:fldChar w:fldCharType="end"/>
      </w:r>
    </w:p>
    <w:p>
      <w:pPr>
        <w:pStyle w:val="6"/>
        <w:keepNext w:val="0"/>
        <w:keepLines w:val="0"/>
        <w:pageBreakBefore w:val="0"/>
        <w:widowControl w:val="0"/>
        <w:tabs>
          <w:tab w:val="right" w:pos="8306"/>
        </w:tabs>
        <w:kinsoku/>
        <w:wordWrap/>
        <w:overflowPunct/>
        <w:topLinePunct w:val="0"/>
        <w:bidi w:val="0"/>
        <w:adjustRightInd/>
        <w:snapToGrid/>
        <w:spacing w:line="560" w:lineRule="exact"/>
        <w:textAlignment w:val="auto"/>
        <w:rPr>
          <w:rFonts w:ascii="仿宋_GB2312" w:hAnsi="仿宋_GB2312" w:eastAsia="仿宋_GB2312" w:cs="仿宋_GB2312"/>
          <w:b/>
          <w:bCs/>
          <w:sz w:val="32"/>
          <w:szCs w:val="32"/>
        </w:rPr>
      </w:pPr>
      <w:r>
        <w:fldChar w:fldCharType="begin"/>
      </w:r>
      <w:r>
        <w:instrText xml:space="preserve"> HYPERLINK \l "_Toc22784" </w:instrText>
      </w:r>
      <w:r>
        <w:fldChar w:fldCharType="separate"/>
      </w:r>
      <w:r>
        <w:rPr>
          <w:rFonts w:hint="eastAsia" w:ascii="仿宋_GB2312" w:hAnsi="仿宋_GB2312" w:eastAsia="仿宋_GB2312" w:cs="仿宋_GB2312"/>
          <w:b/>
          <w:bCs/>
          <w:sz w:val="32"/>
          <w:szCs w:val="32"/>
        </w:rPr>
        <w:t>第四部分 部门决算报表（见附表）</w:t>
      </w:r>
      <w:r>
        <w:rPr>
          <w:rFonts w:hint="eastAsia" w:ascii="仿宋_GB2312" w:hAnsi="仿宋_GB2312" w:eastAsia="仿宋_GB2312" w:cs="仿宋_GB2312"/>
          <w:b/>
          <w:bCs/>
          <w:sz w:val="32"/>
          <w:szCs w:val="32"/>
        </w:rPr>
        <w:fldChar w:fldCharType="end"/>
      </w:r>
    </w:p>
    <w:p>
      <w:pPr>
        <w:pStyle w:val="7"/>
        <w:keepNext w:val="0"/>
        <w:keepLines w:val="0"/>
        <w:pageBreakBefore w:val="0"/>
        <w:widowControl w:val="0"/>
        <w:tabs>
          <w:tab w:val="right" w:pos="8306"/>
        </w:tabs>
        <w:kinsoku/>
        <w:wordWrap/>
        <w:overflowPunct/>
        <w:topLinePunct w:val="0"/>
        <w:bidi w:val="0"/>
        <w:adjustRightInd/>
        <w:snapToGrid/>
        <w:spacing w:line="560" w:lineRule="exact"/>
        <w:ind w:left="0" w:leftChars="0"/>
        <w:textAlignment w:val="auto"/>
        <w:rPr>
          <w:rFonts w:ascii="仿宋_GB2312" w:hAnsi="仿宋_GB2312" w:eastAsia="仿宋_GB2312" w:cs="仿宋_GB2312"/>
          <w:sz w:val="32"/>
          <w:szCs w:val="32"/>
        </w:rPr>
      </w:pPr>
      <w:r>
        <w:fldChar w:fldCharType="begin"/>
      </w:r>
      <w:r>
        <w:instrText xml:space="preserve"> HYPERLINK \l "_Toc2183" </w:instrText>
      </w:r>
      <w:r>
        <w:fldChar w:fldCharType="separate"/>
      </w:r>
      <w:r>
        <w:rPr>
          <w:rFonts w:hint="eastAsia" w:ascii="仿宋_GB2312" w:hAnsi="仿宋_GB2312" w:eastAsia="仿宋_GB2312" w:cs="仿宋_GB2312"/>
          <w:bCs/>
          <w:kern w:val="0"/>
          <w:sz w:val="32"/>
          <w:szCs w:val="32"/>
        </w:rPr>
        <w:t>一、《收入支出决算总表》</w:t>
      </w:r>
      <w:r>
        <w:rPr>
          <w:rFonts w:hint="eastAsia" w:ascii="仿宋_GB2312" w:hAnsi="仿宋_GB2312" w:eastAsia="仿宋_GB2312" w:cs="仿宋_GB2312"/>
          <w:bCs/>
          <w:kern w:val="0"/>
          <w:sz w:val="32"/>
          <w:szCs w:val="32"/>
        </w:rPr>
        <w:fldChar w:fldCharType="end"/>
      </w:r>
    </w:p>
    <w:p>
      <w:pPr>
        <w:pStyle w:val="7"/>
        <w:keepNext w:val="0"/>
        <w:keepLines w:val="0"/>
        <w:pageBreakBefore w:val="0"/>
        <w:widowControl w:val="0"/>
        <w:tabs>
          <w:tab w:val="right" w:pos="8306"/>
        </w:tabs>
        <w:kinsoku/>
        <w:wordWrap/>
        <w:overflowPunct/>
        <w:topLinePunct w:val="0"/>
        <w:bidi w:val="0"/>
        <w:adjustRightInd/>
        <w:snapToGrid/>
        <w:spacing w:line="560" w:lineRule="exact"/>
        <w:ind w:left="0" w:leftChars="0"/>
        <w:textAlignment w:val="auto"/>
        <w:rPr>
          <w:rFonts w:ascii="仿宋_GB2312" w:hAnsi="仿宋_GB2312" w:eastAsia="仿宋_GB2312" w:cs="仿宋_GB2312"/>
          <w:sz w:val="32"/>
          <w:szCs w:val="32"/>
        </w:rPr>
      </w:pPr>
      <w:r>
        <w:fldChar w:fldCharType="begin"/>
      </w:r>
      <w:r>
        <w:instrText xml:space="preserve"> HYPERLINK \l "_Toc24532" </w:instrText>
      </w:r>
      <w:r>
        <w:fldChar w:fldCharType="separate"/>
      </w:r>
      <w:r>
        <w:rPr>
          <w:rFonts w:hint="eastAsia" w:ascii="仿宋_GB2312" w:hAnsi="仿宋_GB2312" w:eastAsia="仿宋_GB2312" w:cs="仿宋_GB2312"/>
          <w:bCs/>
          <w:kern w:val="0"/>
          <w:sz w:val="32"/>
          <w:szCs w:val="32"/>
        </w:rPr>
        <w:t>二、《收入决算表》</w:t>
      </w:r>
      <w:r>
        <w:rPr>
          <w:rFonts w:hint="eastAsia" w:ascii="仿宋_GB2312" w:hAnsi="仿宋_GB2312" w:eastAsia="仿宋_GB2312" w:cs="仿宋_GB2312"/>
          <w:bCs/>
          <w:kern w:val="0"/>
          <w:sz w:val="32"/>
          <w:szCs w:val="32"/>
        </w:rPr>
        <w:fldChar w:fldCharType="end"/>
      </w:r>
    </w:p>
    <w:p>
      <w:pPr>
        <w:pStyle w:val="7"/>
        <w:keepNext w:val="0"/>
        <w:keepLines w:val="0"/>
        <w:pageBreakBefore w:val="0"/>
        <w:widowControl w:val="0"/>
        <w:tabs>
          <w:tab w:val="right" w:pos="8306"/>
        </w:tabs>
        <w:kinsoku/>
        <w:wordWrap/>
        <w:overflowPunct/>
        <w:topLinePunct w:val="0"/>
        <w:bidi w:val="0"/>
        <w:adjustRightInd/>
        <w:snapToGrid/>
        <w:spacing w:line="560" w:lineRule="exact"/>
        <w:ind w:left="0" w:leftChars="0"/>
        <w:textAlignment w:val="auto"/>
        <w:rPr>
          <w:rFonts w:ascii="仿宋_GB2312" w:hAnsi="仿宋_GB2312" w:eastAsia="仿宋_GB2312" w:cs="仿宋_GB2312"/>
          <w:sz w:val="32"/>
          <w:szCs w:val="32"/>
        </w:rPr>
      </w:pPr>
      <w:r>
        <w:fldChar w:fldCharType="begin"/>
      </w:r>
      <w:r>
        <w:instrText xml:space="preserve"> HYPERLINK \l "_Toc32434" </w:instrText>
      </w:r>
      <w:r>
        <w:fldChar w:fldCharType="separate"/>
      </w:r>
      <w:r>
        <w:rPr>
          <w:rFonts w:hint="eastAsia" w:ascii="仿宋_GB2312" w:hAnsi="仿宋_GB2312" w:eastAsia="仿宋_GB2312" w:cs="仿宋_GB2312"/>
          <w:bCs/>
          <w:kern w:val="0"/>
          <w:sz w:val="32"/>
          <w:szCs w:val="32"/>
        </w:rPr>
        <w:t>三、《支出决算表》</w:t>
      </w:r>
      <w:r>
        <w:rPr>
          <w:rFonts w:hint="eastAsia" w:ascii="仿宋_GB2312" w:hAnsi="仿宋_GB2312" w:eastAsia="仿宋_GB2312" w:cs="仿宋_GB2312"/>
          <w:bCs/>
          <w:kern w:val="0"/>
          <w:sz w:val="32"/>
          <w:szCs w:val="32"/>
        </w:rPr>
        <w:fldChar w:fldCharType="end"/>
      </w:r>
    </w:p>
    <w:p>
      <w:pPr>
        <w:pStyle w:val="7"/>
        <w:keepNext w:val="0"/>
        <w:keepLines w:val="0"/>
        <w:pageBreakBefore w:val="0"/>
        <w:widowControl w:val="0"/>
        <w:tabs>
          <w:tab w:val="right" w:pos="8306"/>
        </w:tabs>
        <w:kinsoku/>
        <w:wordWrap/>
        <w:overflowPunct/>
        <w:topLinePunct w:val="0"/>
        <w:bidi w:val="0"/>
        <w:adjustRightInd/>
        <w:snapToGrid/>
        <w:spacing w:line="560" w:lineRule="exact"/>
        <w:ind w:left="0" w:leftChars="0"/>
        <w:textAlignment w:val="auto"/>
        <w:rPr>
          <w:rFonts w:ascii="仿宋_GB2312" w:hAnsi="仿宋_GB2312" w:eastAsia="仿宋_GB2312" w:cs="仿宋_GB2312"/>
          <w:sz w:val="32"/>
          <w:szCs w:val="32"/>
        </w:rPr>
      </w:pPr>
      <w:r>
        <w:fldChar w:fldCharType="begin"/>
      </w:r>
      <w:r>
        <w:instrText xml:space="preserve"> HYPERLINK \l "_Toc28786" </w:instrText>
      </w:r>
      <w:r>
        <w:fldChar w:fldCharType="separate"/>
      </w:r>
      <w:r>
        <w:rPr>
          <w:rFonts w:hint="eastAsia" w:ascii="仿宋_GB2312" w:hAnsi="仿宋_GB2312" w:eastAsia="仿宋_GB2312" w:cs="仿宋_GB2312"/>
          <w:bCs/>
          <w:kern w:val="0"/>
          <w:sz w:val="32"/>
          <w:szCs w:val="32"/>
        </w:rPr>
        <w:t>四、《财政拨款收入支出决算总表》</w:t>
      </w:r>
      <w:r>
        <w:rPr>
          <w:rFonts w:hint="eastAsia" w:ascii="仿宋_GB2312" w:hAnsi="仿宋_GB2312" w:eastAsia="仿宋_GB2312" w:cs="仿宋_GB2312"/>
          <w:bCs/>
          <w:kern w:val="0"/>
          <w:sz w:val="32"/>
          <w:szCs w:val="32"/>
        </w:rPr>
        <w:fldChar w:fldCharType="end"/>
      </w:r>
    </w:p>
    <w:p>
      <w:pPr>
        <w:pStyle w:val="7"/>
        <w:keepNext w:val="0"/>
        <w:keepLines w:val="0"/>
        <w:pageBreakBefore w:val="0"/>
        <w:widowControl w:val="0"/>
        <w:tabs>
          <w:tab w:val="right" w:pos="8306"/>
        </w:tabs>
        <w:kinsoku/>
        <w:wordWrap/>
        <w:overflowPunct/>
        <w:topLinePunct w:val="0"/>
        <w:bidi w:val="0"/>
        <w:adjustRightInd/>
        <w:snapToGrid/>
        <w:spacing w:line="560" w:lineRule="exact"/>
        <w:ind w:left="0" w:leftChars="0"/>
        <w:textAlignment w:val="auto"/>
        <w:rPr>
          <w:rFonts w:ascii="仿宋_GB2312" w:hAnsi="仿宋_GB2312" w:eastAsia="仿宋_GB2312" w:cs="仿宋_GB2312"/>
          <w:sz w:val="32"/>
          <w:szCs w:val="32"/>
        </w:rPr>
      </w:pPr>
      <w:r>
        <w:fldChar w:fldCharType="begin"/>
      </w:r>
      <w:r>
        <w:instrText xml:space="preserve"> HYPERLINK \l "_Toc14869" </w:instrText>
      </w:r>
      <w:r>
        <w:fldChar w:fldCharType="separate"/>
      </w:r>
      <w:r>
        <w:rPr>
          <w:rFonts w:hint="eastAsia" w:ascii="仿宋_GB2312" w:hAnsi="仿宋_GB2312" w:eastAsia="仿宋_GB2312" w:cs="仿宋_GB2312"/>
          <w:bCs/>
          <w:kern w:val="0"/>
          <w:sz w:val="32"/>
          <w:szCs w:val="32"/>
        </w:rPr>
        <w:t>五、《一般公共预算财政拨款支出决算表》</w:t>
      </w:r>
      <w:r>
        <w:rPr>
          <w:rFonts w:hint="eastAsia" w:ascii="仿宋_GB2312" w:hAnsi="仿宋_GB2312" w:eastAsia="仿宋_GB2312" w:cs="仿宋_GB2312"/>
          <w:bCs/>
          <w:kern w:val="0"/>
          <w:sz w:val="32"/>
          <w:szCs w:val="32"/>
        </w:rPr>
        <w:fldChar w:fldCharType="end"/>
      </w:r>
    </w:p>
    <w:p>
      <w:pPr>
        <w:pStyle w:val="7"/>
        <w:keepNext w:val="0"/>
        <w:keepLines w:val="0"/>
        <w:pageBreakBefore w:val="0"/>
        <w:widowControl w:val="0"/>
        <w:tabs>
          <w:tab w:val="right" w:pos="8306"/>
        </w:tabs>
        <w:kinsoku/>
        <w:wordWrap/>
        <w:overflowPunct/>
        <w:topLinePunct w:val="0"/>
        <w:bidi w:val="0"/>
        <w:adjustRightInd/>
        <w:snapToGrid/>
        <w:spacing w:line="560" w:lineRule="exact"/>
        <w:ind w:left="0" w:leftChars="0"/>
        <w:textAlignment w:val="auto"/>
        <w:rPr>
          <w:rFonts w:ascii="仿宋_GB2312" w:hAnsi="仿宋_GB2312" w:eastAsia="仿宋_GB2312" w:cs="仿宋_GB2312"/>
          <w:sz w:val="32"/>
          <w:szCs w:val="32"/>
        </w:rPr>
      </w:pPr>
      <w:r>
        <w:fldChar w:fldCharType="begin"/>
      </w:r>
      <w:r>
        <w:instrText xml:space="preserve"> HYPERLINK \l "_Toc8884" </w:instrText>
      </w:r>
      <w:r>
        <w:fldChar w:fldCharType="separate"/>
      </w:r>
      <w:r>
        <w:rPr>
          <w:rFonts w:hint="eastAsia" w:ascii="仿宋_GB2312" w:hAnsi="仿宋_GB2312" w:eastAsia="仿宋_GB2312" w:cs="仿宋_GB2312"/>
          <w:bCs/>
          <w:kern w:val="0"/>
          <w:sz w:val="32"/>
          <w:szCs w:val="32"/>
        </w:rPr>
        <w:t>六、《一般公共预算财政拨款基本支出决算表》</w:t>
      </w:r>
      <w:r>
        <w:rPr>
          <w:rFonts w:hint="eastAsia" w:ascii="仿宋_GB2312" w:hAnsi="仿宋_GB2312" w:eastAsia="仿宋_GB2312" w:cs="仿宋_GB2312"/>
          <w:bCs/>
          <w:kern w:val="0"/>
          <w:sz w:val="32"/>
          <w:szCs w:val="32"/>
        </w:rPr>
        <w:fldChar w:fldCharType="end"/>
      </w:r>
    </w:p>
    <w:p>
      <w:pPr>
        <w:pStyle w:val="7"/>
        <w:keepNext w:val="0"/>
        <w:keepLines w:val="0"/>
        <w:pageBreakBefore w:val="0"/>
        <w:widowControl w:val="0"/>
        <w:tabs>
          <w:tab w:val="right" w:pos="8306"/>
        </w:tabs>
        <w:kinsoku/>
        <w:wordWrap/>
        <w:overflowPunct/>
        <w:topLinePunct w:val="0"/>
        <w:bidi w:val="0"/>
        <w:adjustRightInd/>
        <w:snapToGrid/>
        <w:spacing w:line="560" w:lineRule="exact"/>
        <w:ind w:left="0" w:leftChars="0"/>
        <w:textAlignment w:val="auto"/>
        <w:rPr>
          <w:rFonts w:ascii="仿宋_GB2312" w:hAnsi="仿宋_GB2312" w:eastAsia="仿宋_GB2312" w:cs="仿宋_GB2312"/>
          <w:sz w:val="32"/>
          <w:szCs w:val="32"/>
        </w:rPr>
      </w:pPr>
      <w:r>
        <w:fldChar w:fldCharType="begin"/>
      </w:r>
      <w:r>
        <w:instrText xml:space="preserve"> HYPERLINK \l "_Toc29106" </w:instrText>
      </w:r>
      <w:r>
        <w:fldChar w:fldCharType="separate"/>
      </w:r>
      <w:r>
        <w:rPr>
          <w:rFonts w:hint="eastAsia" w:ascii="仿宋_GB2312" w:hAnsi="仿宋_GB2312" w:eastAsia="仿宋_GB2312" w:cs="仿宋_GB2312"/>
          <w:bCs/>
          <w:kern w:val="0"/>
          <w:sz w:val="32"/>
          <w:szCs w:val="32"/>
        </w:rPr>
        <w:t>七、《一般公共预算财政拨款“三公”经费支出决算表》</w:t>
      </w:r>
      <w:r>
        <w:rPr>
          <w:rFonts w:hint="eastAsia" w:ascii="仿宋_GB2312" w:hAnsi="仿宋_GB2312" w:eastAsia="仿宋_GB2312" w:cs="仿宋_GB2312"/>
          <w:bCs/>
          <w:kern w:val="0"/>
          <w:sz w:val="32"/>
          <w:szCs w:val="32"/>
        </w:rPr>
        <w:fldChar w:fldCharType="end"/>
      </w:r>
    </w:p>
    <w:p>
      <w:pPr>
        <w:pStyle w:val="7"/>
        <w:keepNext w:val="0"/>
        <w:keepLines w:val="0"/>
        <w:pageBreakBefore w:val="0"/>
        <w:widowControl w:val="0"/>
        <w:tabs>
          <w:tab w:val="right" w:pos="8306"/>
        </w:tabs>
        <w:kinsoku/>
        <w:wordWrap/>
        <w:overflowPunct/>
        <w:topLinePunct w:val="0"/>
        <w:bidi w:val="0"/>
        <w:adjustRightInd/>
        <w:snapToGrid/>
        <w:spacing w:line="560" w:lineRule="exact"/>
        <w:ind w:left="0" w:leftChars="0"/>
        <w:textAlignment w:val="auto"/>
        <w:rPr>
          <w:rFonts w:ascii="仿宋_GB2312" w:hAnsi="仿宋_GB2312" w:eastAsia="仿宋_GB2312" w:cs="仿宋_GB2312"/>
          <w:sz w:val="32"/>
          <w:szCs w:val="32"/>
        </w:rPr>
      </w:pPr>
      <w:r>
        <w:fldChar w:fldCharType="begin"/>
      </w:r>
      <w:r>
        <w:instrText xml:space="preserve"> HYPERLINK \l "_Toc7643" </w:instrText>
      </w:r>
      <w:r>
        <w:fldChar w:fldCharType="separate"/>
      </w:r>
      <w:r>
        <w:rPr>
          <w:rFonts w:hint="eastAsia" w:ascii="仿宋_GB2312" w:hAnsi="仿宋_GB2312" w:eastAsia="仿宋_GB2312" w:cs="仿宋_GB2312"/>
          <w:bCs/>
          <w:kern w:val="0"/>
          <w:sz w:val="32"/>
          <w:szCs w:val="32"/>
        </w:rPr>
        <w:t>八、《政府性基金预算财政拨款收入支出决算表》</w:t>
      </w:r>
      <w:r>
        <w:rPr>
          <w:rFonts w:hint="eastAsia" w:ascii="仿宋_GB2312" w:hAnsi="仿宋_GB2312" w:eastAsia="仿宋_GB2312" w:cs="仿宋_GB2312"/>
          <w:bCs/>
          <w:kern w:val="0"/>
          <w:sz w:val="32"/>
          <w:szCs w:val="32"/>
        </w:rPr>
        <w:fldChar w:fldCharType="end"/>
      </w:r>
    </w:p>
    <w:p>
      <w:pPr>
        <w:keepNext w:val="0"/>
        <w:keepLines w:val="0"/>
        <w:pageBreakBefore w:val="0"/>
        <w:widowControl w:val="0"/>
        <w:kinsoku/>
        <w:wordWrap/>
        <w:overflowPunct/>
        <w:topLinePunct w:val="0"/>
        <w:bidi w:val="0"/>
        <w:adjustRightInd/>
        <w:snapToGrid/>
        <w:spacing w:line="560" w:lineRule="exact"/>
        <w:textAlignment w:val="auto"/>
      </w:pP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bidi w:val="0"/>
        <w:adjustRightInd/>
        <w:snapToGrid/>
        <w:spacing w:line="560" w:lineRule="exact"/>
        <w:ind w:firstLine="640" w:firstLineChars="200"/>
        <w:jc w:val="center"/>
        <w:textAlignment w:val="auto"/>
        <w:outlineLvl w:val="0"/>
        <w:rPr>
          <w:rFonts w:ascii="黑体" w:hAnsi="黑体" w:eastAsia="黑体"/>
          <w:sz w:val="32"/>
          <w:szCs w:val="32"/>
        </w:rPr>
      </w:pPr>
      <w:r>
        <w:rPr>
          <w:rFonts w:hint="eastAsia" w:ascii="仿宋_GB2312" w:eastAsia="仿宋_GB2312"/>
          <w:sz w:val="32"/>
          <w:szCs w:val="32"/>
        </w:rPr>
        <w:br w:type="page"/>
      </w:r>
      <w:bookmarkStart w:id="0" w:name="_Toc32314"/>
      <w:bookmarkStart w:id="1" w:name="_Toc24028"/>
      <w:r>
        <w:rPr>
          <w:rFonts w:hint="eastAsia" w:ascii="黑体" w:hAnsi="黑体" w:eastAsia="黑体"/>
          <w:sz w:val="32"/>
          <w:szCs w:val="32"/>
        </w:rPr>
        <w:t>第一部分 部门单位概况</w:t>
      </w:r>
      <w:bookmarkEnd w:id="0"/>
      <w:bookmarkEnd w:id="1"/>
    </w:p>
    <w:p>
      <w:pPr>
        <w:keepNext w:val="0"/>
        <w:keepLines w:val="0"/>
        <w:pageBreakBefore w:val="0"/>
        <w:widowControl w:val="0"/>
        <w:kinsoku/>
        <w:wordWrap/>
        <w:overflowPunct/>
        <w:topLinePunct w:val="0"/>
        <w:bidi w:val="0"/>
        <w:adjustRightInd/>
        <w:snapToGrid/>
        <w:spacing w:line="560" w:lineRule="exact"/>
        <w:ind w:firstLine="640" w:firstLineChars="200"/>
        <w:textAlignment w:val="auto"/>
        <w:outlineLvl w:val="1"/>
        <w:rPr>
          <w:rFonts w:ascii="黑体" w:hAnsi="黑体" w:eastAsia="黑体" w:cs="宋体"/>
          <w:bCs/>
          <w:kern w:val="0"/>
          <w:sz w:val="32"/>
          <w:szCs w:val="32"/>
        </w:rPr>
      </w:pPr>
      <w:bookmarkStart w:id="2" w:name="_Toc30567"/>
      <w:bookmarkStart w:id="3" w:name="_Toc30738"/>
      <w:r>
        <w:rPr>
          <w:rFonts w:hint="eastAsia" w:ascii="黑体" w:hAnsi="黑体" w:eastAsia="黑体" w:cs="宋体"/>
          <w:bCs/>
          <w:kern w:val="0"/>
          <w:sz w:val="32"/>
          <w:szCs w:val="32"/>
        </w:rPr>
        <w:t>一、主要职能</w:t>
      </w:r>
      <w:bookmarkEnd w:id="2"/>
      <w:bookmarkEnd w:id="3"/>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1.为人民健康医疗与预防保健服务，常见病多发病的治疗和护理；</w:t>
      </w:r>
      <w:r>
        <w:rPr>
          <w:rFonts w:hint="eastAsia" w:ascii="仿宋_GB2312" w:eastAsia="仿宋_GB2312"/>
          <w:sz w:val="32"/>
          <w:szCs w:val="32"/>
        </w:rPr>
        <w:br w:type="textWrapping"/>
      </w:r>
      <w:r>
        <w:rPr>
          <w:rFonts w:hint="eastAsia" w:ascii="仿宋_GB2312" w:eastAsia="仿宋_GB2312"/>
          <w:sz w:val="32"/>
          <w:szCs w:val="32"/>
        </w:rPr>
        <w:t xml:space="preserve">    2.预防保健；卫生人员技术培训；</w:t>
      </w:r>
      <w:r>
        <w:rPr>
          <w:rFonts w:hint="eastAsia" w:ascii="仿宋_GB2312" w:eastAsia="仿宋_GB2312"/>
          <w:sz w:val="32"/>
          <w:szCs w:val="32"/>
        </w:rPr>
        <w:br w:type="textWrapping"/>
      </w:r>
      <w:r>
        <w:rPr>
          <w:rFonts w:hint="eastAsia" w:ascii="仿宋_GB2312" w:eastAsia="仿宋_GB2312"/>
          <w:sz w:val="32"/>
          <w:szCs w:val="32"/>
        </w:rPr>
        <w:t xml:space="preserve">    3.职能表现形式有疾病控制防疫、妇幼儿童保健、门诊住院医疗、急诊抢救、防病治病等救死扶伤等</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outlineLvl w:val="1"/>
        <w:rPr>
          <w:rFonts w:ascii="黑体" w:hAnsi="黑体" w:eastAsia="黑体" w:cs="宋体"/>
          <w:bCs/>
          <w:kern w:val="0"/>
          <w:sz w:val="32"/>
          <w:szCs w:val="32"/>
        </w:rPr>
      </w:pPr>
      <w:bookmarkStart w:id="4" w:name="_Toc31238"/>
      <w:bookmarkStart w:id="5" w:name="_Toc2151"/>
      <w:r>
        <w:rPr>
          <w:rFonts w:hint="eastAsia" w:ascii="黑体" w:hAnsi="黑体" w:eastAsia="黑体" w:cs="宋体"/>
          <w:bCs/>
          <w:kern w:val="0"/>
          <w:sz w:val="32"/>
          <w:szCs w:val="32"/>
        </w:rPr>
        <w:t>二、机构设置及</w:t>
      </w:r>
      <w:bookmarkEnd w:id="4"/>
      <w:r>
        <w:rPr>
          <w:rFonts w:hint="eastAsia" w:ascii="黑体" w:hAnsi="黑体" w:eastAsia="黑体" w:cs="宋体"/>
          <w:bCs/>
          <w:kern w:val="0"/>
          <w:sz w:val="32"/>
          <w:szCs w:val="32"/>
        </w:rPr>
        <w:t>人员情况</w:t>
      </w:r>
      <w:bookmarkEnd w:id="5"/>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新疆伊犁州特克斯县阔克苏乡卫生院2019年度，实有人数15人，其中：在职人员13人，离休人员0人，退休人员2人。</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从部</w:t>
      </w:r>
      <w:bookmarkStart w:id="54" w:name="_GoBack"/>
      <w:bookmarkEnd w:id="54"/>
      <w:r>
        <w:rPr>
          <w:rFonts w:hint="eastAsia" w:ascii="仿宋_GB2312" w:eastAsia="仿宋_GB2312"/>
          <w:sz w:val="32"/>
          <w:szCs w:val="32"/>
        </w:rPr>
        <w:t>门决算单位构成看，新疆伊犁州特克斯县阔克苏乡卫生院部门决算包括：新疆伊犁州特克斯县阔克苏乡卫生院决算。</w:t>
      </w:r>
    </w:p>
    <w:p>
      <w:pPr>
        <w:keepNext w:val="0"/>
        <w:keepLines w:val="0"/>
        <w:pageBreakBefore w:val="0"/>
        <w:widowControl w:val="0"/>
        <w:kinsoku/>
        <w:wordWrap/>
        <w:overflowPunct/>
        <w:topLinePunct w:val="0"/>
        <w:bidi w:val="0"/>
        <w:adjustRightInd/>
        <w:snapToGrid/>
        <w:spacing w:line="560" w:lineRule="exact"/>
        <w:ind w:firstLine="640" w:firstLineChars="200"/>
        <w:jc w:val="center"/>
        <w:textAlignment w:val="auto"/>
        <w:outlineLvl w:val="0"/>
        <w:rPr>
          <w:rFonts w:ascii="黑体" w:hAnsi="黑体" w:eastAsia="黑体"/>
          <w:sz w:val="32"/>
          <w:szCs w:val="32"/>
        </w:rPr>
      </w:pPr>
      <w:bookmarkStart w:id="6" w:name="_Toc3092"/>
      <w:bookmarkStart w:id="7" w:name="_Toc29374"/>
      <w:r>
        <w:rPr>
          <w:rFonts w:hint="eastAsia" w:ascii="黑体" w:hAnsi="黑体" w:eastAsia="黑体"/>
          <w:sz w:val="32"/>
          <w:szCs w:val="32"/>
        </w:rPr>
        <w:t>第二部分 部门决算情况说明</w:t>
      </w:r>
      <w:bookmarkEnd w:id="6"/>
      <w:bookmarkEnd w:id="7"/>
    </w:p>
    <w:p>
      <w:pPr>
        <w:keepNext w:val="0"/>
        <w:keepLines w:val="0"/>
        <w:pageBreakBefore w:val="0"/>
        <w:widowControl w:val="0"/>
        <w:kinsoku/>
        <w:wordWrap/>
        <w:overflowPunct/>
        <w:topLinePunct w:val="0"/>
        <w:bidi w:val="0"/>
        <w:adjustRightInd/>
        <w:snapToGrid/>
        <w:spacing w:line="560" w:lineRule="exact"/>
        <w:ind w:firstLine="640" w:firstLineChars="200"/>
        <w:textAlignment w:val="auto"/>
        <w:outlineLvl w:val="1"/>
        <w:rPr>
          <w:rFonts w:ascii="黑体" w:hAnsi="黑体" w:eastAsia="黑体" w:cs="宋体"/>
          <w:bCs/>
          <w:kern w:val="0"/>
          <w:sz w:val="32"/>
          <w:szCs w:val="32"/>
        </w:rPr>
      </w:pPr>
      <w:bookmarkStart w:id="8" w:name="_Toc25314"/>
      <w:bookmarkStart w:id="9" w:name="_Toc12566"/>
      <w:r>
        <w:rPr>
          <w:rFonts w:hint="eastAsia" w:ascii="黑体" w:hAnsi="黑体" w:eastAsia="黑体" w:cs="宋体"/>
          <w:bCs/>
          <w:kern w:val="0"/>
          <w:sz w:val="32"/>
          <w:szCs w:val="32"/>
        </w:rPr>
        <w:t>一、收入支出决算总体情况说明</w:t>
      </w:r>
      <w:bookmarkEnd w:id="8"/>
      <w:bookmarkEnd w:id="9"/>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2019年度本年收入194.89万元，与上年相比，减少13.45万元，降低6.46%，主要原因是：业务收入减少。本年支出194.89万元，与上年相比，减少29.05万元，降低12.97%，主要原因是：压缩经费。</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outlineLvl w:val="1"/>
        <w:rPr>
          <w:rFonts w:ascii="黑体" w:hAnsi="黑体" w:eastAsia="黑体" w:cs="宋体"/>
          <w:bCs/>
          <w:kern w:val="0"/>
          <w:sz w:val="32"/>
          <w:szCs w:val="32"/>
        </w:rPr>
      </w:pPr>
      <w:bookmarkStart w:id="10" w:name="_Toc1979"/>
      <w:bookmarkStart w:id="11" w:name="_Toc12142"/>
      <w:r>
        <w:rPr>
          <w:rFonts w:hint="eastAsia" w:ascii="黑体" w:hAnsi="黑体" w:eastAsia="黑体" w:cs="宋体"/>
          <w:bCs/>
          <w:kern w:val="0"/>
          <w:sz w:val="32"/>
          <w:szCs w:val="32"/>
        </w:rPr>
        <w:t>二、收入决算情况说明</w:t>
      </w:r>
      <w:bookmarkEnd w:id="10"/>
      <w:bookmarkEnd w:id="11"/>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2019年度本年收入194.89万元，其中：财政拨款收入141.96万元，占72.84%；上级补助收入0.00万元，占0%；事业收入45.18万元，占</w:t>
      </w:r>
      <w:r>
        <w:rPr>
          <w:rFonts w:hint="eastAsia" w:ascii="仿宋_GB2312" w:eastAsia="仿宋_GB2312"/>
          <w:sz w:val="32"/>
          <w:szCs w:val="32"/>
          <w:highlight w:val="none"/>
        </w:rPr>
        <w:t>23.1</w:t>
      </w:r>
      <w:r>
        <w:rPr>
          <w:rFonts w:hint="eastAsia" w:ascii="仿宋_GB2312" w:eastAsia="仿宋_GB2312"/>
          <w:sz w:val="32"/>
          <w:szCs w:val="32"/>
          <w:highlight w:val="none"/>
          <w:lang w:val="en-US" w:eastAsia="zh-CN"/>
        </w:rPr>
        <w:t>9</w:t>
      </w:r>
      <w:r>
        <w:rPr>
          <w:rFonts w:hint="eastAsia" w:ascii="仿宋_GB2312" w:eastAsia="仿宋_GB2312"/>
          <w:sz w:val="32"/>
          <w:szCs w:val="32"/>
          <w:highlight w:val="none"/>
        </w:rPr>
        <w:t>%；经营收入0.00万元，占0%；附属单位上缴收入0.00万元，</w:t>
      </w:r>
      <w:r>
        <w:rPr>
          <w:rFonts w:hint="eastAsia" w:ascii="仿宋_GB2312" w:eastAsia="仿宋_GB2312"/>
          <w:sz w:val="32"/>
          <w:szCs w:val="32"/>
        </w:rPr>
        <w:t>占0%；其他收入7.74万元，占3.97%。</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outlineLvl w:val="1"/>
        <w:rPr>
          <w:rFonts w:ascii="黑体" w:hAnsi="黑体" w:eastAsia="黑体" w:cs="宋体"/>
          <w:bCs/>
          <w:kern w:val="0"/>
          <w:sz w:val="32"/>
          <w:szCs w:val="32"/>
        </w:rPr>
      </w:pPr>
      <w:bookmarkStart w:id="12" w:name="_Toc13201"/>
      <w:bookmarkStart w:id="13" w:name="_Toc27961"/>
      <w:r>
        <w:rPr>
          <w:rFonts w:hint="eastAsia" w:ascii="黑体" w:hAnsi="黑体" w:eastAsia="黑体" w:cs="宋体"/>
          <w:bCs/>
          <w:kern w:val="0"/>
          <w:sz w:val="32"/>
          <w:szCs w:val="32"/>
        </w:rPr>
        <w:t>三、支出决算情况说明</w:t>
      </w:r>
      <w:bookmarkEnd w:id="12"/>
      <w:bookmarkEnd w:id="13"/>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2019年度本年支出194.89万元，其中：基本支出180.12万元，占92.42%；项目支出14.77万元，占7.58%；上缴上级支出0.00万元，占0%；经营支出0.00万元，占0%；对附属单位补助支出0.00万元，占0%。</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outlineLvl w:val="1"/>
        <w:rPr>
          <w:rFonts w:ascii="黑体" w:hAnsi="黑体" w:eastAsia="黑体" w:cs="宋体"/>
          <w:bCs/>
          <w:kern w:val="0"/>
          <w:sz w:val="32"/>
          <w:szCs w:val="32"/>
        </w:rPr>
      </w:pPr>
      <w:bookmarkStart w:id="14" w:name="_Toc26564"/>
      <w:bookmarkStart w:id="15" w:name="_Toc4393"/>
      <w:r>
        <w:rPr>
          <w:rFonts w:hint="eastAsia" w:ascii="黑体" w:hAnsi="黑体" w:eastAsia="黑体" w:cs="宋体"/>
          <w:bCs/>
          <w:kern w:val="0"/>
          <w:sz w:val="32"/>
          <w:szCs w:val="32"/>
        </w:rPr>
        <w:t>四、财政拨款收入支出决算总体情况说明</w:t>
      </w:r>
      <w:bookmarkEnd w:id="14"/>
      <w:bookmarkEnd w:id="15"/>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2019年度财政拨款收入141.96万元，与上年相比，增加12.71万元，增长9.83%。主要原因是：2019年增加项目收入。财政拨款支出141.96万元，与上年相比，增加12.71万元，增长9.83%，主要原因是：2019年增加项目收入。</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与年初预算数相比情况：财政拨款收入年初预算数127.67万元，决算数141.96万元，预决算差异率11.19%，主要原因是：2019年增加项目收入。财政拨款支出年初预算数127.67万元，决算数141.96万元，预决算差异率11.19%，主要原因是：2019年增加项目收入。</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outlineLvl w:val="1"/>
        <w:rPr>
          <w:rFonts w:ascii="黑体" w:hAnsi="黑体" w:eastAsia="黑体" w:cs="宋体"/>
          <w:bCs/>
          <w:kern w:val="0"/>
          <w:sz w:val="32"/>
          <w:szCs w:val="32"/>
        </w:rPr>
      </w:pPr>
      <w:bookmarkStart w:id="16" w:name="_Toc13833"/>
      <w:bookmarkStart w:id="17" w:name="_Toc20360"/>
      <w:r>
        <w:rPr>
          <w:rFonts w:hint="eastAsia" w:ascii="黑体" w:hAnsi="黑体" w:eastAsia="黑体" w:cs="宋体"/>
          <w:bCs/>
          <w:kern w:val="0"/>
          <w:sz w:val="32"/>
          <w:szCs w:val="32"/>
        </w:rPr>
        <w:t>五、一般公共预算财政拨款支出决算情况说明</w:t>
      </w:r>
      <w:bookmarkEnd w:id="16"/>
      <w:bookmarkEnd w:id="17"/>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2019年度一般公共预算财政拨款支出141.96万元。按功能分类科目项级科目公开，其中：</w:t>
      </w:r>
    </w:p>
    <w:p>
      <w:pPr>
        <w:keepNext w:val="0"/>
        <w:keepLines w:val="0"/>
        <w:pageBreakBefore w:val="0"/>
        <w:widowControl w:val="0"/>
        <w:kinsoku/>
        <w:wordWrap/>
        <w:overflowPunct/>
        <w:topLinePunct w:val="0"/>
        <w:bidi w:val="0"/>
        <w:adjustRightInd/>
        <w:snapToGrid/>
        <w:spacing w:line="560" w:lineRule="exact"/>
        <w:textAlignment w:val="auto"/>
        <w:rPr>
          <w:rFonts w:ascii="仿宋_GB2312" w:eastAsia="仿宋_GB2312"/>
          <w:b/>
          <w:bCs/>
          <w:sz w:val="32"/>
          <w:szCs w:val="32"/>
        </w:rPr>
      </w:pPr>
      <w:r>
        <w:rPr>
          <w:rFonts w:hint="eastAsia" w:ascii="仿宋_GB2312" w:eastAsia="仿宋_GB2312"/>
          <w:sz w:val="32"/>
          <w:szCs w:val="32"/>
        </w:rPr>
        <w:t xml:space="preserve">    2080505 机关事业单位基本养老保险缴费支出15.12万元;</w:t>
      </w:r>
      <w:r>
        <w:rPr>
          <w:rFonts w:hint="eastAsia" w:ascii="仿宋_GB2312" w:eastAsia="仿宋_GB2312"/>
          <w:sz w:val="32"/>
          <w:szCs w:val="32"/>
        </w:rPr>
        <w:br w:type="textWrapping"/>
      </w:r>
      <w:r>
        <w:rPr>
          <w:rFonts w:hint="eastAsia" w:ascii="仿宋_GB2312" w:eastAsia="仿宋_GB2312"/>
          <w:sz w:val="32"/>
          <w:szCs w:val="32"/>
        </w:rPr>
        <w:t xml:space="preserve">    2100302 乡镇卫生院96.09万元;</w:t>
      </w:r>
      <w:r>
        <w:rPr>
          <w:rFonts w:hint="eastAsia" w:ascii="仿宋_GB2312" w:eastAsia="仿宋_GB2312"/>
          <w:sz w:val="32"/>
          <w:szCs w:val="32"/>
        </w:rPr>
        <w:br w:type="textWrapping"/>
      </w:r>
      <w:r>
        <w:rPr>
          <w:rFonts w:hint="eastAsia" w:ascii="仿宋_GB2312" w:eastAsia="仿宋_GB2312"/>
          <w:sz w:val="32"/>
          <w:szCs w:val="32"/>
        </w:rPr>
        <w:t xml:space="preserve">    2100399 其他基层医疗卫生机构支出3.20万元;</w:t>
      </w:r>
      <w:r>
        <w:rPr>
          <w:rFonts w:hint="eastAsia" w:ascii="仿宋_GB2312" w:eastAsia="仿宋_GB2312"/>
          <w:sz w:val="32"/>
          <w:szCs w:val="32"/>
        </w:rPr>
        <w:br w:type="textWrapping"/>
      </w:r>
      <w:r>
        <w:rPr>
          <w:rFonts w:hint="eastAsia" w:ascii="仿宋_GB2312" w:eastAsia="仿宋_GB2312"/>
          <w:sz w:val="32"/>
          <w:szCs w:val="32"/>
        </w:rPr>
        <w:t xml:space="preserve">    2100408 基本公共卫生服务11.57万元;</w:t>
      </w:r>
      <w:r>
        <w:rPr>
          <w:rFonts w:hint="eastAsia" w:ascii="仿宋_GB2312" w:eastAsia="仿宋_GB2312"/>
          <w:sz w:val="32"/>
          <w:szCs w:val="32"/>
        </w:rPr>
        <w:br w:type="textWrapping"/>
      </w:r>
      <w:r>
        <w:rPr>
          <w:rFonts w:hint="eastAsia" w:ascii="仿宋_GB2312" w:eastAsia="仿宋_GB2312"/>
          <w:sz w:val="32"/>
          <w:szCs w:val="32"/>
        </w:rPr>
        <w:t xml:space="preserve">    2101102 事业单位医疗5.61万元;</w:t>
      </w:r>
      <w:r>
        <w:rPr>
          <w:rFonts w:hint="eastAsia" w:ascii="仿宋_GB2312" w:eastAsia="仿宋_GB2312"/>
          <w:sz w:val="32"/>
          <w:szCs w:val="32"/>
        </w:rPr>
        <w:br w:type="textWrapping"/>
      </w:r>
      <w:r>
        <w:rPr>
          <w:rFonts w:hint="eastAsia" w:ascii="仿宋_GB2312" w:eastAsia="仿宋_GB2312"/>
          <w:sz w:val="32"/>
          <w:szCs w:val="32"/>
        </w:rPr>
        <w:t xml:space="preserve">    2210201 住房公积金10.37万元。</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outlineLvl w:val="1"/>
        <w:rPr>
          <w:rFonts w:ascii="黑体" w:hAnsi="黑体" w:eastAsia="黑体" w:cs="宋体"/>
          <w:bCs/>
          <w:kern w:val="0"/>
          <w:sz w:val="32"/>
          <w:szCs w:val="32"/>
        </w:rPr>
      </w:pPr>
      <w:bookmarkStart w:id="18" w:name="_Toc11146"/>
      <w:bookmarkStart w:id="19" w:name="_Toc30870"/>
      <w:r>
        <w:rPr>
          <w:rFonts w:hint="eastAsia" w:ascii="黑体" w:hAnsi="黑体" w:eastAsia="黑体" w:cs="宋体"/>
          <w:bCs/>
          <w:kern w:val="0"/>
          <w:sz w:val="32"/>
          <w:szCs w:val="32"/>
        </w:rPr>
        <w:t>六、一般公共预算财政拨款基本支出决算情况说明</w:t>
      </w:r>
      <w:bookmarkEnd w:id="18"/>
      <w:bookmarkEnd w:id="19"/>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2019年度一般公共预算财政拨款基本支出127.20万元，其中：</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人员经费127.20万元，包括：基本工资、津贴补贴、奖金、机关事业单位基本养老保险缴费、职工基本医疗保险缴费、其他社会保障缴费、住房公积金、生活补助。</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公用经费0.00万元。</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outlineLvl w:val="1"/>
        <w:rPr>
          <w:rFonts w:ascii="黑体" w:hAnsi="黑体" w:eastAsia="黑体" w:cs="宋体"/>
          <w:bCs/>
          <w:kern w:val="0"/>
          <w:sz w:val="32"/>
          <w:szCs w:val="32"/>
        </w:rPr>
      </w:pPr>
      <w:bookmarkStart w:id="20" w:name="_Toc7190"/>
      <w:bookmarkStart w:id="21" w:name="_Toc21518"/>
      <w:r>
        <w:rPr>
          <w:rFonts w:hint="eastAsia" w:ascii="黑体" w:hAnsi="黑体" w:eastAsia="黑体" w:cs="宋体"/>
          <w:bCs/>
          <w:kern w:val="0"/>
          <w:sz w:val="32"/>
          <w:szCs w:val="32"/>
        </w:rPr>
        <w:t>七、一般公共预算财政拨款“三公”经费支出决算情况说明</w:t>
      </w:r>
      <w:bookmarkEnd w:id="20"/>
      <w:bookmarkEnd w:id="21"/>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2019年度一般公共预算“三公”经费支出决算0.00万元，比上年增加0.00万元，增长0%，主要原因是2019年未安排“三公”经费支出。其中，因公出国（境）费支出0.00万元，占0%，比上年增加0.00万元，增长0%，主要原因是2019年未安排因公出国（境）费支出；公务用车购置及运行维护费支出0.00万元，占0%，比上年增加0.00万元，增长0%，主要原因是2019年未安排公务用车购置及运行维护费支出；公务接待费支出0.00万元，占0%，比上年增加0.00万元，增长0%，主要原因是2019年未安排公务接待费支出。具体情况如下：</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因公出国（境）费支出0.00万元，开支内容包括：2019年未安排因公出国（境）费支出。单位全年安排的因公出国（境）团组0个，因公出国（境）0人次。</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公务用车购置及运行维护费0.00万元，其中，公务用车购置费0.00万元，公务用车运行维护费0.00万元。公务用车运行维护费开支内容包括2019年未安排公务用车购置及运行维护费支出。公务用车购置数0辆，公务用车保有量0辆。</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公务接待费0.00万元，开支内容包括2019年未安排公务接待费支出。单位全年安排的国内公务接待0批次，0人次。</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与年初预算数相比情况：一般公共预算“三公”经费支出年初预算数0.00万元，决算数0.00万元，预决算差异率0%，主要原因是：2019年未安排“三公”经费支出.。</w:t>
      </w:r>
      <w:r>
        <w:rPr>
          <w:rFonts w:hint="eastAsia" w:ascii="仿宋_GB2312" w:hAnsi="宋体" w:eastAsia="仿宋_GB2312" w:cs="宋体"/>
          <w:kern w:val="0"/>
          <w:sz w:val="32"/>
          <w:szCs w:val="32"/>
        </w:rPr>
        <w:t>其中：因公出国（境）费预算数0.00万元，决算数0.00万元，预决算差异率0%</w:t>
      </w:r>
      <w:r>
        <w:rPr>
          <w:rFonts w:hint="eastAsia" w:ascii="仿宋_GB2312" w:eastAsia="仿宋_GB2312"/>
          <w:sz w:val="32"/>
          <w:szCs w:val="32"/>
        </w:rPr>
        <w:t>，主要原因是：2019年未安排因公出国（境）费支出；</w:t>
      </w:r>
      <w:r>
        <w:rPr>
          <w:rFonts w:hint="eastAsia" w:ascii="仿宋_GB2312" w:hAnsi="宋体" w:eastAsia="仿宋_GB2312" w:cs="宋体"/>
          <w:kern w:val="0"/>
          <w:sz w:val="32"/>
          <w:szCs w:val="32"/>
        </w:rPr>
        <w:t>公务用车购置费预算数0.00万元，决算数0.00万元，预决算差异率0%</w:t>
      </w:r>
      <w:r>
        <w:rPr>
          <w:rFonts w:hint="eastAsia" w:ascii="仿宋_GB2312" w:eastAsia="仿宋_GB2312"/>
          <w:sz w:val="32"/>
          <w:szCs w:val="32"/>
        </w:rPr>
        <w:t>，主要原因是：2019年无公务用车购置费；</w:t>
      </w:r>
      <w:r>
        <w:rPr>
          <w:rFonts w:hint="eastAsia" w:ascii="仿宋_GB2312" w:hAnsi="宋体" w:eastAsia="仿宋_GB2312" w:cs="宋体"/>
          <w:kern w:val="0"/>
          <w:sz w:val="32"/>
          <w:szCs w:val="32"/>
        </w:rPr>
        <w:t>公务用车运行费预算数0.00万元，决算数0.00万元，预决算差异率0%</w:t>
      </w:r>
      <w:r>
        <w:rPr>
          <w:rFonts w:hint="eastAsia" w:ascii="仿宋_GB2312" w:eastAsia="仿宋_GB2312"/>
          <w:sz w:val="32"/>
          <w:szCs w:val="32"/>
        </w:rPr>
        <w:t>，主要原因是：2019年未安排公务用车购置支出；</w:t>
      </w:r>
      <w:r>
        <w:rPr>
          <w:rFonts w:hint="eastAsia" w:ascii="仿宋_GB2312" w:hAnsi="宋体" w:eastAsia="仿宋_GB2312" w:cs="宋体"/>
          <w:kern w:val="0"/>
          <w:sz w:val="32"/>
          <w:szCs w:val="32"/>
        </w:rPr>
        <w:t>公务接待费预算数0.00万元，决算数0.00万元，预决算差异率0%</w:t>
      </w:r>
      <w:r>
        <w:rPr>
          <w:rFonts w:hint="eastAsia" w:ascii="仿宋_GB2312" w:eastAsia="仿宋_GB2312"/>
          <w:sz w:val="32"/>
          <w:szCs w:val="32"/>
        </w:rPr>
        <w:t>，主要原因是：2019年未安排公务接待费支出。</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outlineLvl w:val="1"/>
        <w:rPr>
          <w:rFonts w:ascii="黑体" w:hAnsi="黑体" w:eastAsia="黑体" w:cs="宋体"/>
          <w:bCs/>
          <w:kern w:val="0"/>
          <w:sz w:val="32"/>
          <w:szCs w:val="32"/>
        </w:rPr>
      </w:pPr>
      <w:bookmarkStart w:id="22" w:name="_Toc5810"/>
      <w:bookmarkStart w:id="23" w:name="_Toc7927"/>
      <w:r>
        <w:rPr>
          <w:rFonts w:hint="eastAsia" w:ascii="黑体" w:hAnsi="黑体" w:eastAsia="黑体" w:cs="宋体"/>
          <w:bCs/>
          <w:kern w:val="0"/>
          <w:sz w:val="32"/>
          <w:szCs w:val="32"/>
        </w:rPr>
        <w:t>八、政府性基金预算收入支出决算情况说明</w:t>
      </w:r>
      <w:bookmarkEnd w:id="22"/>
      <w:bookmarkEnd w:id="23"/>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我单位本年度无政府性基金预算财政拨款收入支出，政府性基金预算财政拨款收入支出决算表为空表。</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outlineLvl w:val="1"/>
        <w:rPr>
          <w:rFonts w:ascii="黑体" w:hAnsi="黑体" w:eastAsia="黑体" w:cs="宋体"/>
          <w:bCs/>
          <w:kern w:val="0"/>
          <w:sz w:val="32"/>
          <w:szCs w:val="32"/>
        </w:rPr>
      </w:pPr>
      <w:bookmarkStart w:id="24" w:name="_Toc1235"/>
      <w:bookmarkStart w:id="25" w:name="_Toc7314"/>
      <w:r>
        <w:rPr>
          <w:rFonts w:hint="eastAsia" w:ascii="黑体" w:hAnsi="黑体" w:eastAsia="黑体" w:cs="宋体"/>
          <w:bCs/>
          <w:kern w:val="0"/>
          <w:sz w:val="32"/>
          <w:szCs w:val="32"/>
        </w:rPr>
        <w:t>九、其他重要事项的情况说明</w:t>
      </w:r>
      <w:bookmarkEnd w:id="24"/>
      <w:bookmarkEnd w:id="25"/>
    </w:p>
    <w:p>
      <w:pPr>
        <w:keepNext w:val="0"/>
        <w:keepLines w:val="0"/>
        <w:pageBreakBefore w:val="0"/>
        <w:widowControl w:val="0"/>
        <w:kinsoku/>
        <w:wordWrap/>
        <w:overflowPunct/>
        <w:topLinePunct w:val="0"/>
        <w:bidi w:val="0"/>
        <w:adjustRightInd/>
        <w:snapToGrid/>
        <w:spacing w:line="560" w:lineRule="exact"/>
        <w:ind w:firstLine="640" w:firstLineChars="200"/>
        <w:textAlignment w:val="auto"/>
        <w:outlineLvl w:val="2"/>
        <w:rPr>
          <w:rFonts w:ascii="黑体" w:hAnsi="黑体" w:eastAsia="黑体"/>
          <w:sz w:val="32"/>
          <w:szCs w:val="32"/>
        </w:rPr>
      </w:pPr>
      <w:bookmarkStart w:id="26" w:name="_Toc13105"/>
      <w:bookmarkStart w:id="27" w:name="_Toc14519"/>
      <w:r>
        <w:rPr>
          <w:rFonts w:hint="eastAsia" w:ascii="黑体" w:hAnsi="黑体" w:eastAsia="黑体"/>
          <w:sz w:val="32"/>
          <w:szCs w:val="32"/>
        </w:rPr>
        <w:t>（一）机关运行经费支出情况</w:t>
      </w:r>
      <w:bookmarkEnd w:id="26"/>
      <w:bookmarkEnd w:id="27"/>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2019年度新疆伊犁州特克斯县阔克苏乡卫生院（事业单位）日常公用经费0.00万元，比上年增加0.00万元，增长0%，主要原因是无。</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outlineLvl w:val="2"/>
        <w:rPr>
          <w:rFonts w:ascii="黑体" w:hAnsi="黑体" w:eastAsia="黑体"/>
          <w:sz w:val="32"/>
          <w:szCs w:val="32"/>
        </w:rPr>
      </w:pPr>
      <w:bookmarkStart w:id="28" w:name="_Toc227"/>
      <w:bookmarkStart w:id="29" w:name="_Toc26704"/>
      <w:r>
        <w:rPr>
          <w:rFonts w:hint="eastAsia" w:ascii="黑体" w:hAnsi="黑体" w:eastAsia="黑体"/>
          <w:sz w:val="32"/>
          <w:szCs w:val="32"/>
        </w:rPr>
        <w:t>（二）政府采购情况</w:t>
      </w:r>
      <w:bookmarkEnd w:id="28"/>
      <w:bookmarkEnd w:id="29"/>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2019年度政府采购支出总额0.00万元，其中：政府采购货物支出0.00万元、政府采购工程支出0.00万元、政府采购服务支出0.00万元。</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ascii="仿宋_GB2312" w:eastAsia="仿宋_GB2312"/>
          <w:sz w:val="32"/>
          <w:szCs w:val="32"/>
        </w:rPr>
      </w:pPr>
      <w:bookmarkStart w:id="30" w:name="_Toc8391"/>
      <w:bookmarkStart w:id="31" w:name="_Toc4591"/>
      <w:r>
        <w:rPr>
          <w:rFonts w:hint="eastAsia" w:ascii="仿宋_GB2312" w:eastAsia="仿宋_GB2312"/>
          <w:sz w:val="32"/>
          <w:szCs w:val="32"/>
        </w:rPr>
        <w:t>授予中小企业合同金额0.00万元，占政府采购支出总额的0%，其中：授予小微企业合同金额0.00万元，占政府采购支出总额的0%。</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outlineLvl w:val="2"/>
        <w:rPr>
          <w:rFonts w:ascii="黑体" w:hAnsi="黑体" w:eastAsia="黑体"/>
          <w:sz w:val="32"/>
          <w:szCs w:val="32"/>
        </w:rPr>
      </w:pPr>
      <w:r>
        <w:rPr>
          <w:rFonts w:hint="eastAsia" w:ascii="黑体" w:hAnsi="黑体" w:eastAsia="黑体"/>
          <w:sz w:val="32"/>
          <w:szCs w:val="32"/>
        </w:rPr>
        <w:t>（三）国有资产占用情况说明</w:t>
      </w:r>
      <w:bookmarkEnd w:id="30"/>
      <w:bookmarkEnd w:id="31"/>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截止2019年12月31日，单位共有房屋974.95（平方米），价值240.94万元。车辆1辆，价值3.80万元，其中：副部（省）级及以上领导用车0辆、主要领导干部用车0辆、机要通信用车0辆、应急保障用车0辆、执法执勤用车0辆、特种专业技术用车0辆、离退休干部用车0辆、其他用车1辆，其他用车主要是：其他车辆1辆为公共卫生服务车；单位价值50万元以上通用设备1台（套）、单位价值100万元以上专用设备0台（套）。</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outlineLvl w:val="1"/>
        <w:rPr>
          <w:rFonts w:ascii="黑体" w:hAnsi="黑体" w:eastAsia="黑体" w:cs="宋体"/>
          <w:bCs/>
          <w:kern w:val="0"/>
          <w:sz w:val="32"/>
          <w:szCs w:val="32"/>
        </w:rPr>
      </w:pPr>
      <w:bookmarkStart w:id="32" w:name="_Toc11283"/>
      <w:bookmarkStart w:id="33" w:name="_Toc435"/>
      <w:r>
        <w:rPr>
          <w:rFonts w:hint="eastAsia" w:ascii="黑体" w:hAnsi="黑体" w:eastAsia="黑体" w:cs="宋体"/>
          <w:bCs/>
          <w:kern w:val="0"/>
          <w:sz w:val="32"/>
          <w:szCs w:val="32"/>
        </w:rPr>
        <w:t>十、预算绩效的情况说明</w:t>
      </w:r>
      <w:bookmarkEnd w:id="32"/>
      <w:bookmarkEnd w:id="33"/>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根据预算绩效管理要求，我单位2019年度开展预算绩效评价项目1个，共涉及资金14.77万元。预算绩效管理取得的成效：一是：基本药物是适应基本医疗卫生需求，医改政策惠及民生，满足辖区群众对村级医疗工作的需求；二是：基本公共卫生服务及全民体检服务面向群众免费提供服务，有效预防、控制、消除传染病发生，提高群众身体健康。发现的问题及原因：一是：健康教育宣传效果不够理想。虽然发放了一定数量的关于健康知识方面的宣传资料，并且通过开展健康讲座、宣传栏更新、个体化宣教、广播、电视播放健康宣教片等方式广泛开展健康宣教，但部分群众对健康宣教的目的和意义仍然不能领会；二是：基层医疗卫生机构专业技术人员缺乏，从事基本公共卫生服务项目的多为临聘人员，且承担工作内容种类繁多，工作人员流动性大，造成基本公共卫生服务项目工作在开展过程中出现质量问题。下一步改进措施：一是：进一步明确医疗机构管理职责，充分发挥业务指导、培训作用；二是：进一步提高基层医疗机构基本公共卫生服务项目工作质量。具体项目自评情况附项目支出绩效自评表。具体项目自评情况附项目支出绩效自评表。</w:t>
      </w:r>
    </w:p>
    <w:p>
      <w:pPr>
        <w:keepNext w:val="0"/>
        <w:keepLines w:val="0"/>
        <w:pageBreakBefore w:val="0"/>
        <w:widowControl w:val="0"/>
        <w:kinsoku/>
        <w:wordWrap/>
        <w:overflowPunct/>
        <w:topLinePunct w:val="0"/>
        <w:bidi w:val="0"/>
        <w:adjustRightInd/>
        <w:snapToGrid/>
        <w:spacing w:line="560" w:lineRule="exact"/>
        <w:ind w:firstLine="640" w:firstLineChars="200"/>
        <w:jc w:val="center"/>
        <w:textAlignment w:val="auto"/>
        <w:outlineLvl w:val="0"/>
        <w:rPr>
          <w:rFonts w:ascii="黑体" w:hAnsi="黑体" w:eastAsia="黑体"/>
          <w:sz w:val="32"/>
          <w:szCs w:val="32"/>
        </w:rPr>
      </w:pPr>
      <w:bookmarkStart w:id="34" w:name="_Toc24143"/>
      <w:bookmarkStart w:id="35" w:name="_Toc3250"/>
      <w:r>
        <w:rPr>
          <w:rFonts w:hint="eastAsia" w:ascii="黑体" w:hAnsi="黑体" w:eastAsia="黑体"/>
          <w:sz w:val="32"/>
          <w:szCs w:val="32"/>
        </w:rPr>
        <w:t>第三部分 专业名词解释</w:t>
      </w:r>
      <w:bookmarkEnd w:id="34"/>
      <w:bookmarkEnd w:id="35"/>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财政拨款收入：指同级财政当年拨付的资金。</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上级补助收入：指事业单位从主管部门和上级单位取得的非财政补助收入。</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事业收入：指事业单位开展专业业务活动及其辅助活动所取得的收入。</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附属单位上缴收入：指事业单位附属的独立核算单位按有关规定上缴的收入。</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其他收入：指除上述“财政拨款收入”、“事业收入”、“经营收入”、“附属单位上缴收入”等之外取得的收入。</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用事业基金弥补收支差额：指事业单位在当年的“财政拨款收入”、“财政拨款结转和结余资金”、“事业收入”、“事业单位经营收入”、“其他收入”不足以安排当年支出的情况下，使用以前年度积累的事业基金（即事业单位当年收支相抵后按国家规定提取、用于弥补以后年度收支差额的基金）弥补本年度收支缺口的资金。</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年初结转和结余：指以前年度支出预算因客观条件变化未执行完毕、结转到本年度按有关规定继续使用的资金，既包括财政拨款结转和结余，也包括事业收入、经营收入、其他收入的结转和结余。</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年末结转和结余：指本年度或以前年度预算安排、因客观条件发生变化无法按原计划实施，需要延迟到以后年度按有关规定继续使用的资金，既包括财政拨款结转和结余，也包括事业收入、经营收入、其他收入的结转和结余。</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基本支出：指为保障机构正常运转、完成日常工作任务而发生的人员支出和公用支出。</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项目支出：指在基本支出之外为完成特定行政任务和事业发展目标所发生的支出。</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对附属单位补助支出：指事业单位发生的用非财政预算资金对附属单位的补助支出。</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三公”经费：指用一般公共预算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bidi w:val="0"/>
        <w:adjustRightInd/>
        <w:snapToGrid/>
        <w:spacing w:line="560" w:lineRule="exact"/>
        <w:ind w:firstLine="640" w:firstLineChars="200"/>
        <w:jc w:val="center"/>
        <w:textAlignment w:val="auto"/>
        <w:outlineLvl w:val="0"/>
        <w:rPr>
          <w:rFonts w:ascii="黑体" w:hAnsi="黑体" w:eastAsia="黑体"/>
          <w:sz w:val="32"/>
          <w:szCs w:val="32"/>
        </w:rPr>
      </w:pPr>
      <w:bookmarkStart w:id="36" w:name="_Toc28903"/>
      <w:bookmarkStart w:id="37" w:name="_Toc22784"/>
      <w:r>
        <w:rPr>
          <w:rFonts w:hint="eastAsia" w:ascii="黑体" w:hAnsi="黑体" w:eastAsia="黑体"/>
          <w:sz w:val="32"/>
          <w:szCs w:val="32"/>
        </w:rPr>
        <w:t>第四部分 部门决算报表（见附表）</w:t>
      </w:r>
      <w:bookmarkEnd w:id="36"/>
      <w:bookmarkEnd w:id="37"/>
    </w:p>
    <w:p>
      <w:pPr>
        <w:keepNext w:val="0"/>
        <w:keepLines w:val="0"/>
        <w:pageBreakBefore w:val="0"/>
        <w:widowControl w:val="0"/>
        <w:kinsoku/>
        <w:wordWrap/>
        <w:overflowPunct/>
        <w:topLinePunct w:val="0"/>
        <w:bidi w:val="0"/>
        <w:adjustRightInd/>
        <w:snapToGrid/>
        <w:spacing w:line="560" w:lineRule="exact"/>
        <w:ind w:firstLine="640" w:firstLineChars="200"/>
        <w:textAlignment w:val="auto"/>
        <w:outlineLvl w:val="1"/>
        <w:rPr>
          <w:rFonts w:ascii="黑体" w:hAnsi="黑体" w:eastAsia="黑体" w:cs="宋体"/>
          <w:bCs/>
          <w:kern w:val="0"/>
          <w:sz w:val="32"/>
          <w:szCs w:val="32"/>
        </w:rPr>
      </w:pPr>
      <w:bookmarkStart w:id="38" w:name="_Toc2183"/>
      <w:bookmarkStart w:id="39" w:name="_Toc6062"/>
      <w:r>
        <w:rPr>
          <w:rFonts w:hint="eastAsia" w:ascii="黑体" w:hAnsi="黑体" w:eastAsia="黑体" w:cs="宋体"/>
          <w:bCs/>
          <w:kern w:val="0"/>
          <w:sz w:val="32"/>
          <w:szCs w:val="32"/>
        </w:rPr>
        <w:t>一、《收入支出决算总表》</w:t>
      </w:r>
      <w:bookmarkEnd w:id="38"/>
      <w:bookmarkEnd w:id="39"/>
    </w:p>
    <w:p>
      <w:pPr>
        <w:keepNext w:val="0"/>
        <w:keepLines w:val="0"/>
        <w:pageBreakBefore w:val="0"/>
        <w:widowControl w:val="0"/>
        <w:kinsoku/>
        <w:wordWrap/>
        <w:overflowPunct/>
        <w:topLinePunct w:val="0"/>
        <w:bidi w:val="0"/>
        <w:adjustRightInd/>
        <w:snapToGrid/>
        <w:spacing w:line="560" w:lineRule="exact"/>
        <w:ind w:firstLine="640" w:firstLineChars="200"/>
        <w:textAlignment w:val="auto"/>
        <w:outlineLvl w:val="1"/>
        <w:rPr>
          <w:rFonts w:ascii="黑体" w:hAnsi="黑体" w:eastAsia="黑体" w:cs="宋体"/>
          <w:bCs/>
          <w:kern w:val="0"/>
          <w:sz w:val="32"/>
          <w:szCs w:val="32"/>
        </w:rPr>
      </w:pPr>
      <w:bookmarkStart w:id="40" w:name="_Toc24532"/>
      <w:bookmarkStart w:id="41" w:name="_Toc30364"/>
      <w:r>
        <w:rPr>
          <w:rFonts w:hint="eastAsia" w:ascii="黑体" w:hAnsi="黑体" w:eastAsia="黑体" w:cs="宋体"/>
          <w:bCs/>
          <w:kern w:val="0"/>
          <w:sz w:val="32"/>
          <w:szCs w:val="32"/>
        </w:rPr>
        <w:t>二、《收入决算表》</w:t>
      </w:r>
      <w:bookmarkEnd w:id="40"/>
      <w:bookmarkEnd w:id="41"/>
    </w:p>
    <w:p>
      <w:pPr>
        <w:keepNext w:val="0"/>
        <w:keepLines w:val="0"/>
        <w:pageBreakBefore w:val="0"/>
        <w:widowControl w:val="0"/>
        <w:kinsoku/>
        <w:wordWrap/>
        <w:overflowPunct/>
        <w:topLinePunct w:val="0"/>
        <w:bidi w:val="0"/>
        <w:adjustRightInd/>
        <w:snapToGrid/>
        <w:spacing w:line="560" w:lineRule="exact"/>
        <w:ind w:firstLine="640" w:firstLineChars="200"/>
        <w:textAlignment w:val="auto"/>
        <w:outlineLvl w:val="1"/>
        <w:rPr>
          <w:rFonts w:ascii="黑体" w:hAnsi="黑体" w:eastAsia="黑体" w:cs="宋体"/>
          <w:bCs/>
          <w:kern w:val="0"/>
          <w:sz w:val="32"/>
          <w:szCs w:val="32"/>
        </w:rPr>
      </w:pPr>
      <w:bookmarkStart w:id="42" w:name="_Toc32434"/>
      <w:bookmarkStart w:id="43" w:name="_Toc21304"/>
      <w:r>
        <w:rPr>
          <w:rFonts w:hint="eastAsia" w:ascii="黑体" w:hAnsi="黑体" w:eastAsia="黑体" w:cs="宋体"/>
          <w:bCs/>
          <w:kern w:val="0"/>
          <w:sz w:val="32"/>
          <w:szCs w:val="32"/>
        </w:rPr>
        <w:t>三、《支出决算表》</w:t>
      </w:r>
      <w:bookmarkEnd w:id="42"/>
      <w:bookmarkEnd w:id="43"/>
    </w:p>
    <w:p>
      <w:pPr>
        <w:keepNext w:val="0"/>
        <w:keepLines w:val="0"/>
        <w:pageBreakBefore w:val="0"/>
        <w:widowControl w:val="0"/>
        <w:kinsoku/>
        <w:wordWrap/>
        <w:overflowPunct/>
        <w:topLinePunct w:val="0"/>
        <w:bidi w:val="0"/>
        <w:adjustRightInd/>
        <w:snapToGrid/>
        <w:spacing w:line="560" w:lineRule="exact"/>
        <w:ind w:firstLine="640" w:firstLineChars="200"/>
        <w:textAlignment w:val="auto"/>
        <w:outlineLvl w:val="1"/>
        <w:rPr>
          <w:rFonts w:ascii="黑体" w:hAnsi="黑体" w:eastAsia="黑体" w:cs="宋体"/>
          <w:bCs/>
          <w:kern w:val="0"/>
          <w:sz w:val="32"/>
          <w:szCs w:val="32"/>
        </w:rPr>
      </w:pPr>
      <w:bookmarkStart w:id="44" w:name="_Toc14238"/>
      <w:bookmarkStart w:id="45" w:name="_Toc28786"/>
      <w:r>
        <w:rPr>
          <w:rFonts w:hint="eastAsia" w:ascii="黑体" w:hAnsi="黑体" w:eastAsia="黑体" w:cs="宋体"/>
          <w:bCs/>
          <w:kern w:val="0"/>
          <w:sz w:val="32"/>
          <w:szCs w:val="32"/>
        </w:rPr>
        <w:t>四、《财政拨款收入支出决算总表》</w:t>
      </w:r>
      <w:bookmarkEnd w:id="44"/>
      <w:bookmarkEnd w:id="45"/>
    </w:p>
    <w:p>
      <w:pPr>
        <w:keepNext w:val="0"/>
        <w:keepLines w:val="0"/>
        <w:pageBreakBefore w:val="0"/>
        <w:widowControl w:val="0"/>
        <w:kinsoku/>
        <w:wordWrap/>
        <w:overflowPunct/>
        <w:topLinePunct w:val="0"/>
        <w:bidi w:val="0"/>
        <w:adjustRightInd/>
        <w:snapToGrid/>
        <w:spacing w:line="560" w:lineRule="exact"/>
        <w:ind w:firstLine="640" w:firstLineChars="200"/>
        <w:textAlignment w:val="auto"/>
        <w:outlineLvl w:val="1"/>
        <w:rPr>
          <w:rFonts w:ascii="黑体" w:hAnsi="黑体" w:eastAsia="黑体" w:cs="宋体"/>
          <w:bCs/>
          <w:kern w:val="0"/>
          <w:sz w:val="32"/>
          <w:szCs w:val="32"/>
        </w:rPr>
      </w:pPr>
      <w:bookmarkStart w:id="46" w:name="_Toc14869"/>
      <w:bookmarkStart w:id="47" w:name="_Toc10347"/>
      <w:r>
        <w:rPr>
          <w:rFonts w:hint="eastAsia" w:ascii="黑体" w:hAnsi="黑体" w:eastAsia="黑体" w:cs="宋体"/>
          <w:bCs/>
          <w:kern w:val="0"/>
          <w:sz w:val="32"/>
          <w:szCs w:val="32"/>
        </w:rPr>
        <w:t>五、《一般公共预算财政拨款支出决算表》</w:t>
      </w:r>
      <w:bookmarkEnd w:id="46"/>
      <w:bookmarkEnd w:id="47"/>
    </w:p>
    <w:p>
      <w:pPr>
        <w:keepNext w:val="0"/>
        <w:keepLines w:val="0"/>
        <w:pageBreakBefore w:val="0"/>
        <w:widowControl w:val="0"/>
        <w:kinsoku/>
        <w:wordWrap/>
        <w:overflowPunct/>
        <w:topLinePunct w:val="0"/>
        <w:bidi w:val="0"/>
        <w:adjustRightInd/>
        <w:snapToGrid/>
        <w:spacing w:line="560" w:lineRule="exact"/>
        <w:ind w:firstLine="640" w:firstLineChars="200"/>
        <w:textAlignment w:val="auto"/>
        <w:outlineLvl w:val="1"/>
        <w:rPr>
          <w:rFonts w:ascii="黑体" w:hAnsi="黑体" w:eastAsia="黑体" w:cs="宋体"/>
          <w:bCs/>
          <w:kern w:val="0"/>
          <w:sz w:val="32"/>
          <w:szCs w:val="32"/>
        </w:rPr>
      </w:pPr>
      <w:bookmarkStart w:id="48" w:name="_Toc8884"/>
      <w:bookmarkStart w:id="49" w:name="_Toc5626"/>
      <w:r>
        <w:rPr>
          <w:rFonts w:hint="eastAsia" w:ascii="黑体" w:hAnsi="黑体" w:eastAsia="黑体" w:cs="宋体"/>
          <w:bCs/>
          <w:kern w:val="0"/>
          <w:sz w:val="32"/>
          <w:szCs w:val="32"/>
        </w:rPr>
        <w:t>六、《一般公共预算财政拨款基本支出决算表》</w:t>
      </w:r>
      <w:bookmarkEnd w:id="48"/>
      <w:bookmarkEnd w:id="49"/>
    </w:p>
    <w:p>
      <w:pPr>
        <w:keepNext w:val="0"/>
        <w:keepLines w:val="0"/>
        <w:pageBreakBefore w:val="0"/>
        <w:widowControl w:val="0"/>
        <w:kinsoku/>
        <w:wordWrap/>
        <w:overflowPunct/>
        <w:topLinePunct w:val="0"/>
        <w:bidi w:val="0"/>
        <w:adjustRightInd/>
        <w:snapToGrid/>
        <w:spacing w:line="560" w:lineRule="exact"/>
        <w:ind w:firstLine="640" w:firstLineChars="200"/>
        <w:textAlignment w:val="auto"/>
        <w:outlineLvl w:val="1"/>
        <w:rPr>
          <w:rFonts w:ascii="黑体" w:hAnsi="黑体" w:eastAsia="黑体" w:cs="宋体"/>
          <w:bCs/>
          <w:kern w:val="0"/>
          <w:sz w:val="32"/>
          <w:szCs w:val="32"/>
        </w:rPr>
      </w:pPr>
      <w:bookmarkStart w:id="50" w:name="_Toc29106"/>
      <w:bookmarkStart w:id="51" w:name="_Toc32663"/>
      <w:r>
        <w:rPr>
          <w:rFonts w:hint="eastAsia" w:ascii="黑体" w:hAnsi="黑体" w:eastAsia="黑体" w:cs="宋体"/>
          <w:bCs/>
          <w:kern w:val="0"/>
          <w:sz w:val="32"/>
          <w:szCs w:val="32"/>
        </w:rPr>
        <w:t>七、《一般公共预算财政拨款“三公”经费支出决算表》</w:t>
      </w:r>
      <w:bookmarkEnd w:id="50"/>
      <w:bookmarkEnd w:id="51"/>
    </w:p>
    <w:p>
      <w:pPr>
        <w:keepNext w:val="0"/>
        <w:keepLines w:val="0"/>
        <w:pageBreakBefore w:val="0"/>
        <w:widowControl w:val="0"/>
        <w:kinsoku/>
        <w:wordWrap/>
        <w:overflowPunct/>
        <w:topLinePunct w:val="0"/>
        <w:bidi w:val="0"/>
        <w:adjustRightInd/>
        <w:snapToGrid/>
        <w:spacing w:line="560" w:lineRule="exact"/>
        <w:ind w:firstLine="640" w:firstLineChars="200"/>
        <w:textAlignment w:val="auto"/>
        <w:outlineLvl w:val="1"/>
        <w:rPr>
          <w:rFonts w:ascii="黑体" w:hAnsi="黑体" w:eastAsia="黑体" w:cs="宋体"/>
          <w:bCs/>
          <w:kern w:val="0"/>
          <w:sz w:val="32"/>
          <w:szCs w:val="32"/>
        </w:rPr>
      </w:pPr>
      <w:bookmarkStart w:id="52" w:name="_Toc7643"/>
      <w:bookmarkStart w:id="53" w:name="_Toc5453"/>
      <w:r>
        <w:rPr>
          <w:rFonts w:hint="eastAsia" w:ascii="黑体" w:hAnsi="黑体" w:eastAsia="黑体" w:cs="宋体"/>
          <w:bCs/>
          <w:kern w:val="0"/>
          <w:sz w:val="32"/>
          <w:szCs w:val="32"/>
        </w:rPr>
        <w:t>八、《政府性基金预算财政拨款收入支出决算表》</w:t>
      </w:r>
      <w:bookmarkEnd w:id="52"/>
      <w:bookmarkEnd w:id="53"/>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宋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EgzOFtwBAAC+AwAADgAAAAAAAAAB&#10;ACAAAAAeAQAAZHJzL2Uyb0RvYy54bWxQSwUGAAAAAAYABgBZAQAAbAUAAAAA&#10;">
              <v:fill on="f" focussize="0,0"/>
              <v:stroke on="f"/>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E49"/>
    <w:rsid w:val="00310A4F"/>
    <w:rsid w:val="004532E5"/>
    <w:rsid w:val="005D0E49"/>
    <w:rsid w:val="0131169A"/>
    <w:rsid w:val="01734C27"/>
    <w:rsid w:val="01DD6073"/>
    <w:rsid w:val="02014C29"/>
    <w:rsid w:val="02890C73"/>
    <w:rsid w:val="041C5E18"/>
    <w:rsid w:val="04AA63C1"/>
    <w:rsid w:val="04EE377F"/>
    <w:rsid w:val="051C631E"/>
    <w:rsid w:val="0562142B"/>
    <w:rsid w:val="06792773"/>
    <w:rsid w:val="074F280E"/>
    <w:rsid w:val="075B1482"/>
    <w:rsid w:val="075F768F"/>
    <w:rsid w:val="07BA7C7F"/>
    <w:rsid w:val="07C3443C"/>
    <w:rsid w:val="08476613"/>
    <w:rsid w:val="084876D1"/>
    <w:rsid w:val="09026D66"/>
    <w:rsid w:val="090B11F4"/>
    <w:rsid w:val="0A2E4EB6"/>
    <w:rsid w:val="0A611FB0"/>
    <w:rsid w:val="0A916600"/>
    <w:rsid w:val="0AC520F0"/>
    <w:rsid w:val="0ACE588D"/>
    <w:rsid w:val="0B21162A"/>
    <w:rsid w:val="0B557DD5"/>
    <w:rsid w:val="0BED1442"/>
    <w:rsid w:val="0C595DFB"/>
    <w:rsid w:val="0C7A5D15"/>
    <w:rsid w:val="0CD00AF9"/>
    <w:rsid w:val="0CFEBB4E"/>
    <w:rsid w:val="0D0A4F7E"/>
    <w:rsid w:val="0D0B27DC"/>
    <w:rsid w:val="0E003458"/>
    <w:rsid w:val="0E1F036C"/>
    <w:rsid w:val="0EB33F18"/>
    <w:rsid w:val="0F1410FB"/>
    <w:rsid w:val="0F923480"/>
    <w:rsid w:val="1056158D"/>
    <w:rsid w:val="10F929CB"/>
    <w:rsid w:val="10FF31A4"/>
    <w:rsid w:val="11450985"/>
    <w:rsid w:val="11CA45A9"/>
    <w:rsid w:val="11E8712A"/>
    <w:rsid w:val="11FE3AAA"/>
    <w:rsid w:val="122451E5"/>
    <w:rsid w:val="126B62A8"/>
    <w:rsid w:val="12951F13"/>
    <w:rsid w:val="12B1037D"/>
    <w:rsid w:val="12CC4CD9"/>
    <w:rsid w:val="12FA132E"/>
    <w:rsid w:val="13326CE6"/>
    <w:rsid w:val="14284AED"/>
    <w:rsid w:val="15CF1AC0"/>
    <w:rsid w:val="15D0456D"/>
    <w:rsid w:val="17083B88"/>
    <w:rsid w:val="1742163F"/>
    <w:rsid w:val="1805797E"/>
    <w:rsid w:val="18124080"/>
    <w:rsid w:val="182E453B"/>
    <w:rsid w:val="189A656F"/>
    <w:rsid w:val="198202DA"/>
    <w:rsid w:val="19AF7A44"/>
    <w:rsid w:val="1A6109EF"/>
    <w:rsid w:val="1AA56D2A"/>
    <w:rsid w:val="1B424E9E"/>
    <w:rsid w:val="1BB07761"/>
    <w:rsid w:val="1C12264D"/>
    <w:rsid w:val="1C2A54A9"/>
    <w:rsid w:val="1C3737FD"/>
    <w:rsid w:val="1C88403A"/>
    <w:rsid w:val="1CB729A5"/>
    <w:rsid w:val="1D34682A"/>
    <w:rsid w:val="1D4A73D5"/>
    <w:rsid w:val="1D9C2D67"/>
    <w:rsid w:val="1DAF458D"/>
    <w:rsid w:val="1F825A11"/>
    <w:rsid w:val="1FAC2CD6"/>
    <w:rsid w:val="205672DF"/>
    <w:rsid w:val="20DF6845"/>
    <w:rsid w:val="20FE4EBD"/>
    <w:rsid w:val="233B4784"/>
    <w:rsid w:val="236A6149"/>
    <w:rsid w:val="23B146B9"/>
    <w:rsid w:val="240038BA"/>
    <w:rsid w:val="240A65B7"/>
    <w:rsid w:val="250A7314"/>
    <w:rsid w:val="263D5951"/>
    <w:rsid w:val="26C3705A"/>
    <w:rsid w:val="26E147D1"/>
    <w:rsid w:val="27004B43"/>
    <w:rsid w:val="27B248A0"/>
    <w:rsid w:val="283F1644"/>
    <w:rsid w:val="287C6FB4"/>
    <w:rsid w:val="29770D57"/>
    <w:rsid w:val="29A000F0"/>
    <w:rsid w:val="29D21E13"/>
    <w:rsid w:val="2A053397"/>
    <w:rsid w:val="2AB554B8"/>
    <w:rsid w:val="2B0377CD"/>
    <w:rsid w:val="2B6B66AA"/>
    <w:rsid w:val="2BFE2EF0"/>
    <w:rsid w:val="2C1E18A5"/>
    <w:rsid w:val="2C604703"/>
    <w:rsid w:val="2D1136DF"/>
    <w:rsid w:val="2D284A4F"/>
    <w:rsid w:val="2D2B5CBF"/>
    <w:rsid w:val="2DA02D04"/>
    <w:rsid w:val="2DFD193C"/>
    <w:rsid w:val="2EC544A9"/>
    <w:rsid w:val="2F0C26B1"/>
    <w:rsid w:val="2F116303"/>
    <w:rsid w:val="2FC614E6"/>
    <w:rsid w:val="30236790"/>
    <w:rsid w:val="30802486"/>
    <w:rsid w:val="314D12BC"/>
    <w:rsid w:val="31BD13AC"/>
    <w:rsid w:val="31C63837"/>
    <w:rsid w:val="32082F98"/>
    <w:rsid w:val="32A6143E"/>
    <w:rsid w:val="336D09C0"/>
    <w:rsid w:val="354A37A9"/>
    <w:rsid w:val="36273CF4"/>
    <w:rsid w:val="36827C07"/>
    <w:rsid w:val="36C058A7"/>
    <w:rsid w:val="36E000FD"/>
    <w:rsid w:val="374146AF"/>
    <w:rsid w:val="37D36EBD"/>
    <w:rsid w:val="390B67F2"/>
    <w:rsid w:val="399731E4"/>
    <w:rsid w:val="3ADE39A4"/>
    <w:rsid w:val="3AFB1A4C"/>
    <w:rsid w:val="3B610B0E"/>
    <w:rsid w:val="3BF672B3"/>
    <w:rsid w:val="3BF67B6E"/>
    <w:rsid w:val="3C530331"/>
    <w:rsid w:val="3C8210D3"/>
    <w:rsid w:val="3CBB22B3"/>
    <w:rsid w:val="3CC7093B"/>
    <w:rsid w:val="3CC80DC0"/>
    <w:rsid w:val="3D1309DF"/>
    <w:rsid w:val="3D217D96"/>
    <w:rsid w:val="3D5275AC"/>
    <w:rsid w:val="3DED65A8"/>
    <w:rsid w:val="3E4F50AC"/>
    <w:rsid w:val="3F324BC0"/>
    <w:rsid w:val="40161B73"/>
    <w:rsid w:val="4079165E"/>
    <w:rsid w:val="41AD1AA2"/>
    <w:rsid w:val="41B20E4F"/>
    <w:rsid w:val="41D31F00"/>
    <w:rsid w:val="42B76840"/>
    <w:rsid w:val="43316970"/>
    <w:rsid w:val="4421165A"/>
    <w:rsid w:val="44467526"/>
    <w:rsid w:val="44CF4655"/>
    <w:rsid w:val="45A87853"/>
    <w:rsid w:val="45AD0B65"/>
    <w:rsid w:val="45DA2A28"/>
    <w:rsid w:val="460E65B4"/>
    <w:rsid w:val="46901EEE"/>
    <w:rsid w:val="469C74D2"/>
    <w:rsid w:val="46DC1114"/>
    <w:rsid w:val="46FA6D28"/>
    <w:rsid w:val="473F39FE"/>
    <w:rsid w:val="47801D21"/>
    <w:rsid w:val="47FF5A3B"/>
    <w:rsid w:val="4800639F"/>
    <w:rsid w:val="48F9688C"/>
    <w:rsid w:val="490B0284"/>
    <w:rsid w:val="492D17D3"/>
    <w:rsid w:val="4A1207ED"/>
    <w:rsid w:val="4A72098C"/>
    <w:rsid w:val="4A9D77CC"/>
    <w:rsid w:val="4AF5079B"/>
    <w:rsid w:val="4B345CA5"/>
    <w:rsid w:val="4B701753"/>
    <w:rsid w:val="4BEB2AE8"/>
    <w:rsid w:val="4C181618"/>
    <w:rsid w:val="4C6D3066"/>
    <w:rsid w:val="4CB3745D"/>
    <w:rsid w:val="4D391693"/>
    <w:rsid w:val="4DD406E5"/>
    <w:rsid w:val="4DF31F55"/>
    <w:rsid w:val="4E535897"/>
    <w:rsid w:val="4F195BC9"/>
    <w:rsid w:val="4F714843"/>
    <w:rsid w:val="4FCE528B"/>
    <w:rsid w:val="5004002B"/>
    <w:rsid w:val="500A528D"/>
    <w:rsid w:val="50D87915"/>
    <w:rsid w:val="50DB5F45"/>
    <w:rsid w:val="511D7E14"/>
    <w:rsid w:val="51554269"/>
    <w:rsid w:val="516A2E8A"/>
    <w:rsid w:val="517134A1"/>
    <w:rsid w:val="51BB37A4"/>
    <w:rsid w:val="52163B23"/>
    <w:rsid w:val="523D322D"/>
    <w:rsid w:val="52C01CAC"/>
    <w:rsid w:val="530335BC"/>
    <w:rsid w:val="535F2703"/>
    <w:rsid w:val="549741F3"/>
    <w:rsid w:val="56146D24"/>
    <w:rsid w:val="56547F9B"/>
    <w:rsid w:val="565B5DC2"/>
    <w:rsid w:val="568D63A8"/>
    <w:rsid w:val="569D71D3"/>
    <w:rsid w:val="570E289D"/>
    <w:rsid w:val="57211AEC"/>
    <w:rsid w:val="5813797A"/>
    <w:rsid w:val="58344842"/>
    <w:rsid w:val="58E4063C"/>
    <w:rsid w:val="58F356A0"/>
    <w:rsid w:val="58FB4926"/>
    <w:rsid w:val="59F82FFF"/>
    <w:rsid w:val="5A8C5C64"/>
    <w:rsid w:val="5B0A3C7C"/>
    <w:rsid w:val="5B4C7BA3"/>
    <w:rsid w:val="5C145D5F"/>
    <w:rsid w:val="5E256662"/>
    <w:rsid w:val="5E8D0FF0"/>
    <w:rsid w:val="5EA92E5B"/>
    <w:rsid w:val="5F312B5A"/>
    <w:rsid w:val="5F3A544C"/>
    <w:rsid w:val="5F421F4F"/>
    <w:rsid w:val="600C4334"/>
    <w:rsid w:val="607C007C"/>
    <w:rsid w:val="60EE637C"/>
    <w:rsid w:val="610F76A0"/>
    <w:rsid w:val="616F6C82"/>
    <w:rsid w:val="625B5AF2"/>
    <w:rsid w:val="62A91F52"/>
    <w:rsid w:val="63C07E3C"/>
    <w:rsid w:val="64350E40"/>
    <w:rsid w:val="64766BFD"/>
    <w:rsid w:val="647D0508"/>
    <w:rsid w:val="6537230D"/>
    <w:rsid w:val="656325C7"/>
    <w:rsid w:val="65BF2B26"/>
    <w:rsid w:val="65CF3090"/>
    <w:rsid w:val="65D36C17"/>
    <w:rsid w:val="65D57A52"/>
    <w:rsid w:val="668019BE"/>
    <w:rsid w:val="668147BE"/>
    <w:rsid w:val="67DD2925"/>
    <w:rsid w:val="69316E1A"/>
    <w:rsid w:val="69AD798C"/>
    <w:rsid w:val="69C70FA3"/>
    <w:rsid w:val="69E5430E"/>
    <w:rsid w:val="6A197EE3"/>
    <w:rsid w:val="6A4F6540"/>
    <w:rsid w:val="6A733F65"/>
    <w:rsid w:val="6AAD748A"/>
    <w:rsid w:val="6B4F02DD"/>
    <w:rsid w:val="6B68175F"/>
    <w:rsid w:val="6B8E27EF"/>
    <w:rsid w:val="6C360AF8"/>
    <w:rsid w:val="6C6B3009"/>
    <w:rsid w:val="6C6B3214"/>
    <w:rsid w:val="6C747BB9"/>
    <w:rsid w:val="6D3D14C4"/>
    <w:rsid w:val="6DF26FFC"/>
    <w:rsid w:val="6E714D7A"/>
    <w:rsid w:val="6ED34999"/>
    <w:rsid w:val="6F29157B"/>
    <w:rsid w:val="6F531BF4"/>
    <w:rsid w:val="701074C0"/>
    <w:rsid w:val="71833EC6"/>
    <w:rsid w:val="718D4E0D"/>
    <w:rsid w:val="71AE7AA3"/>
    <w:rsid w:val="71CA2249"/>
    <w:rsid w:val="721E4A5D"/>
    <w:rsid w:val="72EE56CB"/>
    <w:rsid w:val="738E33C3"/>
    <w:rsid w:val="73FB6630"/>
    <w:rsid w:val="750B5BF1"/>
    <w:rsid w:val="75B51FC0"/>
    <w:rsid w:val="75B60031"/>
    <w:rsid w:val="76DD091D"/>
    <w:rsid w:val="774B26E2"/>
    <w:rsid w:val="77ED6F44"/>
    <w:rsid w:val="77FE15DD"/>
    <w:rsid w:val="78224413"/>
    <w:rsid w:val="78FD1F20"/>
    <w:rsid w:val="79870A12"/>
    <w:rsid w:val="7A7632AD"/>
    <w:rsid w:val="7A8126D9"/>
    <w:rsid w:val="7AC8434A"/>
    <w:rsid w:val="7B3910B5"/>
    <w:rsid w:val="7B4C7884"/>
    <w:rsid w:val="7B902D83"/>
    <w:rsid w:val="7BAB7A6D"/>
    <w:rsid w:val="7D5B7B53"/>
    <w:rsid w:val="7F8F3BEC"/>
    <w:rsid w:val="7FD64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customStyle="1" w:styleId="10">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11">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2">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833</Words>
  <Characters>4752</Characters>
  <Lines>39</Lines>
  <Paragraphs>11</Paragraphs>
  <TotalTime>12</TotalTime>
  <ScaleCrop>false</ScaleCrop>
  <LinksUpToDate>false</LinksUpToDate>
  <CharactersWithSpaces>5574</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GXR</dc:creator>
  <cp:lastModifiedBy>微醺</cp:lastModifiedBy>
  <dcterms:modified xsi:type="dcterms:W3CDTF">2021-07-09T16:49:15Z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06112FC176484C37AD15F56A1C8E4FA7</vt:lpwstr>
  </property>
</Properties>
</file>