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9DC252E">
      <w:r>
        <w:br w:type="page"/>
      </w:r>
    </w:p>
    <w:p w14:paraId="1DACBE2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5EEF6EE">
      <w:pPr>
        <w:spacing w:line="640" w:lineRule="exact"/>
        <w:ind w:firstLine="640"/>
        <w:jc w:val="both"/>
        <w:outlineLvl w:val="2"/>
      </w:pPr>
      <w:r>
        <w:rPr>
          <w:rFonts w:ascii="黑体" w:hAnsi="黑体" w:eastAsia="黑体"/>
          <w:sz w:val="32"/>
        </w:rPr>
        <w:t>一、主要职能</w:t>
      </w:r>
    </w:p>
    <w:p w14:paraId="12C1817D">
      <w:pPr>
        <w:spacing w:line="580" w:lineRule="exact"/>
        <w:ind w:firstLine="640"/>
        <w:jc w:val="both"/>
      </w:pPr>
      <w:r>
        <w:rPr>
          <w:rFonts w:ascii="仿宋_GB2312" w:hAnsi="仿宋_GB2312" w:eastAsia="仿宋_GB2312"/>
          <w:sz w:val="32"/>
        </w:rPr>
        <w:t>(一)贯彻执行国家、自治区、自治州和县政府有关交通运输行业的方针、政策、法规，并组织实施和监督检查。</w:t>
      </w:r>
    </w:p>
    <w:p w14:paraId="1394A3C8">
      <w:pPr>
        <w:spacing w:line="580" w:lineRule="exact"/>
        <w:ind w:firstLine="640"/>
        <w:jc w:val="both"/>
      </w:pPr>
      <w:r>
        <w:rPr>
          <w:rFonts w:ascii="仿宋_GB2312" w:hAnsi="仿宋_GB2312" w:eastAsia="仿宋_GB2312"/>
          <w:sz w:val="32"/>
        </w:rPr>
        <w:t>(二)拟订全县交通运输发展规划、计划并监督实施</w:t>
      </w:r>
      <w:r>
        <w:rPr>
          <w:rFonts w:hint="eastAsia" w:ascii="仿宋_GB2312" w:hAnsi="仿宋_GB2312" w:eastAsia="仿宋_GB2312"/>
          <w:sz w:val="32"/>
          <w:lang w:eastAsia="zh-CN"/>
        </w:rPr>
        <w:t>；</w:t>
      </w:r>
      <w:r>
        <w:rPr>
          <w:rFonts w:ascii="仿宋_GB2312" w:hAnsi="仿宋_GB2312" w:eastAsia="仿宋_GB2312"/>
          <w:sz w:val="32"/>
        </w:rPr>
        <w:t>会同有关部门组织编制全县综合运输体系规划</w:t>
      </w:r>
      <w:r>
        <w:rPr>
          <w:rFonts w:hint="eastAsia" w:ascii="仿宋_GB2312" w:hAnsi="仿宋_GB2312" w:eastAsia="仿宋_GB2312"/>
          <w:sz w:val="32"/>
          <w:lang w:eastAsia="zh-CN"/>
        </w:rPr>
        <w:t>；</w:t>
      </w:r>
      <w:r>
        <w:rPr>
          <w:rFonts w:ascii="仿宋_GB2312" w:hAnsi="仿宋_GB2312" w:eastAsia="仿宋_GB2312"/>
          <w:sz w:val="32"/>
        </w:rPr>
        <w:t>参与拟订全县物流业发展战略与规划。</w:t>
      </w:r>
    </w:p>
    <w:p w14:paraId="5E8DF9BB">
      <w:pPr>
        <w:spacing w:line="580" w:lineRule="exact"/>
        <w:ind w:firstLine="640"/>
        <w:jc w:val="both"/>
      </w:pPr>
      <w:r>
        <w:rPr>
          <w:rFonts w:ascii="仿宋_GB2312" w:hAnsi="仿宋_GB2312" w:eastAsia="仿宋_GB2312"/>
          <w:sz w:val="32"/>
        </w:rPr>
        <w:t>(三)承担全县公路建设市场的监管责任，负责全县公路交通基础设施的规划、建设和管理。</w:t>
      </w:r>
    </w:p>
    <w:p w14:paraId="40CBA3BC">
      <w:pPr>
        <w:spacing w:line="580" w:lineRule="exact"/>
        <w:ind w:firstLine="640"/>
        <w:jc w:val="both"/>
      </w:pPr>
      <w:r>
        <w:rPr>
          <w:rFonts w:ascii="仿宋_GB2312" w:hAnsi="仿宋_GB2312" w:eastAsia="仿宋_GB2312"/>
          <w:sz w:val="32"/>
        </w:rPr>
        <w:t>(四)负责组织领导全县交通运输市场管理工作</w:t>
      </w:r>
      <w:r>
        <w:rPr>
          <w:rFonts w:hint="eastAsia" w:ascii="仿宋_GB2312" w:hAnsi="仿宋_GB2312" w:eastAsia="仿宋_GB2312"/>
          <w:sz w:val="32"/>
          <w:lang w:eastAsia="zh-CN"/>
        </w:rPr>
        <w:t>；</w:t>
      </w:r>
      <w:r>
        <w:rPr>
          <w:rFonts w:ascii="仿宋_GB2312" w:hAnsi="仿宋_GB2312" w:eastAsia="仿宋_GB2312"/>
          <w:sz w:val="32"/>
        </w:rPr>
        <w:t>承担全县运输线路、营运车辆、枢纽及运输站场的管理工作</w:t>
      </w:r>
      <w:r>
        <w:rPr>
          <w:rFonts w:hint="eastAsia" w:ascii="仿宋_GB2312" w:hAnsi="仿宋_GB2312" w:eastAsia="仿宋_GB2312"/>
          <w:sz w:val="32"/>
          <w:lang w:eastAsia="zh-CN"/>
        </w:rPr>
        <w:t>；</w:t>
      </w:r>
      <w:r>
        <w:rPr>
          <w:rFonts w:ascii="仿宋_GB2312" w:hAnsi="仿宋_GB2312" w:eastAsia="仿宋_GB2312"/>
          <w:sz w:val="32"/>
        </w:rPr>
        <w:t>负责公共交通、出租汽车行业管理</w:t>
      </w:r>
      <w:r>
        <w:rPr>
          <w:rFonts w:hint="eastAsia" w:ascii="仿宋_GB2312" w:hAnsi="仿宋_GB2312" w:eastAsia="仿宋_GB2312"/>
          <w:sz w:val="32"/>
          <w:lang w:eastAsia="zh-CN"/>
        </w:rPr>
        <w:t>；</w:t>
      </w:r>
      <w:r>
        <w:rPr>
          <w:rFonts w:ascii="仿宋_GB2312" w:hAnsi="仿宋_GB2312" w:eastAsia="仿宋_GB2312"/>
          <w:sz w:val="32"/>
        </w:rPr>
        <w:t>负责车辆维修、营运车辆综合性能检测、客货运输站场、运输服务、搬运装卸、汽车驾驶学校、机动车驾驶员培训工作的行业管理</w:t>
      </w:r>
      <w:r>
        <w:rPr>
          <w:rFonts w:hint="eastAsia" w:ascii="仿宋_GB2312" w:hAnsi="仿宋_GB2312" w:eastAsia="仿宋_GB2312"/>
          <w:sz w:val="32"/>
          <w:lang w:eastAsia="zh-CN"/>
        </w:rPr>
        <w:t>；</w:t>
      </w:r>
      <w:r>
        <w:rPr>
          <w:rFonts w:ascii="仿宋_GB2312" w:hAnsi="仿宋_GB2312" w:eastAsia="仿宋_GB2312"/>
          <w:sz w:val="32"/>
        </w:rPr>
        <w:t>负责全县公路、水路、邮政等多种运输的衔接和协调。</w:t>
      </w:r>
    </w:p>
    <w:p w14:paraId="0C99393A">
      <w:pPr>
        <w:spacing w:line="580" w:lineRule="exact"/>
        <w:ind w:firstLine="640"/>
        <w:jc w:val="both"/>
      </w:pPr>
      <w:r>
        <w:rPr>
          <w:rFonts w:ascii="仿宋_GB2312" w:hAnsi="仿宋_GB2312" w:eastAsia="仿宋_GB2312"/>
          <w:sz w:val="32"/>
        </w:rPr>
        <w:t>(五)负责全县公路养护管理和路政管理工作，依法保护公路路产路权，负责全县公路安全保护工作。</w:t>
      </w:r>
    </w:p>
    <w:p w14:paraId="3F88EFAA">
      <w:pPr>
        <w:spacing w:line="580" w:lineRule="exact"/>
        <w:ind w:firstLine="640"/>
        <w:jc w:val="both"/>
      </w:pPr>
      <w:r>
        <w:rPr>
          <w:rFonts w:ascii="仿宋_GB2312" w:hAnsi="仿宋_GB2312" w:eastAsia="仿宋_GB2312"/>
          <w:sz w:val="32"/>
        </w:rPr>
        <w:t>(六)负责全县农村公路建设、养护专项资金的管理、使用和监督，负责并指导全县交通行业财务、审计、统计工作。负责对交通运输行业国有资产的管理和保值增值。</w:t>
      </w:r>
    </w:p>
    <w:p w14:paraId="7EF67814">
      <w:pPr>
        <w:spacing w:line="580" w:lineRule="exact"/>
        <w:ind w:firstLine="640"/>
        <w:jc w:val="both"/>
      </w:pPr>
      <w:r>
        <w:rPr>
          <w:rFonts w:ascii="仿宋_GB2312" w:hAnsi="仿宋_GB2312" w:eastAsia="仿宋_GB2312"/>
          <w:sz w:val="32"/>
        </w:rPr>
        <w:t>(七)指导全县交通运输行业体制改革</w:t>
      </w:r>
      <w:r>
        <w:rPr>
          <w:rFonts w:hint="eastAsia" w:ascii="仿宋_GB2312" w:hAnsi="仿宋_GB2312" w:eastAsia="仿宋_GB2312"/>
          <w:sz w:val="32"/>
          <w:lang w:eastAsia="zh-CN"/>
        </w:rPr>
        <w:t>；</w:t>
      </w:r>
      <w:r>
        <w:rPr>
          <w:rFonts w:ascii="仿宋_GB2312" w:hAnsi="仿宋_GB2312" w:eastAsia="仿宋_GB2312"/>
          <w:sz w:val="32"/>
        </w:rPr>
        <w:t>拟订全县交通运输行业有关政策、准入制度、技术标准和运营规范并监督实施</w:t>
      </w:r>
      <w:r>
        <w:rPr>
          <w:rFonts w:hint="eastAsia" w:ascii="仿宋_GB2312" w:hAnsi="仿宋_GB2312" w:eastAsia="仿宋_GB2312"/>
          <w:sz w:val="32"/>
          <w:lang w:eastAsia="zh-CN"/>
        </w:rPr>
        <w:t>；</w:t>
      </w:r>
      <w:r>
        <w:rPr>
          <w:rFonts w:ascii="仿宋_GB2312" w:hAnsi="仿宋_GB2312" w:eastAsia="仿宋_GB2312"/>
          <w:sz w:val="32"/>
        </w:rPr>
        <w:t>会同有关部门培育和管理交通运输市场和交通基础设施建设市场，建立完善交通运输信息服务体系，维护全县交通运输行业的平等竞争秩序。会同有关部门制定全县交通运输行业价格，对涉及财政、土地、价格等方面的问题提出政策建议。</w:t>
      </w:r>
    </w:p>
    <w:p w14:paraId="0D6F3FD4">
      <w:pPr>
        <w:spacing w:line="580" w:lineRule="exact"/>
        <w:ind w:firstLine="640"/>
        <w:jc w:val="both"/>
      </w:pPr>
      <w:r>
        <w:rPr>
          <w:rFonts w:ascii="仿宋_GB2312" w:hAnsi="仿宋_GB2312" w:eastAsia="仿宋_GB2312"/>
          <w:sz w:val="32"/>
        </w:rPr>
        <w:t>(八)指导全县交通运输行业安全生产和应急管理工作，组织协调全县重点物资和紧急客货运输工作，承担交通战备工作。</w:t>
      </w:r>
    </w:p>
    <w:p w14:paraId="69379218">
      <w:pPr>
        <w:spacing w:line="580" w:lineRule="exact"/>
        <w:ind w:firstLine="640"/>
        <w:jc w:val="both"/>
      </w:pPr>
      <w:r>
        <w:rPr>
          <w:rFonts w:ascii="仿宋_GB2312" w:hAnsi="仿宋_GB2312" w:eastAsia="仿宋_GB2312"/>
          <w:sz w:val="32"/>
        </w:rPr>
        <w:t>(九)贯彻执行交通行业科技政策、技术标准和规范</w:t>
      </w:r>
      <w:r>
        <w:rPr>
          <w:rFonts w:hint="eastAsia" w:ascii="仿宋_GB2312" w:hAnsi="仿宋_GB2312" w:eastAsia="仿宋_GB2312"/>
          <w:sz w:val="32"/>
          <w:lang w:eastAsia="zh-CN"/>
        </w:rPr>
        <w:t>；</w:t>
      </w:r>
      <w:r>
        <w:rPr>
          <w:rFonts w:ascii="仿宋_GB2312" w:hAnsi="仿宋_GB2312" w:eastAsia="仿宋_GB2312"/>
          <w:sz w:val="32"/>
        </w:rPr>
        <w:t>引导全县交通运输行业优化结构、协调发展。指导全县交通运输信息化建设，监测分析运行情况。指导全县交通运输行业环境保护和节能减排工作。</w:t>
      </w:r>
    </w:p>
    <w:p w14:paraId="7647E76F">
      <w:pPr>
        <w:spacing w:line="580" w:lineRule="exact"/>
        <w:ind w:firstLine="640"/>
        <w:jc w:val="both"/>
      </w:pPr>
      <w:r>
        <w:rPr>
          <w:rFonts w:ascii="仿宋_GB2312" w:hAnsi="仿宋_GB2312" w:eastAsia="仿宋_GB2312"/>
          <w:sz w:val="32"/>
        </w:rPr>
        <w:t>(十)指导全县交通运输行业的法治宣传、行政复议、行政应诉、行政执法和监督工作。指导全县交通运输行业职业教育和培训工作。</w:t>
      </w:r>
    </w:p>
    <w:p w14:paraId="03776011">
      <w:pPr>
        <w:spacing w:line="580" w:lineRule="exact"/>
        <w:ind w:firstLine="640"/>
        <w:jc w:val="both"/>
      </w:pPr>
      <w:r>
        <w:rPr>
          <w:rFonts w:ascii="仿宋_GB2312" w:hAnsi="仿宋_GB2312" w:eastAsia="仿宋_GB2312"/>
          <w:sz w:val="32"/>
        </w:rPr>
        <w:t>(十一)指导全县交通运输行业开展国际经济技术合作与交流及利用外资工作。</w:t>
      </w:r>
    </w:p>
    <w:p w14:paraId="1BC6296C">
      <w:pPr>
        <w:spacing w:line="640" w:lineRule="exact"/>
        <w:ind w:firstLine="640"/>
        <w:jc w:val="both"/>
        <w:outlineLvl w:val="2"/>
      </w:pPr>
      <w:r>
        <w:rPr>
          <w:rFonts w:ascii="黑体" w:hAnsi="黑体" w:eastAsia="黑体"/>
          <w:sz w:val="32"/>
        </w:rPr>
        <w:t>二、机构设置及人员情况</w:t>
      </w:r>
    </w:p>
    <w:p w14:paraId="2F00945C">
      <w:pPr>
        <w:spacing w:line="580" w:lineRule="exact"/>
        <w:ind w:firstLine="640"/>
        <w:jc w:val="both"/>
      </w:pPr>
      <w:r>
        <w:rPr>
          <w:rFonts w:ascii="仿宋_GB2312" w:hAnsi="仿宋_GB2312" w:eastAsia="仿宋_GB2312"/>
          <w:sz w:val="32"/>
        </w:rPr>
        <w:t>特克斯县交通运输局2024年度，实有人数39人，其中：在职人员29人，增加2人；离休人员0人，增加0人；退休人员10人,增加0人。</w:t>
      </w:r>
    </w:p>
    <w:p w14:paraId="595B8B9C">
      <w:pPr>
        <w:spacing w:line="580" w:lineRule="exact"/>
        <w:ind w:firstLine="640"/>
        <w:jc w:val="both"/>
      </w:pPr>
      <w:r>
        <w:rPr>
          <w:rFonts w:ascii="仿宋_GB2312" w:hAnsi="仿宋_GB2312" w:eastAsia="仿宋_GB2312"/>
          <w:sz w:val="32"/>
        </w:rPr>
        <w:t>特克斯县交通运输局无下属预算</w:t>
      </w:r>
      <w:r>
        <w:rPr>
          <w:rFonts w:hint="eastAsia" w:ascii="仿宋_GB2312" w:hAnsi="仿宋_GB2312" w:eastAsia="仿宋_GB2312"/>
          <w:sz w:val="32"/>
          <w:lang w:eastAsia="zh-CN"/>
        </w:rPr>
        <w:t>单位</w:t>
      </w:r>
      <w:r>
        <w:rPr>
          <w:rFonts w:ascii="仿宋_GB2312" w:hAnsi="仿宋_GB2312" w:eastAsia="仿宋_GB2312"/>
          <w:sz w:val="32"/>
        </w:rPr>
        <w:t>，下设1个科室，分别是：综合业务科。</w:t>
      </w:r>
    </w:p>
    <w:p w14:paraId="453902DE">
      <w:r>
        <w:br w:type="page"/>
      </w:r>
    </w:p>
    <w:p w14:paraId="21A25319">
      <w:pPr>
        <w:spacing w:line="240" w:lineRule="auto"/>
        <w:jc w:val="center"/>
        <w:outlineLvl w:val="1"/>
      </w:pPr>
      <w:r>
        <w:rPr>
          <w:rFonts w:ascii="黑体" w:hAnsi="黑体" w:eastAsia="黑体"/>
          <w:sz w:val="32"/>
        </w:rPr>
        <w:t>第二部分 部门决算情况说明</w:t>
      </w:r>
    </w:p>
    <w:p w14:paraId="3B247598">
      <w:pPr>
        <w:spacing w:line="640" w:lineRule="exact"/>
        <w:ind w:firstLine="640"/>
        <w:jc w:val="both"/>
        <w:outlineLvl w:val="2"/>
      </w:pPr>
      <w:r>
        <w:rPr>
          <w:rFonts w:ascii="黑体" w:hAnsi="黑体" w:eastAsia="黑体"/>
          <w:sz w:val="32"/>
        </w:rPr>
        <w:t>一、收入支出决算总体情况说明</w:t>
      </w:r>
    </w:p>
    <w:p w14:paraId="119F4577">
      <w:pPr>
        <w:spacing w:line="580" w:lineRule="exact"/>
        <w:ind w:firstLine="640"/>
        <w:jc w:val="both"/>
      </w:pPr>
      <w:r>
        <w:rPr>
          <w:rFonts w:ascii="仿宋_GB2312" w:hAnsi="仿宋_GB2312" w:eastAsia="仿宋_GB2312"/>
          <w:b/>
          <w:sz w:val="32"/>
        </w:rPr>
        <w:t>2024年度收入总计13,740.69万元，</w:t>
      </w:r>
      <w:r>
        <w:rPr>
          <w:rFonts w:ascii="仿宋_GB2312" w:hAnsi="仿宋_GB2312" w:eastAsia="仿宋_GB2312"/>
          <w:b w:val="0"/>
          <w:sz w:val="32"/>
        </w:rPr>
        <w:t>其中：本年收入合计13,740.69万元，使用非财政拨款结余（含专用结余）0.00万元，年初结转和结余0.00万元。</w:t>
      </w:r>
    </w:p>
    <w:p w14:paraId="4AB6A2BF">
      <w:pPr>
        <w:spacing w:line="580" w:lineRule="exact"/>
        <w:ind w:firstLine="640"/>
        <w:jc w:val="both"/>
      </w:pPr>
      <w:r>
        <w:rPr>
          <w:rFonts w:ascii="仿宋_GB2312" w:hAnsi="仿宋_GB2312" w:eastAsia="仿宋_GB2312"/>
          <w:b/>
          <w:sz w:val="32"/>
        </w:rPr>
        <w:t>2024年度支出总计13,740.69万元，</w:t>
      </w:r>
      <w:r>
        <w:rPr>
          <w:rFonts w:ascii="仿宋_GB2312" w:hAnsi="仿宋_GB2312" w:eastAsia="仿宋_GB2312"/>
          <w:b w:val="0"/>
          <w:sz w:val="32"/>
        </w:rPr>
        <w:t>其中：本年支出合计</w:t>
      </w:r>
      <w:r>
        <w:rPr>
          <w:rFonts w:ascii="仿宋_GB2312" w:hAnsi="仿宋_GB2312" w:eastAsia="仿宋_GB2312"/>
          <w:b w:val="0"/>
          <w:w w:val="97"/>
          <w:sz w:val="32"/>
        </w:rPr>
        <w:t>13,740.69万元，结余分配0.00万元，年末结转和结余0.00万元。</w:t>
      </w:r>
    </w:p>
    <w:p w14:paraId="74AB7F19">
      <w:pPr>
        <w:spacing w:line="580" w:lineRule="exact"/>
        <w:ind w:firstLine="640"/>
        <w:jc w:val="both"/>
      </w:pPr>
      <w:r>
        <w:rPr>
          <w:rFonts w:ascii="仿宋_GB2312" w:hAnsi="仿宋_GB2312" w:eastAsia="仿宋_GB2312"/>
          <w:b w:val="0"/>
          <w:sz w:val="32"/>
        </w:rPr>
        <w:t>收入支出总体与上年相比，增加6,402.43万元，增长87.25%，主要原因是：本年增加推动大规模设备更新和消费品以旧换新项目、伊犁州特克斯县综合物流园基础设施建设项目、村组道路建设项目第一合同段村组道路建设资金，农村公路建设项目第三合同段马场大桥至喀拉萨依村道路建设资金、农村公路建设项目第一合同段、第二合同段资金，乔拉克铁热克乡塔斯巴斯陶村阔克铁热克乡平安村道路资金等。</w:t>
      </w:r>
    </w:p>
    <w:p w14:paraId="34462B22">
      <w:pPr>
        <w:spacing w:line="640" w:lineRule="exact"/>
        <w:ind w:firstLine="640"/>
        <w:jc w:val="both"/>
        <w:outlineLvl w:val="2"/>
      </w:pPr>
      <w:r>
        <w:rPr>
          <w:rFonts w:ascii="黑体" w:hAnsi="黑体" w:eastAsia="黑体"/>
          <w:sz w:val="32"/>
        </w:rPr>
        <w:t>二、收入决算情况说明</w:t>
      </w:r>
    </w:p>
    <w:p w14:paraId="003F48F3">
      <w:pPr>
        <w:spacing w:line="580" w:lineRule="exact"/>
        <w:ind w:firstLine="640"/>
        <w:jc w:val="both"/>
      </w:pPr>
      <w:r>
        <w:rPr>
          <w:rFonts w:ascii="仿宋_GB2312" w:hAnsi="仿宋_GB2312" w:eastAsia="仿宋_GB2312"/>
          <w:b/>
          <w:sz w:val="32"/>
        </w:rPr>
        <w:t>本年收入13,740.69万元，</w:t>
      </w:r>
      <w:r>
        <w:rPr>
          <w:rFonts w:ascii="仿宋_GB2312" w:hAnsi="仿宋_GB2312" w:eastAsia="仿宋_GB2312"/>
          <w:b w:val="0"/>
          <w:sz w:val="32"/>
        </w:rPr>
        <w:t>其中：财政拨款收入13,740.69万元，占100.00%；上级补助收入0.00万元，占0.00%；事业收入0.00万元，占0.00%；经营收入0.00万元，占0.00%；附属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07739D1D">
      <w:pPr>
        <w:spacing w:line="640" w:lineRule="exact"/>
        <w:ind w:firstLine="640"/>
        <w:jc w:val="both"/>
        <w:outlineLvl w:val="2"/>
      </w:pPr>
      <w:r>
        <w:rPr>
          <w:rFonts w:ascii="黑体" w:hAnsi="黑体" w:eastAsia="黑体"/>
          <w:sz w:val="32"/>
        </w:rPr>
        <w:t>三、支出决算情况说明</w:t>
      </w:r>
    </w:p>
    <w:p w14:paraId="494C83AA">
      <w:pPr>
        <w:spacing w:line="580" w:lineRule="exact"/>
        <w:ind w:firstLine="640"/>
        <w:jc w:val="both"/>
      </w:pPr>
      <w:r>
        <w:rPr>
          <w:rFonts w:ascii="仿宋_GB2312" w:hAnsi="仿宋_GB2312" w:eastAsia="仿宋_GB2312"/>
          <w:b/>
          <w:sz w:val="32"/>
        </w:rPr>
        <w:t>本年支出13,740.69万元，</w:t>
      </w:r>
      <w:r>
        <w:rPr>
          <w:rFonts w:ascii="仿宋_GB2312" w:hAnsi="仿宋_GB2312" w:eastAsia="仿宋_GB2312"/>
          <w:b w:val="0"/>
          <w:sz w:val="32"/>
        </w:rPr>
        <w:t>其中：基本支出411.49万元，占2.99%；项目支出13,329.20万元，占97.01%；上缴上级支出0.00万元，占0.00%；经营支出0.00万元，占0.00%；对附属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9483493">
      <w:pPr>
        <w:spacing w:line="640" w:lineRule="exact"/>
        <w:ind w:firstLine="640"/>
        <w:jc w:val="both"/>
        <w:outlineLvl w:val="2"/>
      </w:pPr>
      <w:r>
        <w:rPr>
          <w:rFonts w:ascii="黑体" w:hAnsi="黑体" w:eastAsia="黑体"/>
          <w:sz w:val="32"/>
        </w:rPr>
        <w:t>四、财政拨款收入支出决算总体情况说明</w:t>
      </w:r>
    </w:p>
    <w:p w14:paraId="6C24A970">
      <w:pPr>
        <w:spacing w:line="580" w:lineRule="exact"/>
        <w:ind w:firstLine="640"/>
        <w:jc w:val="both"/>
      </w:pPr>
      <w:r>
        <w:rPr>
          <w:rFonts w:ascii="仿宋_GB2312" w:hAnsi="仿宋_GB2312" w:eastAsia="仿宋_GB2312"/>
          <w:b/>
          <w:sz w:val="32"/>
        </w:rPr>
        <w:t>2024年度财政拨款收入总计13,740.69万元，</w:t>
      </w:r>
      <w:r>
        <w:rPr>
          <w:rFonts w:ascii="仿宋_GB2312" w:hAnsi="仿宋_GB2312" w:eastAsia="仿宋_GB2312"/>
          <w:b w:val="0"/>
          <w:sz w:val="32"/>
        </w:rPr>
        <w:t>其中：年初财政拨款结转和结余0.00万元，本年财政拨款收入13,740.69万元。</w:t>
      </w:r>
      <w:r>
        <w:rPr>
          <w:rFonts w:ascii="仿宋_GB2312" w:hAnsi="仿宋_GB2312" w:eastAsia="仿宋_GB2312"/>
          <w:b/>
          <w:sz w:val="32"/>
        </w:rPr>
        <w:t>财政拨款支出总计13,740.69万元，</w:t>
      </w:r>
      <w:r>
        <w:rPr>
          <w:rFonts w:ascii="仿宋_GB2312" w:hAnsi="仿宋_GB2312" w:eastAsia="仿宋_GB2312"/>
          <w:b w:val="0"/>
          <w:sz w:val="32"/>
        </w:rPr>
        <w:t>其中：年末财政拨款结转和结余0.00万元，本年财政拨款支出13,740.69万元。</w:t>
      </w:r>
    </w:p>
    <w:p w14:paraId="333039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6,402.43万元，增长87.25%，主要原因是：本年增加推动大规模设备更新和消费品以旧换新项目、伊犁州特克斯县综合物流园基础设施建设项目、村组道路建设项目第一合同段村组道路建设资金，农村公路建设项目第三合同段马场大桥至喀拉萨依村道路建设资金、农村公路建设项目第一合同段、第二合同段资金，乔拉克铁热克乡塔斯巴斯陶村阔克铁热克乡平安村道路资金等。</w:t>
      </w:r>
      <w:r>
        <w:rPr>
          <w:rFonts w:ascii="仿宋_GB2312" w:hAnsi="仿宋_GB2312" w:eastAsia="仿宋_GB2312"/>
          <w:b/>
          <w:sz w:val="32"/>
        </w:rPr>
        <w:t>与年初预算相比，</w:t>
      </w:r>
      <w:r>
        <w:rPr>
          <w:rFonts w:ascii="仿宋_GB2312" w:hAnsi="仿宋_GB2312" w:eastAsia="仿宋_GB2312"/>
          <w:b w:val="0"/>
          <w:sz w:val="32"/>
        </w:rPr>
        <w:t>年初预算数8,172.80万元，决算数13,740.69万元，预决算差异率68.13%，主要原因是：年中追加村组道路建设项目第一合同段村组道路建设资金，农村公路建设项目第三合同段马场大桥至喀拉萨依村道路建设资金，农村公路建设项目第一合同段、第二合同段资金，乔拉克铁热克乡塔斯巴斯陶村阔克铁热克乡平安村道路资金，推动大规模设备更新和消费品以旧换新项目，导致预决算存在差异。</w:t>
      </w:r>
    </w:p>
    <w:p w14:paraId="7AFA9D5D">
      <w:pPr>
        <w:spacing w:line="640" w:lineRule="exact"/>
        <w:ind w:firstLine="640"/>
        <w:jc w:val="both"/>
        <w:outlineLvl w:val="2"/>
      </w:pPr>
      <w:r>
        <w:rPr>
          <w:rFonts w:ascii="黑体" w:hAnsi="黑体" w:eastAsia="黑体"/>
          <w:sz w:val="32"/>
        </w:rPr>
        <w:t>五、一般公共预算财政拨款支出决算情况说明</w:t>
      </w:r>
    </w:p>
    <w:p w14:paraId="4B905113">
      <w:pPr>
        <w:spacing w:line="640" w:lineRule="exact"/>
        <w:ind w:firstLine="640"/>
        <w:jc w:val="both"/>
        <w:outlineLvl w:val="3"/>
      </w:pPr>
      <w:r>
        <w:rPr>
          <w:rFonts w:ascii="楷体_GB2312" w:hAnsi="楷体_GB2312" w:eastAsia="楷体_GB2312"/>
          <w:b/>
          <w:sz w:val="32"/>
        </w:rPr>
        <w:t>（一）一般公共预算财政拨款支出决算总体情况</w:t>
      </w:r>
    </w:p>
    <w:p w14:paraId="60C34291">
      <w:pPr>
        <w:spacing w:line="580" w:lineRule="exact"/>
        <w:ind w:firstLine="640"/>
        <w:jc w:val="both"/>
      </w:pPr>
      <w:r>
        <w:rPr>
          <w:rFonts w:ascii="仿宋_GB2312" w:hAnsi="仿宋_GB2312" w:eastAsia="仿宋_GB2312"/>
          <w:b/>
          <w:sz w:val="32"/>
        </w:rPr>
        <w:t>2024年度一般公共预算财政拨款支出9,160.59万元，</w:t>
      </w:r>
      <w:r>
        <w:rPr>
          <w:rFonts w:ascii="仿宋_GB2312" w:hAnsi="仿宋_GB2312" w:eastAsia="仿宋_GB2312"/>
          <w:b w:val="0"/>
          <w:sz w:val="32"/>
        </w:rPr>
        <w:t>占本年支出合计的66.67%。</w:t>
      </w:r>
      <w:r>
        <w:rPr>
          <w:rFonts w:ascii="仿宋_GB2312" w:hAnsi="仿宋_GB2312" w:eastAsia="仿宋_GB2312"/>
          <w:b/>
          <w:sz w:val="32"/>
        </w:rPr>
        <w:t>与上年相比，</w:t>
      </w:r>
      <w:r>
        <w:rPr>
          <w:rFonts w:ascii="仿宋_GB2312" w:hAnsi="仿宋_GB2312" w:eastAsia="仿宋_GB2312"/>
          <w:b w:val="0"/>
          <w:sz w:val="32"/>
        </w:rPr>
        <w:t>增加3,425.34万元，增长59.72%，主要原因是：本年增加村组道路建设项目第一合同段村组道路建设资金，农村公路建设项目第三合同段马场大桥至喀拉萨依村道路建设资金、农村公路建设项目第一合同段、第二合同段资金，乔拉克铁热克乡塔斯巴斯陶村阔克铁热克乡平安村道路资金等。</w:t>
      </w:r>
      <w:r>
        <w:rPr>
          <w:rFonts w:ascii="仿宋_GB2312" w:hAnsi="仿宋_GB2312" w:eastAsia="仿宋_GB2312"/>
          <w:b/>
          <w:sz w:val="32"/>
        </w:rPr>
        <w:t>与年初预算相比,</w:t>
      </w:r>
      <w:r>
        <w:rPr>
          <w:rFonts w:ascii="仿宋_GB2312" w:hAnsi="仿宋_GB2312" w:eastAsia="仿宋_GB2312"/>
          <w:b w:val="0"/>
          <w:sz w:val="32"/>
        </w:rPr>
        <w:t>年初预算数3,712.80万元，决算数9,160.59万元，预决算差异率146.73%，主要原因是：年中追加村组道路建设项目第一合同段村组道路建设资金，农村公路建设项目第三合同段马场大桥至喀拉萨依村道路建设资金，农村公路建设项目第一合同段、第二合同段资金，乔拉克铁热克乡塔斯巴斯陶村阔克铁热克乡平安村道路资金，导致预决算存在差异。</w:t>
      </w:r>
    </w:p>
    <w:p w14:paraId="6C07A3E9">
      <w:pPr>
        <w:spacing w:line="640" w:lineRule="exact"/>
        <w:ind w:firstLine="640"/>
        <w:jc w:val="both"/>
        <w:outlineLvl w:val="3"/>
      </w:pPr>
      <w:r>
        <w:rPr>
          <w:rFonts w:ascii="楷体_GB2312" w:hAnsi="楷体_GB2312" w:eastAsia="楷体_GB2312"/>
          <w:b/>
          <w:sz w:val="32"/>
        </w:rPr>
        <w:t>（二）一般公共预算财政拨款支出决算结构情况</w:t>
      </w:r>
    </w:p>
    <w:p w14:paraId="5D972F44">
      <w:pPr>
        <w:spacing w:line="580" w:lineRule="exact"/>
        <w:ind w:firstLine="640"/>
        <w:jc w:val="both"/>
      </w:pPr>
      <w:r>
        <w:rPr>
          <w:rFonts w:ascii="仿宋_GB2312" w:hAnsi="仿宋_GB2312" w:eastAsia="仿宋_GB2312"/>
          <w:b w:val="0"/>
          <w:sz w:val="32"/>
        </w:rPr>
        <w:t>1.社会保障和就业支出(类)41.38万元,占0.45%。</w:t>
      </w:r>
    </w:p>
    <w:p w14:paraId="6AD36EBA">
      <w:pPr>
        <w:spacing w:line="580" w:lineRule="exact"/>
        <w:ind w:firstLine="640"/>
        <w:jc w:val="both"/>
      </w:pPr>
      <w:r>
        <w:rPr>
          <w:rFonts w:ascii="仿宋_GB2312" w:hAnsi="仿宋_GB2312" w:eastAsia="仿宋_GB2312"/>
          <w:b w:val="0"/>
          <w:sz w:val="32"/>
        </w:rPr>
        <w:t>2.卫生健康支出(类)17.72万元,占0.19%。</w:t>
      </w:r>
    </w:p>
    <w:p w14:paraId="6E94B812">
      <w:pPr>
        <w:spacing w:line="580" w:lineRule="exact"/>
        <w:ind w:firstLine="640"/>
        <w:jc w:val="both"/>
      </w:pPr>
      <w:r>
        <w:rPr>
          <w:rFonts w:ascii="仿宋_GB2312" w:hAnsi="仿宋_GB2312" w:eastAsia="仿宋_GB2312"/>
          <w:b w:val="0"/>
          <w:sz w:val="32"/>
        </w:rPr>
        <w:t>3.农林水支出(类)3,943.00万元,占43.04%。</w:t>
      </w:r>
    </w:p>
    <w:p w14:paraId="0C7B87C3">
      <w:pPr>
        <w:spacing w:line="580" w:lineRule="exact"/>
        <w:ind w:firstLine="640"/>
        <w:jc w:val="both"/>
      </w:pPr>
      <w:r>
        <w:rPr>
          <w:rFonts w:ascii="仿宋_GB2312" w:hAnsi="仿宋_GB2312" w:eastAsia="仿宋_GB2312"/>
          <w:b w:val="0"/>
          <w:sz w:val="32"/>
        </w:rPr>
        <w:t>4.交通运输支出(类)5,126.46万元,占55.96%。</w:t>
      </w:r>
    </w:p>
    <w:p w14:paraId="4FC3DBDA">
      <w:pPr>
        <w:spacing w:line="580" w:lineRule="exact"/>
        <w:ind w:firstLine="640"/>
        <w:jc w:val="both"/>
      </w:pPr>
      <w:r>
        <w:rPr>
          <w:rFonts w:ascii="仿宋_GB2312" w:hAnsi="仿宋_GB2312" w:eastAsia="仿宋_GB2312"/>
          <w:b w:val="0"/>
          <w:sz w:val="32"/>
        </w:rPr>
        <w:t>5.住房保障支出(类)32.03万元,占0.35%。</w:t>
      </w:r>
    </w:p>
    <w:p w14:paraId="64B23752">
      <w:pPr>
        <w:spacing w:line="640" w:lineRule="exact"/>
        <w:ind w:firstLine="640"/>
        <w:jc w:val="both"/>
        <w:outlineLvl w:val="3"/>
      </w:pPr>
      <w:r>
        <w:rPr>
          <w:rFonts w:ascii="楷体_GB2312" w:hAnsi="楷体_GB2312" w:eastAsia="楷体_GB2312"/>
          <w:b/>
          <w:sz w:val="32"/>
        </w:rPr>
        <w:t>（三）一般公共预算财政拨款支出决算具体情况</w:t>
      </w:r>
    </w:p>
    <w:p w14:paraId="5B02B3B0">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基本养老保险缴费支出(项):支出决算数为41.38万元，比上年决算增加8.29万元，增长25.05%,主要原因是：本年在职人员增加，人员工资调增，养老保险缴费较上年增加。</w:t>
      </w:r>
    </w:p>
    <w:p w14:paraId="7D46E7DF">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职业年金缴费支出(项):支出决算数为0.00万元，比上年决算减少6.06万元，下降100.00%,主要原因是：本年无新增退休人员，职业年金缴费支出减少。</w:t>
      </w:r>
    </w:p>
    <w:p w14:paraId="17F977C2">
      <w:pPr>
        <w:spacing w:line="580" w:lineRule="exact"/>
        <w:ind w:firstLine="640"/>
        <w:jc w:val="both"/>
      </w:pPr>
      <w:r>
        <w:rPr>
          <w:rFonts w:ascii="仿宋_GB2312" w:hAnsi="仿宋_GB2312" w:eastAsia="仿宋_GB2312"/>
          <w:b w:val="0"/>
          <w:sz w:val="32"/>
        </w:rPr>
        <w:t>3.社会保障和就业支出(类)抚恤(款)死亡抚恤(项):支出决算数为0.00万元，比上年决算减少22.69万元，下降100.00%,主要原因是：本年无退休去世人员，死亡抚恤支出减少。</w:t>
      </w:r>
    </w:p>
    <w:p w14:paraId="2333C687">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医疗(项):支出决算数为10.12万元，比上年决算增加2.55万元，增长33.69%,主要原因是：本年在职人员增加，人员工资调增，行政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医疗支出较上年增加。</w:t>
      </w:r>
    </w:p>
    <w:p w14:paraId="53915681">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医疗(项):支出决算数为7.04万元，比上年决算增加3.39万元，增长92.88%,主要原因是：本年在职人员增加，人员工资调增，事业医疗支出较上年增加。</w:t>
      </w:r>
    </w:p>
    <w:p w14:paraId="6B0F3FB2">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医疗(款)公务员医疗补助(项):支出决算数为0.22万元，比上年决算减少0.01万元，下降4.35%,主要原因是：</w:t>
      </w:r>
      <w:r>
        <w:rPr>
          <w:rFonts w:hint="eastAsia" w:ascii="仿宋_GB2312" w:hAnsi="仿宋_GB2312" w:eastAsia="仿宋_GB2312"/>
          <w:b w:val="0"/>
          <w:sz w:val="32"/>
        </w:rPr>
        <w:t>本年在职人员调入调出，人员职级不同，缴费基数不同，导致公务员医疗补助较上年减少</w:t>
      </w:r>
      <w:r>
        <w:rPr>
          <w:rFonts w:ascii="仿宋_GB2312" w:hAnsi="仿宋_GB2312" w:eastAsia="仿宋_GB2312"/>
          <w:b w:val="0"/>
          <w:sz w:val="32"/>
        </w:rPr>
        <w:t>。</w:t>
      </w:r>
    </w:p>
    <w:p w14:paraId="4FB95D55">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医疗支出(项):支出决算数为0.33万元，比上年决算减少0.08万元，下降19.51%,主要原因是：</w:t>
      </w:r>
      <w:r>
        <w:rPr>
          <w:rFonts w:hint="eastAsia" w:ascii="仿宋_GB2312" w:hAnsi="仿宋_GB2312" w:eastAsia="仿宋_GB2312"/>
          <w:b w:val="0"/>
          <w:sz w:val="32"/>
        </w:rPr>
        <w:t>本年在职人员调入调出，人员职级不同，缴费基数不同，导致</w:t>
      </w:r>
      <w:r>
        <w:rPr>
          <w:rFonts w:hint="eastAsia" w:ascii="仿宋_GB2312" w:hAnsi="仿宋_GB2312" w:eastAsia="仿宋_GB2312"/>
          <w:b w:val="0"/>
          <w:sz w:val="32"/>
          <w:lang w:val="en-US" w:eastAsia="zh-CN"/>
        </w:rPr>
        <w:t>大病，工伤，失业保险</w:t>
      </w:r>
      <w:r>
        <w:rPr>
          <w:rFonts w:hint="eastAsia" w:ascii="仿宋_GB2312" w:hAnsi="仿宋_GB2312" w:eastAsia="仿宋_GB2312"/>
          <w:b w:val="0"/>
          <w:sz w:val="32"/>
        </w:rPr>
        <w:t>较上年减少</w:t>
      </w:r>
      <w:r>
        <w:rPr>
          <w:rFonts w:ascii="仿宋_GB2312" w:hAnsi="仿宋_GB2312" w:eastAsia="仿宋_GB2312"/>
          <w:b w:val="0"/>
          <w:sz w:val="32"/>
        </w:rPr>
        <w:t>。</w:t>
      </w:r>
    </w:p>
    <w:p w14:paraId="098A7CDD">
      <w:pPr>
        <w:spacing w:line="580" w:lineRule="exact"/>
        <w:ind w:firstLine="640"/>
        <w:jc w:val="both"/>
      </w:pPr>
      <w:r>
        <w:rPr>
          <w:rFonts w:ascii="仿宋_GB2312" w:hAnsi="仿宋_GB2312" w:eastAsia="仿宋_GB2312"/>
          <w:b w:val="0"/>
          <w:sz w:val="32"/>
        </w:rPr>
        <w:t>8.农林水支出(类)巩固脱贫攻坚成果衔接乡村振兴(款)农村基础设施建设(项):支出决算数为3,943.00万元，比上年决算增加3,943.00万元，增长100.00%,主要原因是：本年增加村组道路建设项目第一合同段村组道路建设资金，农村公路建设项目第三合同段马场大桥至喀拉萨依村道路建设资金。</w:t>
      </w:r>
    </w:p>
    <w:p w14:paraId="112BFFD8">
      <w:pPr>
        <w:spacing w:line="580" w:lineRule="exact"/>
        <w:ind w:firstLine="640"/>
        <w:jc w:val="both"/>
      </w:pPr>
      <w:r>
        <w:rPr>
          <w:rFonts w:ascii="仿宋_GB2312" w:hAnsi="仿宋_GB2312" w:eastAsia="仿宋_GB2312"/>
          <w:b w:val="0"/>
          <w:sz w:val="32"/>
        </w:rPr>
        <w:t>9.交通运输支出(类)公路水路运输(款)行政运行(项):支出决算数为320.36万元，比上年决算增加33.83万元，增长11.81%,主要原因是：本年新增在职人员，在职人员工资调增，人员经费增加，导致经费较上年有所增加。</w:t>
      </w:r>
    </w:p>
    <w:p w14:paraId="24C7F1AE">
      <w:pPr>
        <w:spacing w:line="580" w:lineRule="exact"/>
        <w:ind w:firstLine="640"/>
        <w:jc w:val="both"/>
      </w:pPr>
      <w:r>
        <w:rPr>
          <w:rFonts w:ascii="仿宋_GB2312" w:hAnsi="仿宋_GB2312" w:eastAsia="仿宋_GB2312"/>
          <w:b w:val="0"/>
          <w:sz w:val="32"/>
        </w:rPr>
        <w:t>10.交通运输支出(类)公路水路运输(款)公路建设(项):支出决算数为3,940.95万元，比上年决算增加1,579.42万元，增长66.88%,主要原因是：本年增加农村公路建设项目第一合同段、第二合同段资金，乔拉克铁热克乡塔斯巴斯陶村阔克铁热克乡平安村道路资金。</w:t>
      </w:r>
    </w:p>
    <w:p w14:paraId="62C65483">
      <w:pPr>
        <w:spacing w:line="580" w:lineRule="exact"/>
        <w:ind w:firstLine="640"/>
        <w:jc w:val="both"/>
      </w:pPr>
      <w:r>
        <w:rPr>
          <w:rFonts w:ascii="仿宋_GB2312" w:hAnsi="仿宋_GB2312" w:eastAsia="仿宋_GB2312"/>
          <w:b w:val="0"/>
          <w:sz w:val="32"/>
        </w:rPr>
        <w:t>11.交通运输支出(类)公路水路运输(款)公路养护(项):支出决算数为225.41万元，比上年决算减少358.08万元，下降61.37%,主要原因是：本年减少中央对地方成品油税费改革转移支付资金、国省干线和农村公路养护项目资金等。</w:t>
      </w:r>
    </w:p>
    <w:p w14:paraId="6CD2B4AE">
      <w:pPr>
        <w:spacing w:line="580" w:lineRule="exact"/>
        <w:ind w:firstLine="640"/>
        <w:jc w:val="both"/>
      </w:pPr>
      <w:r>
        <w:rPr>
          <w:rFonts w:ascii="仿宋_GB2312" w:hAnsi="仿宋_GB2312" w:eastAsia="仿宋_GB2312"/>
          <w:b w:val="0"/>
          <w:sz w:val="32"/>
        </w:rPr>
        <w:t>12.交通运输支出(类)邮政业支出(款)邮政普遍服务与特殊服务(项):支出决算数为1.44万元，比上年决算增加1.44万元，增长100.00%,主要原因是：本年增加农牧区投递员专项财政补贴项目。</w:t>
      </w:r>
    </w:p>
    <w:p w14:paraId="68B9DA00">
      <w:pPr>
        <w:spacing w:line="580" w:lineRule="exact"/>
        <w:ind w:firstLine="640"/>
        <w:jc w:val="both"/>
      </w:pPr>
      <w:r>
        <w:rPr>
          <w:rFonts w:ascii="仿宋_GB2312" w:hAnsi="仿宋_GB2312" w:eastAsia="仿宋_GB2312"/>
          <w:b w:val="0"/>
          <w:sz w:val="32"/>
        </w:rPr>
        <w:t>13.交通运输支出(类)车辆购置税支出(款)车辆购置税用于农村公路建设支出(项):支出决算数为0.00万元，比上年决算减少1,913.68万元，下降100.00%,主要原因是：本年减少2023年车辆购置税收入补助地方资金、[第一批]普通省道和农村公路以奖代补切块部分(2023年农村公路第二合同段），普通省道及农村公路建设“以奖代补”清算资金(特克斯县2022年农村公路建设项目第二合同段)等。</w:t>
      </w:r>
    </w:p>
    <w:p w14:paraId="4FAC043F">
      <w:pPr>
        <w:spacing w:line="580" w:lineRule="exact"/>
        <w:ind w:firstLine="640"/>
        <w:jc w:val="both"/>
      </w:pPr>
      <w:r>
        <w:rPr>
          <w:rFonts w:ascii="仿宋_GB2312" w:hAnsi="仿宋_GB2312" w:eastAsia="仿宋_GB2312"/>
          <w:b w:val="0"/>
          <w:sz w:val="32"/>
        </w:rPr>
        <w:t>14.交通运输支出(类)车辆购置税支出(款)车辆购置税其他支出(项):支出决算数为0.00万元，比上年决算减少60.00万元，下降100.00%,主要原因是：本年减少特克斯县喀拉达拉镇吉斯客运站建设项目。</w:t>
      </w:r>
    </w:p>
    <w:p w14:paraId="45937B9E">
      <w:pPr>
        <w:spacing w:line="580" w:lineRule="exact"/>
        <w:ind w:firstLine="640"/>
        <w:jc w:val="both"/>
      </w:pPr>
      <w:r>
        <w:rPr>
          <w:rFonts w:ascii="仿宋_GB2312" w:hAnsi="仿宋_GB2312" w:eastAsia="仿宋_GB2312"/>
          <w:b w:val="0"/>
          <w:sz w:val="32"/>
        </w:rPr>
        <w:t>15.交通运输支出(类)其他交通运输支出(款)公共交通运营补助(项):支出决算数为634.62万元，比上年决算增加634.62万元，增长100.00%,主要原因是：本年功能科目调整，农村客运补贴资金及城市交通发展奖励资金项目上年在其他交通运输支出列支，本年调整至公共交通运营补助列支，相应经费增加。</w:t>
      </w:r>
    </w:p>
    <w:p w14:paraId="0D3CCC01">
      <w:pPr>
        <w:spacing w:line="580" w:lineRule="exact"/>
        <w:ind w:firstLine="640"/>
        <w:jc w:val="both"/>
      </w:pPr>
      <w:r>
        <w:rPr>
          <w:rFonts w:ascii="仿宋_GB2312" w:hAnsi="仿宋_GB2312" w:eastAsia="仿宋_GB2312"/>
          <w:b w:val="0"/>
          <w:sz w:val="32"/>
        </w:rPr>
        <w:t>16.交通运输支出(类)其他交通运输支出(款)其他交通运输支出(项):支出决算数为3.68万元，比上年决算减少426.79万元，下降99.15%,主要原因是：本年功能科目调整，农村客运补贴资金及城市交通发展奖励资金项目上年在其他交通运输支出列支，本年调整至公共交通运营补助列支，相应经费减少。</w:t>
      </w:r>
    </w:p>
    <w:p w14:paraId="6AA7B103">
      <w:pPr>
        <w:spacing w:line="580" w:lineRule="exact"/>
        <w:ind w:firstLine="640"/>
        <w:jc w:val="both"/>
      </w:pPr>
      <w:r>
        <w:rPr>
          <w:rFonts w:ascii="仿宋_GB2312" w:hAnsi="仿宋_GB2312" w:eastAsia="仿宋_GB2312"/>
          <w:b w:val="0"/>
          <w:sz w:val="32"/>
        </w:rPr>
        <w:t>17.住房保障支出(类)住房改革支出(款)住房公积金(项):支出决算数为32.03万元，比上年决算增加6.17万元，增长23.86%,主要原因是：本年新增在职人员，人员工资调增，住房公积金缴费增加。</w:t>
      </w:r>
    </w:p>
    <w:p w14:paraId="694CD0FB">
      <w:pPr>
        <w:spacing w:line="640" w:lineRule="exact"/>
        <w:ind w:firstLine="640"/>
        <w:jc w:val="both"/>
        <w:outlineLvl w:val="2"/>
      </w:pPr>
      <w:r>
        <w:rPr>
          <w:rFonts w:ascii="黑体" w:hAnsi="黑体" w:eastAsia="黑体"/>
          <w:sz w:val="32"/>
        </w:rPr>
        <w:t>六、一般公共预算财政拨款基本支出决算情况说明</w:t>
      </w:r>
    </w:p>
    <w:p w14:paraId="3DB465BE">
      <w:pPr>
        <w:spacing w:line="580" w:lineRule="exact"/>
        <w:ind w:firstLine="640"/>
        <w:jc w:val="both"/>
      </w:pPr>
      <w:r>
        <w:rPr>
          <w:rFonts w:ascii="仿宋_GB2312" w:hAnsi="仿宋_GB2312" w:eastAsia="仿宋_GB2312"/>
          <w:b w:val="0"/>
          <w:sz w:val="32"/>
        </w:rPr>
        <w:t>2024年度一般公共预算财政拨款基本支出411.49万元，其中：</w:t>
      </w:r>
      <w:r>
        <w:rPr>
          <w:rFonts w:ascii="仿宋_GB2312" w:hAnsi="仿宋_GB2312" w:eastAsia="仿宋_GB2312"/>
          <w:b/>
          <w:sz w:val="32"/>
        </w:rPr>
        <w:t>人员经费392.07万元，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基本养老保险缴费、职工基本医疗保险缴费、公务员医疗补助缴费、其他社会保障缴费、住房公积金、退休费、其他对个人和家庭的补助。</w:t>
      </w:r>
    </w:p>
    <w:p w14:paraId="4D26F04E">
      <w:pPr>
        <w:spacing w:line="580" w:lineRule="exact"/>
        <w:ind w:firstLine="640"/>
        <w:jc w:val="both"/>
      </w:pPr>
      <w:r>
        <w:rPr>
          <w:rFonts w:ascii="仿宋_GB2312" w:hAnsi="仿宋_GB2312" w:eastAsia="仿宋_GB2312"/>
          <w:b/>
          <w:sz w:val="32"/>
        </w:rPr>
        <w:t>公用经费19.42万元，</w:t>
      </w:r>
      <w:r>
        <w:rPr>
          <w:rFonts w:ascii="仿宋_GB2312" w:hAnsi="仿宋_GB2312" w:eastAsia="仿宋_GB2312"/>
          <w:b w:val="0"/>
          <w:sz w:val="32"/>
        </w:rPr>
        <w:t>包括：办公费、邮电费、差旅费、工会经费、公务用车运行维护费、税金及附加费用。</w:t>
      </w:r>
    </w:p>
    <w:p w14:paraId="16F4D598">
      <w:pPr>
        <w:spacing w:line="640" w:lineRule="exact"/>
        <w:ind w:firstLine="640"/>
        <w:jc w:val="both"/>
        <w:outlineLvl w:val="2"/>
      </w:pPr>
      <w:r>
        <w:rPr>
          <w:rFonts w:ascii="黑体" w:hAnsi="黑体" w:eastAsia="黑体"/>
          <w:sz w:val="32"/>
        </w:rPr>
        <w:t>七、政府性基金预算财政拨款收入支出决算情况说明</w:t>
      </w:r>
    </w:p>
    <w:p w14:paraId="61BBD124">
      <w:pPr>
        <w:spacing w:line="580" w:lineRule="exact"/>
        <w:ind w:firstLine="640"/>
        <w:jc w:val="both"/>
      </w:pPr>
      <w:r>
        <w:rPr>
          <w:rFonts w:ascii="仿宋_GB2312" w:hAnsi="仿宋_GB2312" w:eastAsia="仿宋_GB2312"/>
          <w:b/>
          <w:sz w:val="32"/>
        </w:rPr>
        <w:t>2024年度政府性基金预算财政拨款收入总计4,580.10万元，</w:t>
      </w:r>
      <w:r>
        <w:rPr>
          <w:rFonts w:ascii="仿宋_GB2312" w:hAnsi="仿宋_GB2312" w:eastAsia="仿宋_GB2312"/>
          <w:b w:val="0"/>
          <w:sz w:val="32"/>
        </w:rPr>
        <w:t>其中：年初结转和结余0.00万元，本年收入4,580.10万元。</w:t>
      </w:r>
      <w:r>
        <w:rPr>
          <w:rFonts w:ascii="仿宋_GB2312" w:hAnsi="仿宋_GB2312" w:eastAsia="仿宋_GB2312"/>
          <w:b/>
          <w:sz w:val="32"/>
        </w:rPr>
        <w:t>政府性基金预算财政拨款支出总计4,580.10万元，</w:t>
      </w:r>
      <w:r>
        <w:rPr>
          <w:rFonts w:ascii="仿宋_GB2312" w:hAnsi="仿宋_GB2312" w:eastAsia="仿宋_GB2312"/>
          <w:b w:val="0"/>
          <w:sz w:val="32"/>
        </w:rPr>
        <w:t>其中：年末结转和结余0.00万元，本年支出4,580.10万元。</w:t>
      </w:r>
    </w:p>
    <w:p w14:paraId="44741B1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增加2,977.10万元，增长185.72%，主要原因是：本年增加推动大规模设备更新和消费品以旧换新项目、伊犁州特克斯县综合物流园基础设施建设项目。</w:t>
      </w:r>
      <w:r>
        <w:rPr>
          <w:rFonts w:ascii="仿宋_GB2312" w:hAnsi="仿宋_GB2312" w:eastAsia="仿宋_GB2312"/>
          <w:b/>
          <w:sz w:val="32"/>
        </w:rPr>
        <w:t>与年初预算相比，</w:t>
      </w:r>
      <w:r>
        <w:rPr>
          <w:rFonts w:ascii="仿宋_GB2312" w:hAnsi="仿宋_GB2312" w:eastAsia="仿宋_GB2312"/>
          <w:b w:val="0"/>
          <w:sz w:val="32"/>
        </w:rPr>
        <w:t>年初预算数4,460.00万元，决算数4,580.10万元，预决算差异率2.69%，主要原因是：年中追加推动大规模设备更新和消费品以旧换新项目，导致预决算存在差异。</w:t>
      </w:r>
    </w:p>
    <w:p w14:paraId="44BC703B">
      <w:pPr>
        <w:spacing w:line="580" w:lineRule="exact"/>
        <w:ind w:firstLine="640"/>
        <w:jc w:val="both"/>
      </w:pPr>
      <w:r>
        <w:rPr>
          <w:rFonts w:ascii="仿宋_GB2312" w:hAnsi="仿宋_GB2312" w:eastAsia="仿宋_GB2312"/>
          <w:b w:val="0"/>
          <w:sz w:val="32"/>
        </w:rPr>
        <w:t>政府性基金预算财政拨款支出4,580.10万元。</w:t>
      </w:r>
    </w:p>
    <w:p w14:paraId="1823A949">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1.城乡社区支出(类)国有土地使用权出让收入安排的支出(款)征地和拆迁补偿支出(项):支出决算数为31.80万元，比上年决算减少31.20万元，下降49.52%,主要原因是：本年减少国道577线特克斯-昭苏征地拆迁资金。</w:t>
      </w:r>
    </w:p>
    <w:p w14:paraId="5C854014">
      <w:pPr>
        <w:spacing w:line="580" w:lineRule="exact"/>
        <w:ind w:firstLine="640"/>
        <w:jc w:val="both"/>
      </w:pPr>
      <w:r>
        <w:rPr>
          <w:rFonts w:ascii="仿宋_GB2312" w:hAnsi="仿宋_GB2312" w:eastAsia="仿宋_GB2312"/>
          <w:b w:val="0"/>
          <w:sz w:val="32"/>
        </w:rPr>
        <w:t>2.资源勘探工业信息等支出(类)超长期特别国债安排的支出(款)制造业(项):支出决算数为88.30万元，比上年决算增加88.30万元，增长100.00%,主要原因是：本年增加推动大规模设备更新和消费品以旧换新项目。</w:t>
      </w:r>
    </w:p>
    <w:p w14:paraId="3E60954D">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4,460.00万元，比上年决算增加2,920.00万元，增长189.61%,主要原因是：本年增加伊犁州特克斯县综合物流园基础设施建设项目。</w:t>
      </w:r>
    </w:p>
    <w:p w14:paraId="03F38A37">
      <w:pPr>
        <w:spacing w:line="640" w:lineRule="exact"/>
        <w:ind w:firstLine="640"/>
        <w:jc w:val="both"/>
        <w:outlineLvl w:val="2"/>
      </w:pPr>
      <w:r>
        <w:rPr>
          <w:rFonts w:ascii="黑体" w:hAnsi="黑体" w:eastAsia="黑体"/>
          <w:sz w:val="32"/>
        </w:rPr>
        <w:t>八、国有资本经营预算财政拨款收入支出决算情况说明</w:t>
      </w:r>
    </w:p>
    <w:p w14:paraId="41C99C9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916D23D">
      <w:pPr>
        <w:spacing w:line="640" w:lineRule="exact"/>
        <w:ind w:firstLine="640"/>
        <w:jc w:val="both"/>
        <w:outlineLvl w:val="2"/>
      </w:pPr>
      <w:r>
        <w:rPr>
          <w:rFonts w:ascii="黑体" w:hAnsi="黑体" w:eastAsia="黑体"/>
          <w:sz w:val="32"/>
        </w:rPr>
        <w:t>九、财政拨款“三公”经费支出决算情况说明</w:t>
      </w:r>
    </w:p>
    <w:p w14:paraId="7D30B214">
      <w:pPr>
        <w:spacing w:line="580" w:lineRule="exact"/>
        <w:ind w:firstLine="640"/>
        <w:jc w:val="both"/>
      </w:pPr>
      <w:r>
        <w:rPr>
          <w:rFonts w:ascii="仿宋_GB2312" w:hAnsi="仿宋_GB2312" w:eastAsia="仿宋_GB2312"/>
          <w:b/>
          <w:sz w:val="32"/>
        </w:rPr>
        <w:t>2024年度财政拨款“三公”经费支出0.73万元，</w:t>
      </w:r>
      <w:r>
        <w:rPr>
          <w:rFonts w:ascii="仿宋_GB2312" w:hAnsi="仿宋_GB2312" w:eastAsia="仿宋_GB2312"/>
          <w:b w:val="0"/>
          <w:sz w:val="32"/>
        </w:rPr>
        <w:t>比上年减少0.07万元，下降8.75%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0.73万元，占100.00%，比上年减少0.07万元，下降8.75%，主要原因是：严格落实中央八项规定精神，厉行节约，减少公务用车运行维护费。公务接待费支出0.00万元，占0.00%，比上年增加0.00万元，增长0.00%，主要原因是：2023年与2024年均未安排公务接待费支出。</w:t>
      </w:r>
    </w:p>
    <w:p w14:paraId="120F5719">
      <w:pPr>
        <w:spacing w:line="580" w:lineRule="exact"/>
        <w:ind w:firstLine="640"/>
        <w:jc w:val="both"/>
      </w:pPr>
      <w:r>
        <w:rPr>
          <w:rFonts w:ascii="仿宋_GB2312" w:hAnsi="仿宋_GB2312" w:eastAsia="仿宋_GB2312"/>
          <w:b/>
          <w:sz w:val="32"/>
        </w:rPr>
        <w:t>具体情况如下：</w:t>
      </w:r>
    </w:p>
    <w:p w14:paraId="75720667">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16A6710">
      <w:pPr>
        <w:spacing w:line="580" w:lineRule="exact"/>
        <w:ind w:firstLine="640"/>
        <w:jc w:val="both"/>
      </w:pPr>
      <w:r>
        <w:rPr>
          <w:rFonts w:ascii="仿宋_GB2312" w:hAnsi="仿宋_GB2312" w:eastAsia="仿宋_GB2312"/>
          <w:b w:val="0"/>
          <w:sz w:val="32"/>
        </w:rPr>
        <w:t>公务用车购置及运行维护费0.73万元，其中：公务用车购置费0.00万元，公务用车运行维护费0.73万元。公务用车运行维护费开支内容包括车辆加油费，保险费，维修费等。公务用车购置数0辆，公务用车保有量4辆。国有资产占用情况中固定资产车辆4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6E4194A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A39C7A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0.73万元，决算数0.73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0.73万元，决算数0.73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03F1FFD">
      <w:pPr>
        <w:spacing w:line="640" w:lineRule="exact"/>
        <w:ind w:firstLine="640"/>
        <w:jc w:val="both"/>
        <w:outlineLvl w:val="2"/>
      </w:pPr>
      <w:r>
        <w:rPr>
          <w:rFonts w:ascii="黑体" w:hAnsi="黑体" w:eastAsia="黑体"/>
          <w:sz w:val="32"/>
        </w:rPr>
        <w:t>十、其他重要事项的情况说明</w:t>
      </w:r>
    </w:p>
    <w:p w14:paraId="69AEB8BC">
      <w:pPr>
        <w:spacing w:line="640" w:lineRule="exact"/>
        <w:ind w:firstLine="640"/>
        <w:jc w:val="both"/>
        <w:outlineLvl w:val="3"/>
      </w:pPr>
      <w:r>
        <w:rPr>
          <w:rFonts w:ascii="楷体_GB2312" w:hAnsi="楷体_GB2312" w:eastAsia="楷体_GB2312"/>
          <w:b/>
          <w:sz w:val="32"/>
        </w:rPr>
        <w:t>（一）机关运行经费及公用经费支出情况</w:t>
      </w:r>
    </w:p>
    <w:p w14:paraId="576DD28B">
      <w:pPr>
        <w:spacing w:line="580" w:lineRule="exact"/>
        <w:ind w:firstLine="640"/>
        <w:jc w:val="both"/>
      </w:pPr>
      <w:r>
        <w:rPr>
          <w:rFonts w:ascii="仿宋_GB2312" w:hAnsi="仿宋_GB2312" w:eastAsia="仿宋_GB2312"/>
          <w:b w:val="0"/>
          <w:sz w:val="32"/>
        </w:rPr>
        <w:t>2024年度特克斯县交通运输局（行政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）机关运行经费支出19.42万元，比上年减少8.48万元，下降30.39%，主要原因是：严控经费支出，厉行节约，减少办公经费支出。</w:t>
      </w:r>
    </w:p>
    <w:p w14:paraId="2EDA51CF">
      <w:pPr>
        <w:spacing w:line="640" w:lineRule="exact"/>
        <w:ind w:firstLine="640"/>
        <w:jc w:val="both"/>
        <w:outlineLvl w:val="3"/>
      </w:pPr>
      <w:r>
        <w:rPr>
          <w:rFonts w:ascii="楷体_GB2312" w:hAnsi="楷体_GB2312" w:eastAsia="楷体_GB2312"/>
          <w:b/>
          <w:sz w:val="32"/>
        </w:rPr>
        <w:t>（二）政府采购情况</w:t>
      </w:r>
    </w:p>
    <w:p w14:paraId="488AB04C">
      <w:pPr>
        <w:spacing w:line="580" w:lineRule="exact"/>
        <w:ind w:firstLine="640"/>
        <w:jc w:val="both"/>
      </w:pPr>
      <w:r>
        <w:rPr>
          <w:rFonts w:ascii="仿宋_GB2312" w:hAnsi="仿宋_GB2312" w:eastAsia="仿宋_GB2312"/>
          <w:b w:val="0"/>
          <w:sz w:val="32"/>
        </w:rPr>
        <w:t>2024年度政府采购支出总额3.82万元，其中：政府采购货物支出1.55万元、政府采购工程支出0.00万元、政府采购服务支出2.27万元。</w:t>
      </w:r>
    </w:p>
    <w:p w14:paraId="00EAC23F">
      <w:pPr>
        <w:spacing w:line="580" w:lineRule="exact"/>
        <w:ind w:firstLine="640"/>
        <w:jc w:val="both"/>
      </w:pPr>
      <w:r>
        <w:rPr>
          <w:rFonts w:ascii="仿宋_GB2312" w:hAnsi="仿宋_GB2312" w:eastAsia="仿宋_GB2312"/>
          <w:b w:val="0"/>
          <w:sz w:val="32"/>
        </w:rPr>
        <w:t>授予中小企业合同金额3.65万元，占政府采购支出总额的95.55%，其中：授予小微企业合同金额1.55万元，占政府采购支出总额的40.58%。</w:t>
      </w:r>
    </w:p>
    <w:p w14:paraId="46F2C630">
      <w:pPr>
        <w:spacing w:line="640" w:lineRule="exact"/>
        <w:ind w:firstLine="640"/>
        <w:jc w:val="both"/>
        <w:outlineLvl w:val="3"/>
      </w:pPr>
      <w:r>
        <w:rPr>
          <w:rFonts w:ascii="楷体_GB2312" w:hAnsi="楷体_GB2312" w:eastAsia="楷体_GB2312"/>
          <w:b/>
          <w:sz w:val="32"/>
        </w:rPr>
        <w:t>（三）国有资产占用情况说明</w:t>
      </w:r>
    </w:p>
    <w:p w14:paraId="57BABC3F">
      <w:pPr>
        <w:spacing w:line="580" w:lineRule="exact"/>
        <w:ind w:firstLine="640"/>
        <w:jc w:val="both"/>
      </w:pPr>
      <w:r>
        <w:rPr>
          <w:rFonts w:ascii="仿宋_GB2312" w:hAnsi="仿宋_GB2312" w:eastAsia="仿宋_GB2312"/>
          <w:b w:val="0"/>
          <w:sz w:val="32"/>
        </w:rPr>
        <w:t>截至2024年12月31日，房屋0.00平方米，价值0.00万元。车辆4辆，价值59.72万元，其中：副部（省）级及以上领导用车0辆、主要负责人用车0辆、机要通信用车0辆、应急保障用车0辆、执法执勤用车3辆、特种专业技术用车0辆、离退休干部服务用车0辆、其他用车1辆，其他用车主要是：一般公务用车。单价100万元（含）以上设备（不含车辆）0台（套）。</w:t>
      </w:r>
    </w:p>
    <w:p w14:paraId="1024CB28">
      <w:pPr>
        <w:spacing w:line="640" w:lineRule="exact"/>
        <w:ind w:firstLine="640"/>
        <w:jc w:val="both"/>
        <w:outlineLvl w:val="2"/>
      </w:pPr>
      <w:r>
        <w:rPr>
          <w:rFonts w:ascii="黑体" w:hAnsi="黑体" w:eastAsia="黑体"/>
          <w:sz w:val="32"/>
        </w:rPr>
        <w:t>十一、预算绩效的情况说明</w:t>
      </w:r>
    </w:p>
    <w:p w14:paraId="7A1FA196">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13,740.69万元，实际执行总额13,740.69万元；预算绩效评价项目12个，全年预算数5,347.91万元，全年执行数4,528.32万元。预算绩效管理取得的成效：一是本部门为加强预算管理，规范财务行为，已制定《特克斯县交通运输局预算绩效管理工作实施办法》《特克斯县交通运输局财务管理制度》等健全完整的各项管理制度，有效保障了我部门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部门预算资金规范运行。发现的问题及原因：1、预算编制有助于组织合理分配资源，控制成本，规划未来财务活动，并为绩效评估提供基准，年初预算不够全面具体，预算调整幅度较大，主要原因是对项目支出把握不准，年度调整数额较大；年初对基本支出预算做了较详细的核算，而项目支出仅仅对上级转移支付资金做了预算，对于本级部分没有预算，所以项目支出本年度预算调整数额较大，</w:t>
      </w:r>
      <w:r>
        <w:rPr>
          <w:rFonts w:hint="eastAsia" w:ascii="仿宋_GB2312" w:hAnsi="仿宋_GB2312" w:eastAsia="仿宋_GB2312"/>
          <w:b w:val="0"/>
          <w:sz w:val="32"/>
          <w:lang w:eastAsia="zh-CN"/>
        </w:rPr>
        <w:t>单位对</w:t>
      </w:r>
      <w:r>
        <w:rPr>
          <w:rFonts w:ascii="仿宋_GB2312" w:hAnsi="仿宋_GB2312" w:eastAsia="仿宋_GB2312"/>
          <w:b w:val="0"/>
          <w:sz w:val="32"/>
        </w:rPr>
        <w:t>预算编制的合理性有待进一步提高，以确保组织的财务稳健和可持续性。2、预算编制和绩效管理是相互依赖的，预算编制为绩效管理提供了基准，使得组织可以评估实际绩效与目标之间的差距，同时，绩效管理的结果可以为预算编制提供反馈，帮助组织调整和优化未来的计划，而绩效目标设置是反映</w:t>
      </w:r>
      <w:r>
        <w:rPr>
          <w:rFonts w:hint="eastAsia" w:ascii="仿宋_GB2312" w:hAnsi="仿宋_GB2312" w:eastAsia="仿宋_GB2312"/>
          <w:b w:val="0"/>
          <w:sz w:val="32"/>
          <w:lang w:eastAsia="zh-CN"/>
        </w:rPr>
        <w:t>单位</w:t>
      </w:r>
      <w:r>
        <w:rPr>
          <w:rFonts w:ascii="仿宋_GB2312" w:hAnsi="仿宋_GB2312" w:eastAsia="仿宋_GB2312"/>
          <w:b w:val="0"/>
          <w:sz w:val="32"/>
        </w:rPr>
        <w:t>总体情况，而绩效目标设置不全面，就不能够全面</w:t>
      </w:r>
      <w:r>
        <w:rPr>
          <w:rFonts w:hint="eastAsia" w:ascii="仿宋_GB2312" w:hAnsi="仿宋_GB2312" w:eastAsia="仿宋_GB2312"/>
          <w:b w:val="0"/>
          <w:sz w:val="32"/>
          <w:lang w:eastAsia="zh-CN"/>
        </w:rPr>
        <w:t>地反映单位</w:t>
      </w:r>
      <w:r>
        <w:rPr>
          <w:rFonts w:ascii="仿宋_GB2312" w:hAnsi="仿宋_GB2312" w:eastAsia="仿宋_GB2312"/>
          <w:b w:val="0"/>
          <w:sz w:val="32"/>
        </w:rPr>
        <w:t>的整体运行情况，绩效评价就不完整。3、加强绩效管理专业人才的配备，完善绩效管理工作，以帮助</w:t>
      </w:r>
      <w:r>
        <w:rPr>
          <w:rFonts w:hint="eastAsia" w:ascii="仿宋_GB2312" w:hAnsi="仿宋_GB2312" w:eastAsia="仿宋_GB2312"/>
          <w:b w:val="0"/>
          <w:sz w:val="32"/>
          <w:lang w:eastAsia="zh-CN"/>
        </w:rPr>
        <w:t>单位</w:t>
      </w:r>
      <w:r>
        <w:rPr>
          <w:rFonts w:ascii="仿宋_GB2312" w:hAnsi="仿宋_GB2312" w:eastAsia="仿宋_GB2312"/>
          <w:b w:val="0"/>
          <w:sz w:val="32"/>
        </w:rPr>
        <w:t>尽快识别并改进低效和无效的工作流程，激励职工提高工作质量和效率</w:t>
      </w:r>
      <w:r>
        <w:rPr>
          <w:rFonts w:hint="eastAsia" w:ascii="仿宋_GB2312" w:hAnsi="仿宋_GB2312" w:eastAsia="仿宋_GB2312"/>
          <w:b w:val="0"/>
          <w:sz w:val="32"/>
          <w:lang w:eastAsia="zh-CN"/>
        </w:rPr>
        <w:t>，让</w:t>
      </w:r>
      <w:r>
        <w:rPr>
          <w:rFonts w:ascii="仿宋_GB2312" w:hAnsi="仿宋_GB2312" w:eastAsia="仿宋_GB2312"/>
          <w:b w:val="0"/>
          <w:sz w:val="32"/>
        </w:rPr>
        <w:t>绩效评价结果更加全面和客观，推进今后的绩效管理工作有序发展，为</w:t>
      </w:r>
      <w:r>
        <w:rPr>
          <w:rFonts w:hint="eastAsia" w:ascii="仿宋_GB2312" w:hAnsi="仿宋_GB2312" w:eastAsia="仿宋_GB2312"/>
          <w:b w:val="0"/>
          <w:sz w:val="32"/>
          <w:lang w:eastAsia="zh-CN"/>
        </w:rPr>
        <w:t>领导们</w:t>
      </w:r>
      <w:r>
        <w:rPr>
          <w:rFonts w:ascii="仿宋_GB2312" w:hAnsi="仿宋_GB2312" w:eastAsia="仿宋_GB2312"/>
          <w:b w:val="0"/>
          <w:sz w:val="32"/>
        </w:rPr>
        <w:t>提供更加全面充分的数据分析支撑，为后续的预算编制和绩效管理提供反馈运用现代科学技术和科学方法进行决策。下一步改进措施：1.增强预算编制的完整性，加强和对口科室之间的沟通和交流对未来的收入支出进行合理的预算，涵盖必要的开支项目，确保没有遗漏。鼓励员工提出对预算的意见和建议，以便更好地反映</w:t>
      </w:r>
      <w:r>
        <w:rPr>
          <w:rFonts w:hint="eastAsia" w:ascii="仿宋_GB2312" w:hAnsi="仿宋_GB2312" w:eastAsia="仿宋_GB2312"/>
          <w:b w:val="0"/>
          <w:sz w:val="32"/>
          <w:lang w:eastAsia="zh-CN"/>
        </w:rPr>
        <w:t>单位</w:t>
      </w:r>
      <w:r>
        <w:rPr>
          <w:rFonts w:ascii="仿宋_GB2312" w:hAnsi="仿宋_GB2312" w:eastAsia="仿宋_GB2312"/>
          <w:b w:val="0"/>
          <w:sz w:val="32"/>
        </w:rPr>
        <w:t>的实际需求。科学合理</w:t>
      </w:r>
      <w:r>
        <w:rPr>
          <w:rFonts w:hint="eastAsia" w:ascii="仿宋_GB2312" w:hAnsi="仿宋_GB2312" w:eastAsia="仿宋_GB2312"/>
          <w:b w:val="0"/>
          <w:sz w:val="32"/>
          <w:lang w:eastAsia="zh-CN"/>
        </w:rPr>
        <w:t>地</w:t>
      </w:r>
      <w:r>
        <w:rPr>
          <w:rFonts w:ascii="仿宋_GB2312" w:hAnsi="仿宋_GB2312" w:eastAsia="仿宋_GB2312"/>
          <w:b w:val="0"/>
          <w:sz w:val="32"/>
        </w:rPr>
        <w:t>编制年度预算</w:t>
      </w:r>
      <w:r>
        <w:rPr>
          <w:rFonts w:hint="eastAsia" w:ascii="仿宋_GB2312" w:hAnsi="仿宋_GB2312" w:eastAsia="仿宋_GB2312"/>
          <w:b w:val="0"/>
          <w:sz w:val="32"/>
          <w:lang w:eastAsia="zh-CN"/>
        </w:rPr>
        <w:t>。</w:t>
      </w:r>
      <w:r>
        <w:rPr>
          <w:rFonts w:ascii="仿宋_GB2312" w:hAnsi="仿宋_GB2312" w:eastAsia="仿宋_GB2312"/>
          <w:b w:val="0"/>
          <w:sz w:val="32"/>
        </w:rPr>
        <w:t>2.强化部门之间的沟通协作，促进不同部门之间的信息交流，确保预算编制过程中</w:t>
      </w:r>
      <w:r>
        <w:rPr>
          <w:rFonts w:hint="eastAsia" w:ascii="仿宋_GB2312" w:hAnsi="仿宋_GB2312" w:eastAsia="仿宋_GB2312"/>
          <w:b w:val="0"/>
          <w:sz w:val="32"/>
          <w:lang w:eastAsia="zh-CN"/>
        </w:rPr>
        <w:t>充分考虑</w:t>
      </w:r>
      <w:r>
        <w:rPr>
          <w:rFonts w:ascii="仿宋_GB2312" w:hAnsi="仿宋_GB2312" w:eastAsia="仿宋_GB2312"/>
          <w:b w:val="0"/>
          <w:sz w:val="32"/>
        </w:rPr>
        <w:t>各部门的实际需求。鼓励跨部门合作，共同制定预算方案，以确保预算的全面性和合理性适用性。3.加强专业培训,为预算管理人员提供专业培训，提高其专业知识和技能水平。鼓励员工参加行业内的培训和研讨会，拓宽视野和知识面。在招聘过程中注重专业背景和实际经验，确保招聘到具备专业素养的人才，建立完善的激励机制，吸引和留住优秀人才。具体附整体支出绩效自评表，项目支出绩效自评表和评价报告。</w:t>
      </w:r>
    </w:p>
    <w:p w14:paraId="35DB482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F292D0">
        <w:tc>
          <w:tcPr>
            <w:tcW w:w="8840" w:type="dxa"/>
            <w:gridSpan w:val="8"/>
            <w:vAlign w:val="center"/>
          </w:tcPr>
          <w:p w14:paraId="08D70BD4">
            <w:pPr>
              <w:jc w:val="center"/>
            </w:pPr>
            <w:r>
              <w:rPr>
                <w:rFonts w:hint="eastAsia" w:ascii="宋体" w:hAnsi="宋体"/>
                <w:sz w:val="24"/>
                <w:lang w:eastAsia="zh-CN"/>
              </w:rPr>
              <w:t>单位</w:t>
            </w:r>
            <w:r>
              <w:rPr>
                <w:rFonts w:ascii="宋体" w:hAnsi="宋体" w:eastAsia="宋体"/>
                <w:sz w:val="24"/>
              </w:rPr>
              <w:t>整体支出绩效自评表</w:t>
            </w:r>
          </w:p>
        </w:tc>
      </w:tr>
      <w:tr w14:paraId="4DE52FFD">
        <w:tblPrEx>
          <w:tblCellMar>
            <w:top w:w="0" w:type="dxa"/>
            <w:left w:w="108" w:type="dxa"/>
            <w:bottom w:w="0" w:type="dxa"/>
            <w:right w:w="108" w:type="dxa"/>
          </w:tblCellMar>
        </w:tblPrEx>
        <w:tc>
          <w:tcPr>
            <w:tcW w:w="8840" w:type="dxa"/>
            <w:gridSpan w:val="8"/>
            <w:vAlign w:val="center"/>
          </w:tcPr>
          <w:p w14:paraId="6EA41AF3">
            <w:pPr>
              <w:jc w:val="center"/>
            </w:pPr>
            <w:r>
              <w:rPr>
                <w:rFonts w:ascii="宋体" w:hAnsi="宋体" w:eastAsia="宋体"/>
                <w:sz w:val="24"/>
              </w:rPr>
              <w:t>（2024年度）</w:t>
            </w:r>
          </w:p>
        </w:tc>
      </w:tr>
      <w:tr w14:paraId="11F8CA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10FAF">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AA7A3">
            <w:pPr>
              <w:jc w:val="center"/>
            </w:pPr>
            <w:r>
              <w:rPr>
                <w:rFonts w:ascii="宋体" w:hAnsi="宋体" w:eastAsia="宋体"/>
                <w:sz w:val="16"/>
              </w:rPr>
              <w:t>特克斯县交通运输局</w:t>
            </w:r>
          </w:p>
        </w:tc>
      </w:tr>
      <w:tr w14:paraId="7A602B7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7665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B7D34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27C06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9A86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23DC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5145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3D6B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CAD17">
            <w:pPr>
              <w:jc w:val="center"/>
            </w:pPr>
            <w:r>
              <w:rPr>
                <w:rFonts w:ascii="宋体" w:hAnsi="宋体" w:eastAsia="宋体"/>
                <w:sz w:val="16"/>
              </w:rPr>
              <w:t>得分</w:t>
            </w:r>
          </w:p>
        </w:tc>
      </w:tr>
      <w:tr w14:paraId="4269A4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C2D3D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BD84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4D8B0">
            <w:pPr>
              <w:jc w:val="center"/>
            </w:pPr>
            <w:r>
              <w:rPr>
                <w:rFonts w:ascii="宋体" w:hAnsi="宋体" w:eastAsia="宋体"/>
                <w:sz w:val="16"/>
              </w:rPr>
              <w:t>3,430.10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DEE5D">
            <w:pPr>
              <w:jc w:val="center"/>
            </w:pPr>
            <w:r>
              <w:rPr>
                <w:rFonts w:ascii="宋体" w:hAnsi="宋体" w:eastAsia="宋体"/>
                <w:sz w:val="16"/>
              </w:rPr>
              <w:t>13,740.69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0ACC5">
            <w:pPr>
              <w:jc w:val="center"/>
            </w:pPr>
            <w:r>
              <w:rPr>
                <w:rFonts w:ascii="宋体" w:hAnsi="宋体" w:eastAsia="宋体"/>
                <w:sz w:val="16"/>
              </w:rPr>
              <w:t>13,740.69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9611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4703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CA31B">
            <w:pPr>
              <w:jc w:val="center"/>
            </w:pPr>
            <w:r>
              <w:rPr>
                <w:rFonts w:ascii="宋体" w:hAnsi="宋体" w:eastAsia="宋体"/>
                <w:sz w:val="16"/>
              </w:rPr>
              <w:t>10</w:t>
            </w:r>
          </w:p>
        </w:tc>
      </w:tr>
      <w:tr w14:paraId="560A4D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BA597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2E40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1F0B43">
            <w:pPr>
              <w:jc w:val="center"/>
            </w:pPr>
            <w:r>
              <w:rPr>
                <w:rFonts w:ascii="宋体" w:hAnsi="宋体" w:eastAsia="宋体"/>
                <w:sz w:val="16"/>
              </w:rPr>
              <w:t>3,028.28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BA8DC">
            <w:pPr>
              <w:jc w:val="center"/>
            </w:pPr>
            <w:r>
              <w:rPr>
                <w:rFonts w:ascii="宋体" w:hAnsi="宋体" w:eastAsia="宋体"/>
                <w:sz w:val="16"/>
              </w:rPr>
              <w:t>2,837.40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F690F">
            <w:pPr>
              <w:jc w:val="center"/>
            </w:pPr>
            <w:r>
              <w:rPr>
                <w:rFonts w:ascii="宋体" w:hAnsi="宋体" w:eastAsia="宋体"/>
                <w:sz w:val="16"/>
              </w:rPr>
              <w:t>2,837.40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3C1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A92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3973C5">
            <w:pPr>
              <w:jc w:val="center"/>
            </w:pPr>
            <w:r>
              <w:rPr>
                <w:rFonts w:ascii="宋体" w:hAnsi="宋体" w:eastAsia="宋体"/>
                <w:sz w:val="16"/>
              </w:rPr>
              <w:t>-</w:t>
            </w:r>
          </w:p>
        </w:tc>
      </w:tr>
      <w:tr w14:paraId="7CA92C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D991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BC20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30915">
            <w:pPr>
              <w:jc w:val="center"/>
            </w:pPr>
            <w:r>
              <w:rPr>
                <w:rFonts w:ascii="宋体" w:hAnsi="宋体" w:eastAsia="宋体"/>
                <w:sz w:val="16"/>
              </w:rPr>
              <w:t>393.11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27383">
            <w:pPr>
              <w:jc w:val="center"/>
            </w:pPr>
            <w:r>
              <w:rPr>
                <w:rFonts w:ascii="宋体" w:hAnsi="宋体" w:eastAsia="宋体"/>
                <w:sz w:val="16"/>
              </w:rPr>
              <w:t>10,903.29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2FDB1">
            <w:pPr>
              <w:jc w:val="center"/>
            </w:pPr>
            <w:r>
              <w:rPr>
                <w:rFonts w:ascii="宋体" w:hAnsi="宋体" w:eastAsia="宋体"/>
                <w:sz w:val="16"/>
              </w:rPr>
              <w:t>10,903.29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BE5C9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CED6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AC6A1">
            <w:pPr>
              <w:jc w:val="center"/>
            </w:pPr>
            <w:r>
              <w:rPr>
                <w:rFonts w:ascii="宋体" w:hAnsi="宋体" w:eastAsia="宋体"/>
                <w:sz w:val="16"/>
              </w:rPr>
              <w:t>-</w:t>
            </w:r>
          </w:p>
        </w:tc>
      </w:tr>
      <w:tr w14:paraId="41B7F1D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BE150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C90BF">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566C6">
            <w:pPr>
              <w:jc w:val="center"/>
            </w:pPr>
            <w:r>
              <w:rPr>
                <w:rFonts w:ascii="宋体" w:hAnsi="宋体" w:eastAsia="宋体"/>
                <w:sz w:val="16"/>
              </w:rPr>
              <w:t>8.71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9965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AAEA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6E0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D6E0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0DD22">
            <w:pPr>
              <w:jc w:val="center"/>
            </w:pPr>
            <w:r>
              <w:rPr>
                <w:rFonts w:ascii="宋体" w:hAnsi="宋体" w:eastAsia="宋体"/>
                <w:sz w:val="16"/>
              </w:rPr>
              <w:t>-</w:t>
            </w:r>
          </w:p>
        </w:tc>
      </w:tr>
      <w:tr w14:paraId="6968391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33AF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6AE97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70359F">
            <w:pPr>
              <w:jc w:val="center"/>
            </w:pPr>
            <w:r>
              <w:rPr>
                <w:rFonts w:ascii="宋体" w:hAnsi="宋体" w:eastAsia="宋体"/>
                <w:sz w:val="16"/>
              </w:rPr>
              <w:t>实际完成情况</w:t>
            </w:r>
          </w:p>
        </w:tc>
      </w:tr>
      <w:tr w14:paraId="36629B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5D298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349D1E">
            <w:pPr>
              <w:jc w:val="both"/>
            </w:pPr>
            <w:r>
              <w:rPr>
                <w:rFonts w:ascii="宋体" w:hAnsi="宋体" w:eastAsia="宋体"/>
                <w:sz w:val="16"/>
              </w:rPr>
              <w:t>贯彻落实党的二十大精神和习近平总书记关于新疆重要讲话重要指示精神，特别是中共特克斯县第十三届委员会第三次全体会议的开年部署，紧扣目标任务，精心统筹谋划，狠抓各项重点工作任务，一是强化交通基础设施建设、构建更加通畅</w:t>
            </w:r>
            <w:r>
              <w:rPr>
                <w:rFonts w:hint="eastAsia" w:ascii="宋体" w:hAnsi="宋体"/>
                <w:sz w:val="16"/>
                <w:lang w:eastAsia="zh-CN"/>
              </w:rPr>
              <w:t>交</w:t>
            </w:r>
            <w:r>
              <w:rPr>
                <w:rFonts w:ascii="宋体" w:hAnsi="宋体" w:eastAsia="宋体"/>
                <w:sz w:val="16"/>
              </w:rPr>
              <w:t>通网络，完成50公里农村公路工程建设；二是持续深入开展“环境治理”专项行动，推进燃气客运车辆逐步向清洁能源纯电动化更新，计划2024年底达到70%以上，2027年底100%完成；三是紧跟新要求，夯实交通安全根基，完成农村公路安全生命防护工程70公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D80128">
            <w:pPr>
              <w:jc w:val="both"/>
            </w:pPr>
            <w:r>
              <w:rPr>
                <w:rFonts w:ascii="宋体" w:hAnsi="宋体" w:eastAsia="宋体"/>
                <w:sz w:val="16"/>
              </w:rPr>
              <w:t>城市客运汽车新能源纯电化更新指标：全县共有出租车315辆，均为清洁能源，计划2024年更新为纯电动目标达80%以上，2027年达100%。截至目前，已完成更新285辆，截至目前已超额完成31辆，总占比为90.5%。全年共实施农村公路建设项目4条52.02公里，总投资5695万元；生命安全防护工程69.85公里，总投资419万元。</w:t>
            </w:r>
          </w:p>
        </w:tc>
      </w:tr>
      <w:tr w14:paraId="521746E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73252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E8E2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2CB8B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78E1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CE08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9A07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FAE0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09B4F">
            <w:pPr>
              <w:jc w:val="center"/>
            </w:pPr>
            <w:r>
              <w:rPr>
                <w:rFonts w:ascii="宋体" w:hAnsi="宋体" w:eastAsia="宋体"/>
                <w:sz w:val="16"/>
              </w:rPr>
              <w:t>得分</w:t>
            </w:r>
          </w:p>
        </w:tc>
      </w:tr>
      <w:tr w14:paraId="4EB01C7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843F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253D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D3955">
            <w:pPr>
              <w:jc w:val="center"/>
            </w:pPr>
            <w:r>
              <w:rPr>
                <w:rFonts w:ascii="宋体" w:hAnsi="宋体" w:eastAsia="宋体"/>
                <w:sz w:val="16"/>
              </w:rPr>
              <w:t>农村公路建设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B8CD2">
            <w:pPr>
              <w:jc w:val="center"/>
            </w:pPr>
            <w:r>
              <w:rPr>
                <w:rFonts w:ascii="宋体" w:hAnsi="宋体" w:eastAsia="宋体"/>
                <w:sz w:val="16"/>
              </w:rPr>
              <w:t>&gt;=50公里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EDA00">
            <w:pPr>
              <w:jc w:val="center"/>
            </w:pPr>
            <w:r>
              <w:rPr>
                <w:rFonts w:ascii="宋体" w:hAnsi="宋体" w:eastAsia="宋体"/>
                <w:sz w:val="16"/>
              </w:rPr>
              <w:t>特克斯县人民政府工作报告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7A78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0626C">
            <w:pPr>
              <w:jc w:val="center"/>
            </w:pPr>
            <w:r>
              <w:rPr>
                <w:rFonts w:ascii="宋体" w:hAnsi="宋体" w:eastAsia="宋体"/>
                <w:sz w:val="16"/>
              </w:rPr>
              <w:t>52公里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46E3B">
            <w:pPr>
              <w:jc w:val="center"/>
            </w:pPr>
            <w:r>
              <w:rPr>
                <w:rFonts w:ascii="宋体" w:hAnsi="宋体" w:eastAsia="宋体"/>
                <w:sz w:val="16"/>
              </w:rPr>
              <w:t>30</w:t>
            </w:r>
          </w:p>
        </w:tc>
      </w:tr>
      <w:tr w14:paraId="2D5998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52BD3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CDAD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CA317">
            <w:pPr>
              <w:jc w:val="center"/>
            </w:pPr>
            <w:r>
              <w:rPr>
                <w:rFonts w:ascii="宋体" w:hAnsi="宋体" w:eastAsia="宋体"/>
                <w:sz w:val="16"/>
              </w:rPr>
              <w:t>清洁能源纯电动化更新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E0915">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09FA5">
            <w:pPr>
              <w:jc w:val="center"/>
            </w:pPr>
            <w:r>
              <w:rPr>
                <w:rFonts w:ascii="宋体" w:hAnsi="宋体" w:eastAsia="宋体"/>
                <w:sz w:val="16"/>
              </w:rPr>
              <w:t>特克斯县交通运输局2024年工作思路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DB9C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B5A5C">
            <w:pPr>
              <w:jc w:val="center"/>
            </w:pPr>
            <w:r>
              <w:rPr>
                <w:rFonts w:ascii="宋体" w:hAnsi="宋体" w:eastAsia="宋体"/>
                <w:sz w:val="16"/>
              </w:rPr>
              <w:t>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A21DB">
            <w:pPr>
              <w:jc w:val="center"/>
            </w:pPr>
            <w:r>
              <w:rPr>
                <w:rFonts w:ascii="宋体" w:hAnsi="宋体" w:eastAsia="宋体"/>
                <w:sz w:val="16"/>
              </w:rPr>
              <w:t>30</w:t>
            </w:r>
          </w:p>
        </w:tc>
      </w:tr>
      <w:tr w14:paraId="3F9E8F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E29F8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8B84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D6790">
            <w:pPr>
              <w:jc w:val="center"/>
            </w:pPr>
            <w:r>
              <w:rPr>
                <w:rFonts w:ascii="宋体" w:hAnsi="宋体" w:eastAsia="宋体"/>
                <w:sz w:val="16"/>
              </w:rPr>
              <w:t>农村公路安全生命防护工程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47AFB">
            <w:pPr>
              <w:jc w:val="center"/>
            </w:pPr>
            <w:r>
              <w:rPr>
                <w:rFonts w:ascii="宋体" w:hAnsi="宋体" w:eastAsia="宋体"/>
                <w:sz w:val="16"/>
              </w:rPr>
              <w:t>&gt;=70公里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34C24">
            <w:pPr>
              <w:jc w:val="center"/>
            </w:pPr>
            <w:r>
              <w:rPr>
                <w:rFonts w:ascii="宋体" w:hAnsi="宋体" w:eastAsia="宋体"/>
                <w:sz w:val="16"/>
              </w:rPr>
              <w:t>特克斯县交通运输局2024年工作思路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C4B1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940CE">
            <w:pPr>
              <w:jc w:val="center"/>
            </w:pPr>
            <w:r>
              <w:rPr>
                <w:rFonts w:ascii="宋体" w:hAnsi="宋体" w:eastAsia="宋体"/>
                <w:sz w:val="16"/>
              </w:rPr>
              <w:t>70公里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D1BF7">
            <w:pPr>
              <w:jc w:val="center"/>
            </w:pPr>
            <w:r>
              <w:rPr>
                <w:rFonts w:ascii="宋体" w:hAnsi="宋体" w:eastAsia="宋体"/>
                <w:sz w:val="16"/>
              </w:rPr>
              <w:t>30</w:t>
            </w:r>
          </w:p>
        </w:tc>
      </w:tr>
    </w:tbl>
    <w:p w14:paraId="5E66A7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0AF72BE">
        <w:tblPrEx>
          <w:tblCellMar>
            <w:top w:w="0" w:type="dxa"/>
            <w:left w:w="108" w:type="dxa"/>
            <w:bottom w:w="0" w:type="dxa"/>
            <w:right w:w="108" w:type="dxa"/>
          </w:tblCellMar>
        </w:tblPrEx>
        <w:tc>
          <w:tcPr>
            <w:tcW w:w="8848" w:type="dxa"/>
            <w:gridSpan w:val="14"/>
            <w:vAlign w:val="center"/>
          </w:tcPr>
          <w:p w14:paraId="5DB69AA0">
            <w:pPr>
              <w:jc w:val="center"/>
            </w:pPr>
            <w:r>
              <w:rPr>
                <w:rFonts w:ascii="宋体" w:hAnsi="宋体" w:eastAsia="宋体"/>
                <w:sz w:val="24"/>
              </w:rPr>
              <w:t>项目支出绩效自评表</w:t>
            </w:r>
          </w:p>
        </w:tc>
      </w:tr>
      <w:tr w14:paraId="360A7F1D">
        <w:tblPrEx>
          <w:tblCellMar>
            <w:top w:w="0" w:type="dxa"/>
            <w:left w:w="108" w:type="dxa"/>
            <w:bottom w:w="0" w:type="dxa"/>
            <w:right w:w="108" w:type="dxa"/>
          </w:tblCellMar>
        </w:tblPrEx>
        <w:tc>
          <w:tcPr>
            <w:tcW w:w="8848" w:type="dxa"/>
            <w:gridSpan w:val="14"/>
            <w:vAlign w:val="center"/>
          </w:tcPr>
          <w:p w14:paraId="199FB9FE">
            <w:pPr>
              <w:jc w:val="center"/>
            </w:pPr>
            <w:r>
              <w:rPr>
                <w:rFonts w:ascii="宋体" w:hAnsi="宋体" w:eastAsia="宋体"/>
                <w:sz w:val="24"/>
              </w:rPr>
              <w:t>(2024年度)</w:t>
            </w:r>
          </w:p>
        </w:tc>
      </w:tr>
      <w:tr w14:paraId="7719FD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96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CD6446">
            <w:pPr>
              <w:jc w:val="center"/>
            </w:pPr>
            <w:r>
              <w:rPr>
                <w:rFonts w:ascii="宋体" w:hAnsi="宋体" w:eastAsia="宋体"/>
                <w:sz w:val="16"/>
              </w:rPr>
              <w:t>2024年农牧区投递员补贴项目</w:t>
            </w:r>
          </w:p>
        </w:tc>
      </w:tr>
      <w:tr w14:paraId="7B4E0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08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67B47">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928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351A1">
            <w:pPr>
              <w:jc w:val="center"/>
            </w:pPr>
            <w:r>
              <w:rPr>
                <w:rFonts w:ascii="宋体" w:hAnsi="宋体" w:eastAsia="宋体"/>
                <w:sz w:val="16"/>
              </w:rPr>
              <w:t>特克斯县交通运输局</w:t>
            </w:r>
          </w:p>
        </w:tc>
      </w:tr>
      <w:tr w14:paraId="73340B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0BAF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D66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A62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C32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19D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136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4A9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F162">
            <w:pPr>
              <w:jc w:val="center"/>
            </w:pPr>
            <w:r>
              <w:rPr>
                <w:rFonts w:ascii="宋体" w:hAnsi="宋体" w:eastAsia="宋体"/>
                <w:sz w:val="16"/>
              </w:rPr>
              <w:t>得分</w:t>
            </w:r>
          </w:p>
        </w:tc>
      </w:tr>
      <w:tr w14:paraId="6EAFC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06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3A7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487A1">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C18F0">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BDED">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F8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283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29E7">
            <w:pPr>
              <w:jc w:val="center"/>
            </w:pPr>
            <w:r>
              <w:rPr>
                <w:rFonts w:ascii="宋体" w:hAnsi="宋体" w:eastAsia="宋体"/>
                <w:sz w:val="16"/>
              </w:rPr>
              <w:t>10.00</w:t>
            </w:r>
          </w:p>
        </w:tc>
      </w:tr>
      <w:tr w14:paraId="025C5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F14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42C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0B446">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A467A">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95FA7">
            <w:pPr>
              <w:jc w:val="center"/>
            </w:pPr>
            <w:r>
              <w:rPr>
                <w:rFonts w:ascii="宋体" w:hAnsi="宋体" w:eastAsia="宋体"/>
                <w:sz w:val="16"/>
              </w:rPr>
              <w:t>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6F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DD8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8514">
            <w:pPr>
              <w:jc w:val="center"/>
            </w:pPr>
            <w:r>
              <w:rPr>
                <w:rFonts w:ascii="宋体" w:hAnsi="宋体" w:eastAsia="宋体"/>
                <w:sz w:val="16"/>
              </w:rPr>
              <w:t>—</w:t>
            </w:r>
          </w:p>
        </w:tc>
      </w:tr>
      <w:tr w14:paraId="6E46A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9CA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7C17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36E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E9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894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4F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04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1505">
            <w:pPr>
              <w:jc w:val="center"/>
            </w:pPr>
            <w:r>
              <w:rPr>
                <w:rFonts w:ascii="宋体" w:hAnsi="宋体" w:eastAsia="宋体"/>
                <w:sz w:val="16"/>
              </w:rPr>
              <w:t>—</w:t>
            </w:r>
          </w:p>
        </w:tc>
      </w:tr>
      <w:tr w14:paraId="5D5264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F41E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676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A2C3C">
            <w:pPr>
              <w:jc w:val="center"/>
            </w:pPr>
            <w:r>
              <w:rPr>
                <w:rFonts w:ascii="宋体" w:hAnsi="宋体" w:eastAsia="宋体"/>
                <w:sz w:val="16"/>
              </w:rPr>
              <w:t>实际完成情况</w:t>
            </w:r>
          </w:p>
        </w:tc>
      </w:tr>
      <w:tr w14:paraId="27ABF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868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68B7C">
            <w:pPr>
              <w:jc w:val="both"/>
            </w:pPr>
            <w:r>
              <w:rPr>
                <w:rFonts w:ascii="宋体" w:hAnsi="宋体" w:eastAsia="宋体"/>
                <w:sz w:val="16"/>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818D7C">
            <w:pPr>
              <w:jc w:val="both"/>
            </w:pPr>
            <w:r>
              <w:rPr>
                <w:rFonts w:ascii="宋体" w:hAnsi="宋体" w:eastAsia="宋体"/>
                <w:sz w:val="16"/>
              </w:rPr>
              <w:t>通过本次农牧区投递员补贴项目，进一步加强了农牧区投递员队伍的规范化建设，促进了相关区域的经济发展及社会稳定。投递深度不足、邮件安全无法保障、投递次数少、耗时长等突出问题得到了解决。项目执行期间做到发放准确率与及时率稳定保持在100%，得益于补贴项目的有效实施，农牧区投递服务显著改善，农牧区投递服务质量得到提升。</w:t>
            </w:r>
          </w:p>
        </w:tc>
      </w:tr>
      <w:tr w14:paraId="63970B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C56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22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BF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7D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0B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BFF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5E0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28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1F7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CB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E6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9D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C4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F0F1">
            <w:pPr>
              <w:jc w:val="center"/>
            </w:pPr>
            <w:r>
              <w:rPr>
                <w:rFonts w:ascii="宋体" w:hAnsi="宋体" w:eastAsia="宋体"/>
                <w:sz w:val="16"/>
              </w:rPr>
              <w:t>偏差原因分析及改进措施</w:t>
            </w:r>
          </w:p>
        </w:tc>
      </w:tr>
      <w:tr w14:paraId="50A60D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D14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29C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13B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C333">
            <w:pPr>
              <w:jc w:val="center"/>
            </w:pPr>
            <w:r>
              <w:rPr>
                <w:rFonts w:ascii="宋体" w:hAnsi="宋体" w:eastAsia="宋体"/>
                <w:sz w:val="16"/>
              </w:rPr>
              <w:t>农牧区投递员补贴人数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90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7195">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A9C2">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6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9A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B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A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2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81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0E9F">
            <w:pPr>
              <w:jc w:val="center"/>
            </w:pPr>
          </w:p>
        </w:tc>
      </w:tr>
      <w:tr w14:paraId="56DA3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8B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D1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52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8F18">
            <w:pPr>
              <w:jc w:val="center"/>
            </w:pPr>
            <w:r>
              <w:rPr>
                <w:rFonts w:ascii="宋体" w:hAnsi="宋体" w:eastAsia="宋体"/>
                <w:sz w:val="16"/>
              </w:rPr>
              <w:t>人均每月补贴次数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21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EBD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AC5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E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59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6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7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6F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9E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4F57">
            <w:pPr>
              <w:jc w:val="center"/>
            </w:pPr>
          </w:p>
        </w:tc>
      </w:tr>
      <w:tr w14:paraId="0BB6B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82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CB2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869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BAB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D3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24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85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16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9A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B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D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6D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98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07CA">
            <w:pPr>
              <w:jc w:val="center"/>
            </w:pPr>
          </w:p>
        </w:tc>
      </w:tr>
      <w:tr w14:paraId="5D6EA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EC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F9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BB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E613">
            <w:pPr>
              <w:jc w:val="center"/>
            </w:pPr>
            <w:r>
              <w:rPr>
                <w:rFonts w:ascii="宋体" w:hAnsi="宋体" w:eastAsia="宋体"/>
                <w:sz w:val="16"/>
              </w:rPr>
              <w:t>职工队伍稳定性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A3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3AC0">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6EA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00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799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9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E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5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3B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F40D">
            <w:pPr>
              <w:jc w:val="center"/>
            </w:pPr>
          </w:p>
        </w:tc>
      </w:tr>
      <w:tr w14:paraId="367F4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9F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D9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81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223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0A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F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4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B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8D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4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D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3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37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6EEA">
            <w:pPr>
              <w:jc w:val="center"/>
            </w:pPr>
          </w:p>
        </w:tc>
      </w:tr>
      <w:tr w14:paraId="745B4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4B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9E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83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634C">
            <w:pPr>
              <w:jc w:val="center"/>
            </w:pPr>
            <w:r>
              <w:rPr>
                <w:rFonts w:ascii="宋体" w:hAnsi="宋体" w:eastAsia="宋体"/>
                <w:sz w:val="16"/>
              </w:rPr>
              <w:t>补贴按期发放率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E9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A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E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C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B6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A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E1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A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19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AC05">
            <w:pPr>
              <w:jc w:val="center"/>
            </w:pPr>
          </w:p>
        </w:tc>
      </w:tr>
      <w:tr w14:paraId="07388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AE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4F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D2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AFCD">
            <w:pPr>
              <w:jc w:val="center"/>
            </w:pPr>
            <w:r>
              <w:rPr>
                <w:rFonts w:ascii="宋体" w:hAnsi="宋体" w:eastAsia="宋体"/>
                <w:sz w:val="16"/>
              </w:rPr>
              <w:t>人均每月补贴金额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B9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7A9C">
            <w:pPr>
              <w:jc w:val="center"/>
            </w:pPr>
            <w:r>
              <w:rPr>
                <w:rFonts w:ascii="宋体" w:hAnsi="宋体" w:eastAsia="宋体"/>
                <w:sz w:val="16"/>
              </w:rPr>
              <w:t>&lt;=100元/次/人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E5B9">
            <w:pPr>
              <w:jc w:val="center"/>
            </w:pPr>
            <w:r>
              <w:rPr>
                <w:rFonts w:ascii="宋体" w:hAnsi="宋体" w:eastAsia="宋体"/>
                <w:sz w:val="16"/>
              </w:rPr>
              <w:t>100元/次/人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D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FD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4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6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C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A6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6632">
            <w:pPr>
              <w:jc w:val="center"/>
            </w:pPr>
          </w:p>
        </w:tc>
      </w:tr>
      <w:tr w14:paraId="60CB8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21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AF5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2B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0F07">
            <w:pPr>
              <w:jc w:val="center"/>
            </w:pPr>
            <w:r>
              <w:rPr>
                <w:rFonts w:ascii="宋体" w:hAnsi="宋体" w:eastAsia="宋体"/>
                <w:sz w:val="16"/>
              </w:rPr>
              <w:t>农牧区邮政普遍服务能力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E9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86A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1289">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2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77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C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C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F4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F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13E6">
            <w:pPr>
              <w:jc w:val="center"/>
            </w:pPr>
          </w:p>
        </w:tc>
      </w:tr>
      <w:tr w14:paraId="08611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48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9C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1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3CB0">
            <w:pPr>
              <w:jc w:val="center"/>
            </w:pPr>
            <w:r>
              <w:rPr>
                <w:rFonts w:ascii="宋体" w:hAnsi="宋体" w:eastAsia="宋体"/>
                <w:sz w:val="16"/>
              </w:rPr>
              <w:t>农牧区投递员满意率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4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2B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D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F1D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2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3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A6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C6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1F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8431">
            <w:pPr>
              <w:jc w:val="center"/>
            </w:pPr>
            <w:r>
              <w:rPr>
                <w:rFonts w:ascii="宋体" w:hAnsi="宋体" w:eastAsia="宋体"/>
                <w:sz w:val="16"/>
              </w:rPr>
              <w:t>农牧区投递员补贴是利民项目，群众需求高，满意度也高于预期值。</w:t>
            </w:r>
          </w:p>
        </w:tc>
      </w:tr>
      <w:tr w14:paraId="5A768C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4754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E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B13F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40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2A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7E4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546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CFD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1C0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8B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B03AB"/>
        </w:tc>
      </w:tr>
    </w:tbl>
    <w:p w14:paraId="77AF87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149646F2">
        <w:tblPrEx>
          <w:tblCellMar>
            <w:top w:w="0" w:type="dxa"/>
            <w:left w:w="108" w:type="dxa"/>
            <w:bottom w:w="0" w:type="dxa"/>
            <w:right w:w="108" w:type="dxa"/>
          </w:tblCellMar>
        </w:tblPrEx>
        <w:tc>
          <w:tcPr>
            <w:tcW w:w="8848" w:type="dxa"/>
            <w:gridSpan w:val="14"/>
            <w:vAlign w:val="center"/>
          </w:tcPr>
          <w:p w14:paraId="06A55EBA">
            <w:pPr>
              <w:jc w:val="center"/>
            </w:pPr>
            <w:r>
              <w:rPr>
                <w:rFonts w:ascii="宋体" w:hAnsi="宋体" w:eastAsia="宋体"/>
                <w:sz w:val="24"/>
              </w:rPr>
              <w:t>项目支出绩效自评表</w:t>
            </w:r>
          </w:p>
        </w:tc>
      </w:tr>
      <w:tr w14:paraId="4682E6AE">
        <w:tblPrEx>
          <w:tblCellMar>
            <w:top w:w="0" w:type="dxa"/>
            <w:left w:w="108" w:type="dxa"/>
            <w:bottom w:w="0" w:type="dxa"/>
            <w:right w:w="108" w:type="dxa"/>
          </w:tblCellMar>
        </w:tblPrEx>
        <w:tc>
          <w:tcPr>
            <w:tcW w:w="8848" w:type="dxa"/>
            <w:gridSpan w:val="14"/>
            <w:vAlign w:val="center"/>
          </w:tcPr>
          <w:p w14:paraId="5718F0F4">
            <w:pPr>
              <w:jc w:val="center"/>
            </w:pPr>
            <w:r>
              <w:rPr>
                <w:rFonts w:ascii="宋体" w:hAnsi="宋体" w:eastAsia="宋体"/>
                <w:sz w:val="24"/>
              </w:rPr>
              <w:t>(2024年度)</w:t>
            </w:r>
          </w:p>
        </w:tc>
      </w:tr>
      <w:tr w14:paraId="7C002C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C3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025571">
            <w:pPr>
              <w:jc w:val="center"/>
            </w:pPr>
            <w:r>
              <w:rPr>
                <w:rFonts w:ascii="宋体" w:hAnsi="宋体" w:eastAsia="宋体"/>
                <w:sz w:val="16"/>
              </w:rPr>
              <w:t>交通运输局工作资金项目</w:t>
            </w:r>
          </w:p>
        </w:tc>
      </w:tr>
      <w:tr w14:paraId="02B16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E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E687D">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B6D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EBC52B">
            <w:pPr>
              <w:jc w:val="center"/>
            </w:pPr>
            <w:r>
              <w:rPr>
                <w:rFonts w:ascii="宋体" w:hAnsi="宋体" w:eastAsia="宋体"/>
                <w:sz w:val="16"/>
              </w:rPr>
              <w:t>特克斯县交通运输局</w:t>
            </w:r>
          </w:p>
        </w:tc>
      </w:tr>
      <w:tr w14:paraId="4586F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31D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F74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7E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BA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90E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2A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8B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42B9">
            <w:pPr>
              <w:jc w:val="center"/>
            </w:pPr>
            <w:r>
              <w:rPr>
                <w:rFonts w:ascii="宋体" w:hAnsi="宋体" w:eastAsia="宋体"/>
                <w:sz w:val="16"/>
              </w:rPr>
              <w:t>得分</w:t>
            </w:r>
          </w:p>
        </w:tc>
      </w:tr>
      <w:tr w14:paraId="2DC56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44B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C13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C64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564E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F4DE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7DC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C24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BBC4">
            <w:pPr>
              <w:jc w:val="center"/>
            </w:pPr>
            <w:r>
              <w:rPr>
                <w:rFonts w:ascii="宋体" w:hAnsi="宋体" w:eastAsia="宋体"/>
                <w:sz w:val="16"/>
              </w:rPr>
              <w:t>10.00</w:t>
            </w:r>
          </w:p>
        </w:tc>
      </w:tr>
      <w:tr w14:paraId="50294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1FC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8C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1076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EE91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00BE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501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A3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DE07">
            <w:pPr>
              <w:jc w:val="center"/>
            </w:pPr>
            <w:r>
              <w:rPr>
                <w:rFonts w:ascii="宋体" w:hAnsi="宋体" w:eastAsia="宋体"/>
                <w:sz w:val="16"/>
              </w:rPr>
              <w:t>—</w:t>
            </w:r>
          </w:p>
        </w:tc>
      </w:tr>
      <w:tr w14:paraId="67EAEE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DD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9A3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3BB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188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491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E4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DE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7F43">
            <w:pPr>
              <w:jc w:val="center"/>
            </w:pPr>
            <w:r>
              <w:rPr>
                <w:rFonts w:ascii="宋体" w:hAnsi="宋体" w:eastAsia="宋体"/>
                <w:sz w:val="16"/>
              </w:rPr>
              <w:t>—</w:t>
            </w:r>
          </w:p>
        </w:tc>
      </w:tr>
      <w:tr w14:paraId="1FA8FA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E7E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583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41E98">
            <w:pPr>
              <w:jc w:val="center"/>
            </w:pPr>
            <w:r>
              <w:rPr>
                <w:rFonts w:ascii="宋体" w:hAnsi="宋体" w:eastAsia="宋体"/>
                <w:sz w:val="16"/>
              </w:rPr>
              <w:t>实际完成情况</w:t>
            </w:r>
          </w:p>
        </w:tc>
      </w:tr>
      <w:tr w14:paraId="25D42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6DA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3F994">
            <w:pPr>
              <w:jc w:val="both"/>
            </w:pPr>
            <w:r>
              <w:rPr>
                <w:rFonts w:ascii="宋体" w:hAnsi="宋体" w:eastAsia="宋体"/>
                <w:sz w:val="16"/>
              </w:rPr>
              <w:t>为高质高效</w:t>
            </w:r>
            <w:r>
              <w:rPr>
                <w:rFonts w:hint="eastAsia" w:ascii="宋体" w:hAnsi="宋体"/>
                <w:sz w:val="16"/>
                <w:lang w:eastAsia="zh-CN"/>
              </w:rPr>
              <w:t>地</w:t>
            </w:r>
            <w:r>
              <w:rPr>
                <w:rFonts w:ascii="宋体" w:hAnsi="宋体" w:eastAsia="宋体"/>
                <w:sz w:val="16"/>
              </w:rPr>
              <w:t>完成交通运输基础设施建设，综合行政执法等各项工作任务，有效促进</w:t>
            </w:r>
            <w:r>
              <w:rPr>
                <w:rFonts w:hint="eastAsia" w:ascii="宋体" w:hAnsi="宋体"/>
                <w:sz w:val="16"/>
                <w:lang w:eastAsia="zh-CN"/>
              </w:rPr>
              <w:t>单位</w:t>
            </w:r>
            <w:r>
              <w:rPr>
                <w:rFonts w:ascii="宋体" w:hAnsi="宋体" w:eastAsia="宋体"/>
                <w:sz w:val="16"/>
              </w:rPr>
              <w:t>工作落地落实，工作效率进一步提升，保障2024年各项工作顺利展开。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8700B">
            <w:pPr>
              <w:jc w:val="both"/>
            </w:pPr>
            <w:r>
              <w:rPr>
                <w:rFonts w:ascii="宋体" w:hAnsi="宋体" w:eastAsia="宋体"/>
                <w:sz w:val="16"/>
              </w:rPr>
              <w:t>依据局内各项事务，将工作资金精准分配至关键领域，保障了交通运输基础设施建设、综合行政执法等各项工作任务能高质量、高效率</w:t>
            </w:r>
            <w:r>
              <w:rPr>
                <w:rFonts w:hint="eastAsia" w:ascii="宋体" w:hAnsi="宋体"/>
                <w:sz w:val="16"/>
                <w:lang w:eastAsia="zh-CN"/>
              </w:rPr>
              <w:t>地</w:t>
            </w:r>
            <w:r>
              <w:rPr>
                <w:rFonts w:ascii="宋体" w:hAnsi="宋体" w:eastAsia="宋体"/>
                <w:sz w:val="16"/>
              </w:rPr>
              <w:t>完成，进一步落实</w:t>
            </w:r>
            <w:r>
              <w:rPr>
                <w:rFonts w:hint="eastAsia" w:ascii="宋体" w:hAnsi="宋体"/>
                <w:sz w:val="16"/>
                <w:lang w:eastAsia="zh-CN"/>
              </w:rPr>
              <w:t>单位</w:t>
            </w:r>
            <w:r>
              <w:rPr>
                <w:rFonts w:ascii="宋体" w:hAnsi="宋体" w:eastAsia="宋体"/>
                <w:sz w:val="16"/>
              </w:rPr>
              <w:t>的各项工作，提升工作效率，顺利开展各项工作。</w:t>
            </w:r>
          </w:p>
        </w:tc>
      </w:tr>
      <w:tr w14:paraId="642A6E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E56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22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E3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95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A2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D3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86C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C2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7F9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40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15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2E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3E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9A7E">
            <w:pPr>
              <w:jc w:val="center"/>
            </w:pPr>
            <w:r>
              <w:rPr>
                <w:rFonts w:ascii="宋体" w:hAnsi="宋体" w:eastAsia="宋体"/>
                <w:sz w:val="16"/>
              </w:rPr>
              <w:t>偏差原因分析及改进措施</w:t>
            </w:r>
          </w:p>
        </w:tc>
      </w:tr>
      <w:tr w14:paraId="79C6D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5CE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ABA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C84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8A1C">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9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F5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EC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5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E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3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6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6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0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09FF">
            <w:pPr>
              <w:jc w:val="center"/>
            </w:pPr>
          </w:p>
        </w:tc>
      </w:tr>
      <w:tr w14:paraId="7ABE6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B2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4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7F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00FE">
            <w:pPr>
              <w:jc w:val="center"/>
            </w:pPr>
            <w:r>
              <w:rPr>
                <w:rFonts w:ascii="宋体" w:hAnsi="宋体" w:eastAsia="宋体"/>
                <w:sz w:val="16"/>
              </w:rPr>
              <w:t>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D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ED19">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99DB">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2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D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C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2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E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6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BCFC">
            <w:pPr>
              <w:jc w:val="center"/>
            </w:pPr>
          </w:p>
        </w:tc>
      </w:tr>
      <w:tr w14:paraId="1D421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4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9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3E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FA12">
            <w:pPr>
              <w:jc w:val="center"/>
            </w:pPr>
            <w:r>
              <w:rPr>
                <w:rFonts w:ascii="宋体" w:hAnsi="宋体" w:eastAsia="宋体"/>
                <w:sz w:val="16"/>
              </w:rPr>
              <w:t>交通运输工作经费拨付率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88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E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1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A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F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1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3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F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2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51BA">
            <w:pPr>
              <w:jc w:val="center"/>
            </w:pPr>
          </w:p>
        </w:tc>
      </w:tr>
      <w:tr w14:paraId="1FED2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39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6D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13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F57E">
            <w:pPr>
              <w:jc w:val="center"/>
            </w:pPr>
            <w:r>
              <w:rPr>
                <w:rFonts w:ascii="宋体" w:hAnsi="宋体" w:eastAsia="宋体"/>
                <w:sz w:val="16"/>
              </w:rPr>
              <w:t>交通运输工作经费到位及时性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23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164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4608">
            <w:pPr>
              <w:jc w:val="center"/>
            </w:pPr>
            <w:r>
              <w:rPr>
                <w:rFonts w:ascii="宋体" w:hAnsi="宋体" w:eastAsia="宋体"/>
                <w:sz w:val="16"/>
              </w:rPr>
              <w:t>100年12月25日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2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E5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C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D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E9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2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6A67">
            <w:pPr>
              <w:jc w:val="center"/>
            </w:pPr>
          </w:p>
        </w:tc>
      </w:tr>
      <w:tr w14:paraId="0969F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C9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360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92C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49C9">
            <w:pPr>
              <w:jc w:val="center"/>
            </w:pPr>
            <w:r>
              <w:rPr>
                <w:rFonts w:ascii="宋体" w:hAnsi="宋体" w:eastAsia="宋体"/>
                <w:sz w:val="16"/>
              </w:rPr>
              <w:t>办公费用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92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B489">
            <w:pPr>
              <w:jc w:val="center"/>
            </w:pPr>
            <w:r>
              <w:rPr>
                <w:rFonts w:ascii="宋体" w:hAnsi="宋体" w:eastAsia="宋体"/>
                <w:sz w:val="16"/>
              </w:rPr>
              <w:t>&lt;=85520元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77C9">
            <w:pPr>
              <w:jc w:val="center"/>
            </w:pPr>
            <w:r>
              <w:rPr>
                <w:rFonts w:ascii="宋体" w:hAnsi="宋体" w:eastAsia="宋体"/>
                <w:sz w:val="16"/>
              </w:rPr>
              <w:t>85520元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D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1F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AF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8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0D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8A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CF45">
            <w:pPr>
              <w:jc w:val="center"/>
            </w:pPr>
          </w:p>
        </w:tc>
      </w:tr>
      <w:tr w14:paraId="5D03D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DB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33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62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B764">
            <w:pPr>
              <w:jc w:val="center"/>
            </w:pPr>
            <w:r>
              <w:rPr>
                <w:rFonts w:ascii="宋体" w:hAnsi="宋体" w:eastAsia="宋体"/>
                <w:sz w:val="16"/>
              </w:rPr>
              <w:t>公务用车运行费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30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77C8">
            <w:pPr>
              <w:jc w:val="center"/>
            </w:pPr>
            <w:r>
              <w:rPr>
                <w:rFonts w:ascii="宋体" w:hAnsi="宋体" w:eastAsia="宋体"/>
                <w:sz w:val="16"/>
              </w:rPr>
              <w:t>&lt;=2500元/辆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6984">
            <w:pPr>
              <w:jc w:val="center"/>
            </w:pPr>
            <w:r>
              <w:rPr>
                <w:rFonts w:ascii="宋体" w:hAnsi="宋体" w:eastAsia="宋体"/>
                <w:sz w:val="16"/>
              </w:rPr>
              <w:t>2500元/辆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D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F9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07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D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5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5C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7289">
            <w:pPr>
              <w:jc w:val="center"/>
            </w:pPr>
          </w:p>
        </w:tc>
      </w:tr>
      <w:tr w14:paraId="2867C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B6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C5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D2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1D2F">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24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26ED">
            <w:pPr>
              <w:jc w:val="center"/>
            </w:pPr>
            <w:r>
              <w:rPr>
                <w:rFonts w:ascii="宋体" w:hAnsi="宋体" w:eastAsia="宋体"/>
                <w:sz w:val="16"/>
              </w:rPr>
              <w:t>&lt;=4480元/人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7592">
            <w:pPr>
              <w:jc w:val="center"/>
            </w:pPr>
            <w:r>
              <w:rPr>
                <w:rFonts w:ascii="宋体" w:hAnsi="宋体" w:eastAsia="宋体"/>
                <w:sz w:val="16"/>
              </w:rPr>
              <w:t>4480元/人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1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7A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BE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8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86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E2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ADB9">
            <w:pPr>
              <w:jc w:val="center"/>
            </w:pPr>
          </w:p>
        </w:tc>
      </w:tr>
      <w:tr w14:paraId="27339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ED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F1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28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B16B">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AB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D06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28F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4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DC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0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9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6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E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5F49">
            <w:pPr>
              <w:jc w:val="center"/>
            </w:pPr>
          </w:p>
        </w:tc>
      </w:tr>
      <w:tr w14:paraId="159E0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0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C2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3D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2F35">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0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F2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78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0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D0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2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1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A6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05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D80A">
            <w:pPr>
              <w:jc w:val="center"/>
            </w:pPr>
          </w:p>
        </w:tc>
      </w:tr>
      <w:tr w14:paraId="374704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25F0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7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9AE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A07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A0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0E9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EE4B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158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996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09A2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513D9"/>
        </w:tc>
      </w:tr>
    </w:tbl>
    <w:p w14:paraId="7649E5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5E0679C">
        <w:tblPrEx>
          <w:tblCellMar>
            <w:top w:w="0" w:type="dxa"/>
            <w:left w:w="108" w:type="dxa"/>
            <w:bottom w:w="0" w:type="dxa"/>
            <w:right w:w="108" w:type="dxa"/>
          </w:tblCellMar>
        </w:tblPrEx>
        <w:tc>
          <w:tcPr>
            <w:tcW w:w="8848" w:type="dxa"/>
            <w:gridSpan w:val="14"/>
            <w:vAlign w:val="center"/>
          </w:tcPr>
          <w:p w14:paraId="6EA072C6">
            <w:pPr>
              <w:jc w:val="center"/>
            </w:pPr>
            <w:r>
              <w:rPr>
                <w:rFonts w:ascii="宋体" w:hAnsi="宋体" w:eastAsia="宋体"/>
                <w:sz w:val="24"/>
              </w:rPr>
              <w:t>项目支出绩效自评表</w:t>
            </w:r>
          </w:p>
        </w:tc>
      </w:tr>
      <w:tr w14:paraId="5CB77988">
        <w:tblPrEx>
          <w:tblCellMar>
            <w:top w:w="0" w:type="dxa"/>
            <w:left w:w="108" w:type="dxa"/>
            <w:bottom w:w="0" w:type="dxa"/>
            <w:right w:w="108" w:type="dxa"/>
          </w:tblCellMar>
        </w:tblPrEx>
        <w:tc>
          <w:tcPr>
            <w:tcW w:w="8848" w:type="dxa"/>
            <w:gridSpan w:val="14"/>
            <w:vAlign w:val="center"/>
          </w:tcPr>
          <w:p w14:paraId="7873A280">
            <w:pPr>
              <w:jc w:val="center"/>
            </w:pPr>
            <w:r>
              <w:rPr>
                <w:rFonts w:ascii="宋体" w:hAnsi="宋体" w:eastAsia="宋体"/>
                <w:sz w:val="24"/>
              </w:rPr>
              <w:t>(2024年度)</w:t>
            </w:r>
          </w:p>
        </w:tc>
      </w:tr>
      <w:tr w14:paraId="72696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A5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15F70D">
            <w:pPr>
              <w:jc w:val="center"/>
            </w:pPr>
            <w:r>
              <w:rPr>
                <w:rFonts w:ascii="宋体" w:hAnsi="宋体" w:eastAsia="宋体"/>
                <w:sz w:val="16"/>
              </w:rPr>
              <w:t>伊州财建</w:t>
            </w:r>
            <w:r>
              <w:rPr>
                <w:rFonts w:hint="eastAsia" w:ascii="宋体" w:hAnsi="宋体"/>
                <w:sz w:val="16"/>
                <w:lang w:eastAsia="zh-CN"/>
              </w:rPr>
              <w:t>〔2023〕198号</w:t>
            </w:r>
            <w:r>
              <w:rPr>
                <w:rFonts w:ascii="宋体" w:hAnsi="宋体" w:eastAsia="宋体"/>
                <w:sz w:val="16"/>
              </w:rPr>
              <w:t>2023年度农村客运补贴资金及城市交通发展奖励资金项目</w:t>
            </w:r>
          </w:p>
        </w:tc>
      </w:tr>
      <w:tr w14:paraId="6CCBE1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19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A95B1">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9E2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B2180">
            <w:pPr>
              <w:jc w:val="center"/>
            </w:pPr>
            <w:r>
              <w:rPr>
                <w:rFonts w:ascii="宋体" w:hAnsi="宋体" w:eastAsia="宋体"/>
                <w:sz w:val="16"/>
              </w:rPr>
              <w:t>特克斯县交通运输局</w:t>
            </w:r>
          </w:p>
        </w:tc>
      </w:tr>
      <w:tr w14:paraId="3ECBAB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5D28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DC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699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1FB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836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B59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AF9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C8F5">
            <w:pPr>
              <w:jc w:val="center"/>
            </w:pPr>
            <w:r>
              <w:rPr>
                <w:rFonts w:ascii="宋体" w:hAnsi="宋体" w:eastAsia="宋体"/>
                <w:sz w:val="16"/>
              </w:rPr>
              <w:t>得分</w:t>
            </w:r>
          </w:p>
        </w:tc>
      </w:tr>
      <w:tr w14:paraId="59EF1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4EE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A6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5A5D">
            <w:pPr>
              <w:jc w:val="center"/>
            </w:pPr>
            <w:r>
              <w:rPr>
                <w:rFonts w:ascii="宋体" w:hAnsi="宋体" w:eastAsia="宋体"/>
                <w:sz w:val="16"/>
              </w:rPr>
              <w:t>735.00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D81C2">
            <w:pPr>
              <w:jc w:val="center"/>
            </w:pPr>
            <w:r>
              <w:rPr>
                <w:rFonts w:ascii="宋体" w:hAnsi="宋体" w:eastAsia="宋体"/>
                <w:sz w:val="16"/>
              </w:rPr>
              <w:t>735.00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3D3F1">
            <w:pPr>
              <w:jc w:val="center"/>
            </w:pPr>
            <w:r>
              <w:rPr>
                <w:rFonts w:ascii="宋体" w:hAnsi="宋体" w:eastAsia="宋体"/>
                <w:sz w:val="16"/>
              </w:rPr>
              <w:t>638.30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DB2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A1D19">
            <w:pPr>
              <w:jc w:val="center"/>
            </w:pPr>
            <w:r>
              <w:rPr>
                <w:rFonts w:ascii="宋体" w:hAnsi="宋体" w:eastAsia="宋体"/>
                <w:sz w:val="16"/>
              </w:rPr>
              <w:t>86.84%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E396">
            <w:pPr>
              <w:jc w:val="center"/>
            </w:pPr>
            <w:r>
              <w:rPr>
                <w:rFonts w:ascii="宋体" w:hAnsi="宋体" w:eastAsia="宋体"/>
                <w:sz w:val="16"/>
              </w:rPr>
              <w:t>6.71</w:t>
            </w:r>
          </w:p>
        </w:tc>
      </w:tr>
      <w:tr w14:paraId="4A242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54B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4DE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8BD2E">
            <w:pPr>
              <w:jc w:val="center"/>
            </w:pPr>
            <w:r>
              <w:rPr>
                <w:rFonts w:ascii="宋体" w:hAnsi="宋体" w:eastAsia="宋体"/>
                <w:sz w:val="16"/>
              </w:rPr>
              <w:t>735.00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4FA9A">
            <w:pPr>
              <w:jc w:val="center"/>
            </w:pPr>
            <w:r>
              <w:rPr>
                <w:rFonts w:ascii="宋体" w:hAnsi="宋体" w:eastAsia="宋体"/>
                <w:sz w:val="16"/>
              </w:rPr>
              <w:t>735.00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BE53D">
            <w:pPr>
              <w:jc w:val="center"/>
            </w:pPr>
            <w:r>
              <w:rPr>
                <w:rFonts w:ascii="宋体" w:hAnsi="宋体" w:eastAsia="宋体"/>
                <w:sz w:val="16"/>
              </w:rPr>
              <w:t>638.30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6B6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65B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B119">
            <w:pPr>
              <w:jc w:val="center"/>
            </w:pPr>
            <w:r>
              <w:rPr>
                <w:rFonts w:ascii="宋体" w:hAnsi="宋体" w:eastAsia="宋体"/>
                <w:sz w:val="16"/>
              </w:rPr>
              <w:t>—</w:t>
            </w:r>
          </w:p>
        </w:tc>
      </w:tr>
      <w:tr w14:paraId="05BDA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059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B3A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B2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C26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945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B3F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5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A5C4">
            <w:pPr>
              <w:jc w:val="center"/>
            </w:pPr>
            <w:r>
              <w:rPr>
                <w:rFonts w:ascii="宋体" w:hAnsi="宋体" w:eastAsia="宋体"/>
                <w:sz w:val="16"/>
              </w:rPr>
              <w:t>—</w:t>
            </w:r>
          </w:p>
        </w:tc>
      </w:tr>
      <w:tr w14:paraId="0474B5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C13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F90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1A5855">
            <w:pPr>
              <w:jc w:val="center"/>
            </w:pPr>
            <w:r>
              <w:rPr>
                <w:rFonts w:ascii="宋体" w:hAnsi="宋体" w:eastAsia="宋体"/>
                <w:sz w:val="16"/>
              </w:rPr>
              <w:t>实际完成情况</w:t>
            </w:r>
          </w:p>
        </w:tc>
      </w:tr>
      <w:tr w14:paraId="288B1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EF9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C4963">
            <w:pPr>
              <w:jc w:val="both"/>
            </w:pPr>
            <w:r>
              <w:rPr>
                <w:rFonts w:ascii="宋体" w:hAnsi="宋体" w:eastAsia="宋体"/>
                <w:sz w:val="16"/>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6622B5">
            <w:pPr>
              <w:jc w:val="both"/>
            </w:pPr>
            <w:r>
              <w:rPr>
                <w:rFonts w:ascii="宋体" w:hAnsi="宋体" w:eastAsia="宋体"/>
                <w:sz w:val="16"/>
              </w:rPr>
              <w:t>鼓励农村客运、城市公交企业积极承担社会义务，切实减轻企业运行负担和地方财政压力，对农村客运、城市公交燃油消耗进行补助，补助标准略高于上年度或与上年度基本持平。</w:t>
            </w:r>
          </w:p>
        </w:tc>
      </w:tr>
      <w:tr w14:paraId="34DEC0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9E4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07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2F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E0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14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468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4A0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09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233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DC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63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31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24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BC54">
            <w:pPr>
              <w:jc w:val="center"/>
            </w:pPr>
            <w:r>
              <w:rPr>
                <w:rFonts w:ascii="宋体" w:hAnsi="宋体" w:eastAsia="宋体"/>
                <w:sz w:val="16"/>
              </w:rPr>
              <w:t>偏差原因分析及改进措施</w:t>
            </w:r>
          </w:p>
        </w:tc>
      </w:tr>
      <w:tr w14:paraId="05D1CA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38E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9B3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B3B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DDD3">
            <w:pPr>
              <w:jc w:val="center"/>
            </w:pPr>
            <w:r>
              <w:rPr>
                <w:rFonts w:ascii="宋体" w:hAnsi="宋体" w:eastAsia="宋体"/>
                <w:sz w:val="16"/>
              </w:rPr>
              <w:t>农村客运车辆数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C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F4EF">
            <w:pPr>
              <w:jc w:val="center"/>
            </w:pPr>
            <w:r>
              <w:rPr>
                <w:rFonts w:ascii="宋体" w:hAnsi="宋体" w:eastAsia="宋体"/>
                <w:sz w:val="16"/>
              </w:rPr>
              <w:t>=346辆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31BC">
            <w:pPr>
              <w:jc w:val="center"/>
            </w:pPr>
            <w:r>
              <w:rPr>
                <w:rFonts w:ascii="宋体" w:hAnsi="宋体" w:eastAsia="宋体"/>
                <w:sz w:val="16"/>
              </w:rPr>
              <w:t>346辆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9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0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6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C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C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9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BAC0">
            <w:pPr>
              <w:jc w:val="center"/>
            </w:pPr>
          </w:p>
        </w:tc>
      </w:tr>
      <w:tr w14:paraId="78C74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FF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46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EF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30F0">
            <w:pPr>
              <w:jc w:val="center"/>
            </w:pPr>
            <w:r>
              <w:rPr>
                <w:rFonts w:ascii="宋体" w:hAnsi="宋体" w:eastAsia="宋体"/>
                <w:sz w:val="16"/>
              </w:rPr>
              <w:t>城市公交车辆数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D2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F2CD">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60ED">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6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49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7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6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DB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35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F6D6">
            <w:pPr>
              <w:jc w:val="center"/>
            </w:pPr>
          </w:p>
        </w:tc>
      </w:tr>
      <w:tr w14:paraId="5A5A4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7B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EF2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FB6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C5D8">
            <w:pPr>
              <w:jc w:val="center"/>
            </w:pPr>
            <w:r>
              <w:rPr>
                <w:rFonts w:ascii="宋体" w:hAnsi="宋体" w:eastAsia="宋体"/>
                <w:sz w:val="16"/>
              </w:rPr>
              <w:t>具备条件的建制村通客车率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2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2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9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C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A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7A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E5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6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3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70C7">
            <w:pPr>
              <w:jc w:val="center"/>
            </w:pPr>
          </w:p>
        </w:tc>
      </w:tr>
      <w:tr w14:paraId="04708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5D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F8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D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50F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C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1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3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C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BB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6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D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CB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1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975E">
            <w:pPr>
              <w:jc w:val="center"/>
            </w:pPr>
          </w:p>
        </w:tc>
      </w:tr>
      <w:tr w14:paraId="704E6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4F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9C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20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5B0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07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F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A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E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35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E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D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7C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6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591A">
            <w:pPr>
              <w:jc w:val="center"/>
            </w:pPr>
          </w:p>
        </w:tc>
      </w:tr>
      <w:tr w14:paraId="43767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6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5B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A3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FEAF">
            <w:pPr>
              <w:jc w:val="center"/>
            </w:pPr>
            <w:r>
              <w:rPr>
                <w:rFonts w:ascii="宋体" w:hAnsi="宋体" w:eastAsia="宋体"/>
                <w:sz w:val="16"/>
              </w:rPr>
              <w:t>城市公交补助资金占用油费用的比例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D0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BA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92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7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8B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5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6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4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5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97D9">
            <w:pPr>
              <w:jc w:val="center"/>
            </w:pPr>
          </w:p>
        </w:tc>
      </w:tr>
      <w:tr w14:paraId="26090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02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09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16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83AB">
            <w:pPr>
              <w:jc w:val="center"/>
            </w:pPr>
            <w:r>
              <w:rPr>
                <w:rFonts w:ascii="宋体" w:hAnsi="宋体" w:eastAsia="宋体"/>
                <w:sz w:val="16"/>
              </w:rPr>
              <w:t>改善农村客运、城市公交公司运营状况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A6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EBB8">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4553">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4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4A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8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1A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93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D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A120">
            <w:pPr>
              <w:jc w:val="center"/>
            </w:pPr>
          </w:p>
        </w:tc>
      </w:tr>
      <w:tr w14:paraId="421B1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31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0D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3E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D756">
            <w:pPr>
              <w:jc w:val="center"/>
            </w:pPr>
            <w:r>
              <w:rPr>
                <w:rFonts w:ascii="宋体" w:hAnsi="宋体" w:eastAsia="宋体"/>
                <w:sz w:val="16"/>
              </w:rPr>
              <w:t>农村、城市受益群众满意度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7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0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6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3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5D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2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5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A5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E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25EA">
            <w:pPr>
              <w:jc w:val="center"/>
            </w:pPr>
          </w:p>
        </w:tc>
      </w:tr>
      <w:tr w14:paraId="38B9D5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B26C0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A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3B7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740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57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3928">
            <w:pPr>
              <w:jc w:val="center"/>
            </w:pPr>
            <w:r>
              <w:rPr>
                <w:rFonts w:ascii="宋体" w:hAnsi="宋体" w:eastAsia="宋体"/>
                <w:sz w:val="16"/>
              </w:rPr>
              <w:t>96.71分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97D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64D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AF7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A7F2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D0DB0"/>
        </w:tc>
      </w:tr>
    </w:tbl>
    <w:p w14:paraId="568B26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6D978467">
        <w:tblPrEx>
          <w:tblCellMar>
            <w:top w:w="0" w:type="dxa"/>
            <w:left w:w="108" w:type="dxa"/>
            <w:bottom w:w="0" w:type="dxa"/>
            <w:right w:w="108" w:type="dxa"/>
          </w:tblCellMar>
        </w:tblPrEx>
        <w:tc>
          <w:tcPr>
            <w:tcW w:w="8848" w:type="dxa"/>
            <w:gridSpan w:val="14"/>
            <w:vAlign w:val="center"/>
          </w:tcPr>
          <w:p w14:paraId="40EB27D4">
            <w:pPr>
              <w:jc w:val="center"/>
            </w:pPr>
            <w:r>
              <w:rPr>
                <w:rFonts w:ascii="宋体" w:hAnsi="宋体" w:eastAsia="宋体"/>
                <w:sz w:val="24"/>
              </w:rPr>
              <w:t>项目支出绩效自评表</w:t>
            </w:r>
          </w:p>
        </w:tc>
      </w:tr>
      <w:tr w14:paraId="5A57F120">
        <w:tblPrEx>
          <w:tblCellMar>
            <w:top w:w="0" w:type="dxa"/>
            <w:left w:w="108" w:type="dxa"/>
            <w:bottom w:w="0" w:type="dxa"/>
            <w:right w:w="108" w:type="dxa"/>
          </w:tblCellMar>
        </w:tblPrEx>
        <w:tc>
          <w:tcPr>
            <w:tcW w:w="8848" w:type="dxa"/>
            <w:gridSpan w:val="14"/>
            <w:vAlign w:val="center"/>
          </w:tcPr>
          <w:p w14:paraId="07F80411">
            <w:pPr>
              <w:jc w:val="center"/>
            </w:pPr>
            <w:r>
              <w:rPr>
                <w:rFonts w:ascii="宋体" w:hAnsi="宋体" w:eastAsia="宋体"/>
                <w:sz w:val="24"/>
              </w:rPr>
              <w:t>(2024年度)</w:t>
            </w:r>
          </w:p>
        </w:tc>
      </w:tr>
      <w:tr w14:paraId="501445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96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4F1D81">
            <w:pPr>
              <w:jc w:val="center"/>
            </w:pPr>
            <w:r>
              <w:rPr>
                <w:rFonts w:ascii="宋体" w:hAnsi="宋体" w:eastAsia="宋体"/>
                <w:sz w:val="16"/>
              </w:rPr>
              <w:t>伊州财建</w:t>
            </w:r>
            <w:r>
              <w:rPr>
                <w:rFonts w:hint="eastAsia" w:ascii="宋体" w:hAnsi="宋体"/>
                <w:sz w:val="16"/>
                <w:lang w:eastAsia="zh-CN"/>
              </w:rPr>
              <w:t>〔2024〕42号</w:t>
            </w:r>
            <w:r>
              <w:rPr>
                <w:rFonts w:ascii="宋体" w:hAnsi="宋体" w:eastAsia="宋体"/>
                <w:sz w:val="16"/>
              </w:rPr>
              <w:t>2024年车辆购置税收入补助地方[第三批]用于普通省道及农村公路建设“以</w:t>
            </w:r>
            <w:r>
              <w:rPr>
                <w:rFonts w:hint="eastAsia" w:ascii="宋体" w:hAnsi="宋体"/>
                <w:sz w:val="16"/>
                <w:lang w:eastAsia="zh-CN"/>
              </w:rPr>
              <w:t>奖</w:t>
            </w:r>
            <w:r>
              <w:rPr>
                <w:rFonts w:ascii="宋体" w:hAnsi="宋体" w:eastAsia="宋体"/>
                <w:sz w:val="16"/>
              </w:rPr>
              <w:t>代补”项目</w:t>
            </w:r>
          </w:p>
        </w:tc>
      </w:tr>
      <w:tr w14:paraId="31720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D4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FB002">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5F9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F33CD6">
            <w:pPr>
              <w:jc w:val="center"/>
            </w:pPr>
            <w:r>
              <w:rPr>
                <w:rFonts w:ascii="宋体" w:hAnsi="宋体" w:eastAsia="宋体"/>
                <w:sz w:val="16"/>
              </w:rPr>
              <w:t>特克斯县交通运输局</w:t>
            </w:r>
          </w:p>
        </w:tc>
      </w:tr>
      <w:tr w14:paraId="10223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CCDA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11F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F00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A0D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F57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949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BF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6AB7">
            <w:pPr>
              <w:jc w:val="center"/>
            </w:pPr>
            <w:r>
              <w:rPr>
                <w:rFonts w:ascii="宋体" w:hAnsi="宋体" w:eastAsia="宋体"/>
                <w:sz w:val="16"/>
              </w:rPr>
              <w:t>得分</w:t>
            </w:r>
          </w:p>
        </w:tc>
      </w:tr>
      <w:tr w14:paraId="0D94A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F1B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4C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E49A0">
            <w:pPr>
              <w:jc w:val="center"/>
            </w:pPr>
            <w:r>
              <w:rPr>
                <w:rFonts w:ascii="宋体" w:hAnsi="宋体" w:eastAsia="宋体"/>
                <w:sz w:val="16"/>
              </w:rPr>
              <w:t>490.56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AC42">
            <w:pPr>
              <w:jc w:val="center"/>
            </w:pPr>
            <w:r>
              <w:rPr>
                <w:rFonts w:ascii="宋体" w:hAnsi="宋体" w:eastAsia="宋体"/>
                <w:sz w:val="16"/>
              </w:rPr>
              <w:t>490.56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BFE00">
            <w:pPr>
              <w:jc w:val="center"/>
            </w:pPr>
            <w:r>
              <w:rPr>
                <w:rFonts w:ascii="宋体" w:hAnsi="宋体" w:eastAsia="宋体"/>
                <w:sz w:val="16"/>
              </w:rPr>
              <w:t>490.56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714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DAE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BE13">
            <w:pPr>
              <w:jc w:val="center"/>
            </w:pPr>
            <w:r>
              <w:rPr>
                <w:rFonts w:ascii="宋体" w:hAnsi="宋体" w:eastAsia="宋体"/>
                <w:sz w:val="16"/>
              </w:rPr>
              <w:t>10.00</w:t>
            </w:r>
          </w:p>
        </w:tc>
      </w:tr>
      <w:tr w14:paraId="36D80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BD0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A87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6F457">
            <w:pPr>
              <w:jc w:val="center"/>
            </w:pPr>
            <w:r>
              <w:rPr>
                <w:rFonts w:ascii="宋体" w:hAnsi="宋体" w:eastAsia="宋体"/>
                <w:sz w:val="16"/>
              </w:rPr>
              <w:t>490.56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C4B53">
            <w:pPr>
              <w:jc w:val="center"/>
            </w:pPr>
            <w:r>
              <w:rPr>
                <w:rFonts w:ascii="宋体" w:hAnsi="宋体" w:eastAsia="宋体"/>
                <w:sz w:val="16"/>
              </w:rPr>
              <w:t>490.56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03D90">
            <w:pPr>
              <w:jc w:val="center"/>
            </w:pPr>
            <w:r>
              <w:rPr>
                <w:rFonts w:ascii="宋体" w:hAnsi="宋体" w:eastAsia="宋体"/>
                <w:sz w:val="16"/>
              </w:rPr>
              <w:t>490.56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A4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74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A888">
            <w:pPr>
              <w:jc w:val="center"/>
            </w:pPr>
            <w:r>
              <w:rPr>
                <w:rFonts w:ascii="宋体" w:hAnsi="宋体" w:eastAsia="宋体"/>
                <w:sz w:val="16"/>
              </w:rPr>
              <w:t>—</w:t>
            </w:r>
          </w:p>
        </w:tc>
      </w:tr>
      <w:tr w14:paraId="4E5AF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7F5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5E6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ED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11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4D8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E15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1E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E0B9">
            <w:pPr>
              <w:jc w:val="center"/>
            </w:pPr>
            <w:r>
              <w:rPr>
                <w:rFonts w:ascii="宋体" w:hAnsi="宋体" w:eastAsia="宋体"/>
                <w:sz w:val="16"/>
              </w:rPr>
              <w:t>—</w:t>
            </w:r>
          </w:p>
        </w:tc>
      </w:tr>
      <w:tr w14:paraId="08692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9B8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EAE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EB3DC3">
            <w:pPr>
              <w:jc w:val="center"/>
            </w:pPr>
            <w:r>
              <w:rPr>
                <w:rFonts w:ascii="宋体" w:hAnsi="宋体" w:eastAsia="宋体"/>
                <w:sz w:val="16"/>
              </w:rPr>
              <w:t>实际完成情况</w:t>
            </w:r>
          </w:p>
        </w:tc>
      </w:tr>
      <w:tr w14:paraId="64EDB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213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B7F9D">
            <w:pPr>
              <w:jc w:val="both"/>
            </w:pPr>
            <w:r>
              <w:rPr>
                <w:rFonts w:ascii="宋体" w:hAnsi="宋体" w:eastAsia="宋体"/>
                <w:sz w:val="16"/>
              </w:rPr>
              <w:t>完成特克斯县2023年农村公路建设项目,全长24.837公里，预计按照19.75万元每公里修建，按三、四级公路标准建设，建设内容包括路基路面桥涵及交通安全设施。公路建设是关系到农民群众的生产、生活,关系到农村经济社会发展,关系到全面建成小康社会和构建和谐社会的重要基础设施,必须从国民经济和社会发展全局的高度,深刻认识新时期加快道路建设的重大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688C83">
            <w:pPr>
              <w:jc w:val="both"/>
            </w:pPr>
            <w:r>
              <w:rPr>
                <w:rFonts w:ascii="宋体" w:hAnsi="宋体" w:eastAsia="宋体"/>
                <w:sz w:val="16"/>
              </w:rPr>
              <w:t>农村公路服务水平关乎农民群众生产、生活，</w:t>
            </w:r>
            <w:r>
              <w:rPr>
                <w:rFonts w:hint="eastAsia" w:ascii="宋体" w:hAnsi="宋体"/>
                <w:sz w:val="16"/>
                <w:lang w:eastAsia="zh-CN"/>
              </w:rPr>
              <w:t>关乎</w:t>
            </w:r>
            <w:r>
              <w:rPr>
                <w:rFonts w:ascii="宋体" w:hAnsi="宋体" w:eastAsia="宋体"/>
                <w:sz w:val="16"/>
              </w:rPr>
              <w:t>村经济发展，为确保农村基础设施保障，实施了特克斯县2023年农村公路建设项目,全长24.837公里，预计按照19.75万元每公里修建，按三、四级公路标准建设，建设内容包括路基路面桥涵及交通安全设施。</w:t>
            </w:r>
          </w:p>
        </w:tc>
      </w:tr>
      <w:tr w14:paraId="72446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FF2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D5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73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A0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FD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2E9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AD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F8A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B1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0C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3E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AC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0D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BD18">
            <w:pPr>
              <w:jc w:val="center"/>
            </w:pPr>
            <w:r>
              <w:rPr>
                <w:rFonts w:ascii="宋体" w:hAnsi="宋体" w:eastAsia="宋体"/>
                <w:sz w:val="16"/>
              </w:rPr>
              <w:t>偏差原因分析及改进措施</w:t>
            </w:r>
          </w:p>
        </w:tc>
      </w:tr>
      <w:tr w14:paraId="39DE76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B7B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AA2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10C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1230">
            <w:pPr>
              <w:jc w:val="center"/>
            </w:pPr>
            <w:r>
              <w:rPr>
                <w:rFonts w:ascii="宋体" w:hAnsi="宋体" w:eastAsia="宋体"/>
                <w:sz w:val="16"/>
              </w:rPr>
              <w:t>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D3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6BEB">
            <w:pPr>
              <w:jc w:val="center"/>
            </w:pPr>
            <w:r>
              <w:rPr>
                <w:rFonts w:ascii="宋体" w:hAnsi="宋体" w:eastAsia="宋体"/>
                <w:sz w:val="16"/>
              </w:rPr>
              <w:t>&lt;=24.84公里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8CBB">
            <w:pPr>
              <w:jc w:val="center"/>
            </w:pPr>
            <w:r>
              <w:rPr>
                <w:rFonts w:ascii="宋体" w:hAnsi="宋体" w:eastAsia="宋体"/>
                <w:sz w:val="16"/>
              </w:rPr>
              <w:t>24.84公里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1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0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A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D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A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E7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9941">
            <w:pPr>
              <w:jc w:val="center"/>
            </w:pPr>
          </w:p>
        </w:tc>
      </w:tr>
      <w:tr w14:paraId="394DD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51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74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7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2DB9">
            <w:pPr>
              <w:jc w:val="center"/>
            </w:pPr>
            <w:r>
              <w:rPr>
                <w:rFonts w:ascii="宋体" w:hAnsi="宋体" w:eastAsia="宋体"/>
                <w:sz w:val="16"/>
              </w:rPr>
              <w:t>路面宽度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E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63BA">
            <w:pPr>
              <w:jc w:val="center"/>
            </w:pPr>
            <w:r>
              <w:rPr>
                <w:rFonts w:ascii="宋体" w:hAnsi="宋体" w:eastAsia="宋体"/>
                <w:sz w:val="16"/>
              </w:rPr>
              <w:t>&gt;=6.50米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60CD">
            <w:pPr>
              <w:jc w:val="center"/>
            </w:pPr>
            <w:r>
              <w:rPr>
                <w:rFonts w:ascii="宋体" w:hAnsi="宋体" w:eastAsia="宋体"/>
                <w:sz w:val="16"/>
              </w:rPr>
              <w:t>6.5米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A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EA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722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09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3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E0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5D72">
            <w:pPr>
              <w:jc w:val="center"/>
            </w:pPr>
          </w:p>
        </w:tc>
      </w:tr>
      <w:tr w14:paraId="7D9BB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AF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0C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0C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37D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0C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4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F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2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B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547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E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3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A5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F10A">
            <w:pPr>
              <w:jc w:val="center"/>
            </w:pPr>
          </w:p>
        </w:tc>
      </w:tr>
      <w:tr w14:paraId="1C9B7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56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A3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7F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5FA7">
            <w:pPr>
              <w:jc w:val="center"/>
            </w:pPr>
            <w:r>
              <w:rPr>
                <w:rFonts w:ascii="宋体" w:hAnsi="宋体" w:eastAsia="宋体"/>
                <w:sz w:val="16"/>
              </w:rPr>
              <w:t>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9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2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9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B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3F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79B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57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08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45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A36D">
            <w:pPr>
              <w:jc w:val="center"/>
            </w:pPr>
          </w:p>
        </w:tc>
      </w:tr>
      <w:tr w14:paraId="22B37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E2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6CB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2C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17A4">
            <w:pPr>
              <w:jc w:val="center"/>
            </w:pPr>
            <w:r>
              <w:rPr>
                <w:rFonts w:ascii="宋体" w:hAnsi="宋体" w:eastAsia="宋体"/>
                <w:sz w:val="16"/>
              </w:rPr>
              <w:t>公路建设成本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2E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3DB9">
            <w:pPr>
              <w:jc w:val="center"/>
            </w:pPr>
            <w:r>
              <w:rPr>
                <w:rFonts w:ascii="宋体" w:hAnsi="宋体" w:eastAsia="宋体"/>
                <w:sz w:val="16"/>
              </w:rPr>
              <w:t>&lt;=19.74万元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B844">
            <w:pPr>
              <w:jc w:val="center"/>
            </w:pPr>
            <w:r>
              <w:rPr>
                <w:rFonts w:ascii="宋体" w:hAnsi="宋体" w:eastAsia="宋体"/>
                <w:sz w:val="16"/>
              </w:rPr>
              <w:t>19.74万元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E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BA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5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B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8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73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8410">
            <w:pPr>
              <w:jc w:val="center"/>
            </w:pPr>
          </w:p>
        </w:tc>
      </w:tr>
      <w:tr w14:paraId="1F120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FF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A0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1BC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0BAA">
            <w:pPr>
              <w:jc w:val="center"/>
            </w:pPr>
            <w:r>
              <w:rPr>
                <w:rFonts w:ascii="宋体" w:hAnsi="宋体" w:eastAsia="宋体"/>
                <w:sz w:val="16"/>
              </w:rPr>
              <w:t>建设项目符合生态环评要求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CD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54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D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3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D1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93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3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8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7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B997">
            <w:pPr>
              <w:jc w:val="center"/>
            </w:pPr>
          </w:p>
        </w:tc>
      </w:tr>
      <w:tr w14:paraId="4B7A5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8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45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4B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6FF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23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6AC9">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947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E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C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B84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5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6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D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6937">
            <w:pPr>
              <w:jc w:val="center"/>
            </w:pPr>
          </w:p>
        </w:tc>
      </w:tr>
      <w:tr w14:paraId="60C8CBA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8A42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1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604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35FE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D8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123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8D34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91F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EF1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9F7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B46E6"/>
        </w:tc>
      </w:tr>
    </w:tbl>
    <w:p w14:paraId="76C55D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B8033D8">
        <w:tblPrEx>
          <w:tblCellMar>
            <w:top w:w="0" w:type="dxa"/>
            <w:left w:w="108" w:type="dxa"/>
            <w:bottom w:w="0" w:type="dxa"/>
            <w:right w:w="108" w:type="dxa"/>
          </w:tblCellMar>
        </w:tblPrEx>
        <w:tc>
          <w:tcPr>
            <w:tcW w:w="8848" w:type="dxa"/>
            <w:gridSpan w:val="14"/>
            <w:vAlign w:val="center"/>
          </w:tcPr>
          <w:p w14:paraId="58714597">
            <w:pPr>
              <w:jc w:val="center"/>
            </w:pPr>
            <w:r>
              <w:rPr>
                <w:rFonts w:ascii="宋体" w:hAnsi="宋体" w:eastAsia="宋体"/>
                <w:sz w:val="24"/>
              </w:rPr>
              <w:t>项目支出绩效自评表</w:t>
            </w:r>
          </w:p>
        </w:tc>
      </w:tr>
      <w:tr w14:paraId="7BC24481">
        <w:tblPrEx>
          <w:tblCellMar>
            <w:top w:w="0" w:type="dxa"/>
            <w:left w:w="108" w:type="dxa"/>
            <w:bottom w:w="0" w:type="dxa"/>
            <w:right w:w="108" w:type="dxa"/>
          </w:tblCellMar>
        </w:tblPrEx>
        <w:tc>
          <w:tcPr>
            <w:tcW w:w="8848" w:type="dxa"/>
            <w:gridSpan w:val="14"/>
            <w:vAlign w:val="center"/>
          </w:tcPr>
          <w:p w14:paraId="2D383BB6">
            <w:pPr>
              <w:jc w:val="center"/>
            </w:pPr>
            <w:r>
              <w:rPr>
                <w:rFonts w:ascii="宋体" w:hAnsi="宋体" w:eastAsia="宋体"/>
                <w:sz w:val="24"/>
              </w:rPr>
              <w:t>(2024年度)</w:t>
            </w:r>
          </w:p>
        </w:tc>
      </w:tr>
      <w:tr w14:paraId="7B6E8B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2F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158D7D">
            <w:pPr>
              <w:jc w:val="center"/>
            </w:pPr>
            <w:r>
              <w:rPr>
                <w:rFonts w:ascii="宋体" w:hAnsi="宋体" w:eastAsia="宋体"/>
                <w:sz w:val="16"/>
              </w:rPr>
              <w:t>伊州财建</w:t>
            </w:r>
            <w:r>
              <w:rPr>
                <w:rFonts w:hint="eastAsia" w:ascii="宋体" w:hAnsi="宋体"/>
                <w:sz w:val="16"/>
                <w:lang w:eastAsia="zh-CN"/>
              </w:rPr>
              <w:t>〔2023〕197号</w:t>
            </w:r>
            <w:r>
              <w:rPr>
                <w:rFonts w:ascii="宋体" w:hAnsi="宋体" w:eastAsia="宋体"/>
                <w:sz w:val="16"/>
              </w:rPr>
              <w:t>提前下达2024年车辆购置税收入补贴地方二级客运站建设项目</w:t>
            </w:r>
          </w:p>
        </w:tc>
      </w:tr>
      <w:tr w14:paraId="699763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44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5F8D3">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6B1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64A38">
            <w:pPr>
              <w:jc w:val="center"/>
            </w:pPr>
            <w:r>
              <w:rPr>
                <w:rFonts w:ascii="宋体" w:hAnsi="宋体" w:eastAsia="宋体"/>
                <w:sz w:val="16"/>
              </w:rPr>
              <w:t>特克斯县交通运输局</w:t>
            </w:r>
          </w:p>
        </w:tc>
      </w:tr>
      <w:tr w14:paraId="775450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BB94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E9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765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F50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C45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A9A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95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AFFC">
            <w:pPr>
              <w:jc w:val="center"/>
            </w:pPr>
            <w:r>
              <w:rPr>
                <w:rFonts w:ascii="宋体" w:hAnsi="宋体" w:eastAsia="宋体"/>
                <w:sz w:val="16"/>
              </w:rPr>
              <w:t>得分</w:t>
            </w:r>
          </w:p>
        </w:tc>
      </w:tr>
      <w:tr w14:paraId="188B1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520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D50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65645">
            <w:pPr>
              <w:jc w:val="center"/>
            </w:pPr>
            <w:r>
              <w:rPr>
                <w:rFonts w:ascii="宋体" w:hAnsi="宋体" w:eastAsia="宋体"/>
                <w:sz w:val="16"/>
              </w:rPr>
              <w:t>273.80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95FC4">
            <w:pPr>
              <w:jc w:val="center"/>
            </w:pPr>
            <w:r>
              <w:rPr>
                <w:rFonts w:ascii="宋体" w:hAnsi="宋体" w:eastAsia="宋体"/>
                <w:sz w:val="16"/>
              </w:rPr>
              <w:t>273.80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BF7D8">
            <w:pPr>
              <w:jc w:val="center"/>
            </w:pPr>
            <w:r>
              <w:rPr>
                <w:rFonts w:ascii="宋体" w:hAnsi="宋体" w:eastAsia="宋体"/>
                <w:sz w:val="16"/>
              </w:rPr>
              <w:t>273.80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4B0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CE02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089A">
            <w:pPr>
              <w:jc w:val="center"/>
            </w:pPr>
            <w:r>
              <w:rPr>
                <w:rFonts w:ascii="宋体" w:hAnsi="宋体" w:eastAsia="宋体"/>
                <w:sz w:val="16"/>
              </w:rPr>
              <w:t>10.00</w:t>
            </w:r>
          </w:p>
        </w:tc>
      </w:tr>
      <w:tr w14:paraId="556E2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1AE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65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32751">
            <w:pPr>
              <w:jc w:val="center"/>
            </w:pPr>
            <w:r>
              <w:rPr>
                <w:rFonts w:ascii="宋体" w:hAnsi="宋体" w:eastAsia="宋体"/>
                <w:sz w:val="16"/>
              </w:rPr>
              <w:t>273.80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94A2">
            <w:pPr>
              <w:jc w:val="center"/>
            </w:pPr>
            <w:r>
              <w:rPr>
                <w:rFonts w:ascii="宋体" w:hAnsi="宋体" w:eastAsia="宋体"/>
                <w:sz w:val="16"/>
              </w:rPr>
              <w:t>273.80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EE99C">
            <w:pPr>
              <w:jc w:val="center"/>
            </w:pPr>
            <w:r>
              <w:rPr>
                <w:rFonts w:ascii="宋体" w:hAnsi="宋体" w:eastAsia="宋体"/>
                <w:sz w:val="16"/>
              </w:rPr>
              <w:t>273.80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5F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AB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79BD">
            <w:pPr>
              <w:jc w:val="center"/>
            </w:pPr>
            <w:r>
              <w:rPr>
                <w:rFonts w:ascii="宋体" w:hAnsi="宋体" w:eastAsia="宋体"/>
                <w:sz w:val="16"/>
              </w:rPr>
              <w:t>—</w:t>
            </w:r>
          </w:p>
        </w:tc>
      </w:tr>
      <w:tr w14:paraId="10BF1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07B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75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5D2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E5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CE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AC4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7A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0A50">
            <w:pPr>
              <w:jc w:val="center"/>
            </w:pPr>
            <w:r>
              <w:rPr>
                <w:rFonts w:ascii="宋体" w:hAnsi="宋体" w:eastAsia="宋体"/>
                <w:sz w:val="16"/>
              </w:rPr>
              <w:t>—</w:t>
            </w:r>
          </w:p>
        </w:tc>
      </w:tr>
      <w:tr w14:paraId="5A54DF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B7A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5A6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08512E">
            <w:pPr>
              <w:jc w:val="center"/>
            </w:pPr>
            <w:r>
              <w:rPr>
                <w:rFonts w:ascii="宋体" w:hAnsi="宋体" w:eastAsia="宋体"/>
                <w:sz w:val="16"/>
              </w:rPr>
              <w:t>实际完成情况</w:t>
            </w:r>
          </w:p>
        </w:tc>
      </w:tr>
      <w:tr w14:paraId="1FB83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A6A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3CAEF">
            <w:pPr>
              <w:jc w:val="both"/>
            </w:pPr>
            <w:r>
              <w:rPr>
                <w:rFonts w:ascii="宋体" w:hAnsi="宋体" w:eastAsia="宋体"/>
                <w:sz w:val="16"/>
              </w:rPr>
              <w:t>建设二级客运站一处，建设内容包括站内装修、场地建设等。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CC578">
            <w:pPr>
              <w:jc w:val="both"/>
            </w:pPr>
            <w:r>
              <w:rPr>
                <w:rFonts w:ascii="宋体" w:hAnsi="宋体" w:eastAsia="宋体"/>
                <w:sz w:val="16"/>
              </w:rPr>
              <w:t>客运站场能为居民提供便捷、舒适的出行环境，满足日益增长的出行需求，</w:t>
            </w:r>
            <w:r>
              <w:rPr>
                <w:rFonts w:hint="eastAsia" w:ascii="宋体" w:hAnsi="宋体"/>
                <w:sz w:val="16"/>
                <w:lang w:eastAsia="zh-CN"/>
              </w:rPr>
              <w:t>方便</w:t>
            </w:r>
            <w:r>
              <w:rPr>
                <w:rFonts w:ascii="宋体" w:hAnsi="宋体" w:eastAsia="宋体"/>
                <w:sz w:val="16"/>
              </w:rPr>
              <w:t>游客前往旅游景点，促进旅游业发展，因此实施特克斯县二级客运站场建设项目，本阶段投入276万元，目前已完成投资额。</w:t>
            </w:r>
          </w:p>
        </w:tc>
      </w:tr>
      <w:tr w14:paraId="5A162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6BE6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C1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11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EF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5D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4E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F49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13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E5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BC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EA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4B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48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819B">
            <w:pPr>
              <w:jc w:val="center"/>
            </w:pPr>
            <w:r>
              <w:rPr>
                <w:rFonts w:ascii="宋体" w:hAnsi="宋体" w:eastAsia="宋体"/>
                <w:sz w:val="16"/>
              </w:rPr>
              <w:t>偏差原因分析及改进措施</w:t>
            </w:r>
          </w:p>
        </w:tc>
      </w:tr>
      <w:tr w14:paraId="4276E0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35A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5A8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1E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852D">
            <w:pPr>
              <w:jc w:val="center"/>
            </w:pPr>
            <w:r>
              <w:rPr>
                <w:rFonts w:ascii="宋体" w:hAnsi="宋体" w:eastAsia="宋体"/>
                <w:sz w:val="16"/>
              </w:rPr>
              <w:t>支持客货站场建设（个）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C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CD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C9A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C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AB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C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0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E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3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4E9D">
            <w:pPr>
              <w:jc w:val="center"/>
            </w:pPr>
          </w:p>
        </w:tc>
      </w:tr>
      <w:tr w14:paraId="183D1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ED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68F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000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103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1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5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E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C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32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0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D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33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4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1EBE">
            <w:pPr>
              <w:jc w:val="center"/>
            </w:pPr>
          </w:p>
        </w:tc>
      </w:tr>
      <w:tr w14:paraId="28A9A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16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33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7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803C">
            <w:pPr>
              <w:jc w:val="center"/>
            </w:pPr>
            <w:r>
              <w:rPr>
                <w:rFonts w:ascii="宋体" w:hAnsi="宋体" w:eastAsia="宋体"/>
                <w:sz w:val="16"/>
              </w:rPr>
              <w:t>完工项目验收合格率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6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B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90A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AB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1D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5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3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B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F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4668A">
            <w:pPr>
              <w:jc w:val="center"/>
            </w:pPr>
            <w:r>
              <w:rPr>
                <w:rFonts w:ascii="宋体" w:hAnsi="宋体" w:eastAsia="宋体"/>
                <w:sz w:val="16"/>
              </w:rPr>
              <w:t>该项目计划2026年10月完工，目前尚未完工，无法提供验收资料。</w:t>
            </w:r>
          </w:p>
        </w:tc>
      </w:tr>
      <w:tr w14:paraId="796F2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B1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9B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AE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749A">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9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3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D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C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F2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0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1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A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4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A5A9">
            <w:pPr>
              <w:jc w:val="center"/>
            </w:pPr>
          </w:p>
        </w:tc>
      </w:tr>
      <w:tr w14:paraId="78094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5FB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834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56D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B73B">
            <w:pPr>
              <w:jc w:val="center"/>
            </w:pPr>
            <w:r>
              <w:rPr>
                <w:rFonts w:ascii="宋体" w:hAnsi="宋体" w:eastAsia="宋体"/>
                <w:sz w:val="16"/>
              </w:rPr>
              <w:t>对经济发展的促进作用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C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2A9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C5F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B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F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4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C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0E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6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ABDA">
            <w:pPr>
              <w:jc w:val="center"/>
            </w:pPr>
          </w:p>
        </w:tc>
      </w:tr>
      <w:tr w14:paraId="56FD2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B4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74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89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9E3C">
            <w:pPr>
              <w:jc w:val="center"/>
            </w:pPr>
            <w:r>
              <w:rPr>
                <w:rFonts w:ascii="宋体" w:hAnsi="宋体" w:eastAsia="宋体"/>
                <w:sz w:val="16"/>
              </w:rPr>
              <w:t>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30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6C5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64F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C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62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F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F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E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C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427F">
            <w:pPr>
              <w:jc w:val="center"/>
            </w:pPr>
          </w:p>
        </w:tc>
      </w:tr>
      <w:tr w14:paraId="2E27E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6C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26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B0E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B80F">
            <w:pPr>
              <w:jc w:val="center"/>
            </w:pPr>
            <w:r>
              <w:rPr>
                <w:rFonts w:ascii="宋体" w:hAnsi="宋体" w:eastAsia="宋体"/>
                <w:sz w:val="16"/>
              </w:rPr>
              <w:t>交通设施符合环评审批要求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1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E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6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6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D9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8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6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4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5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BCD8">
            <w:pPr>
              <w:jc w:val="center"/>
            </w:pPr>
          </w:p>
        </w:tc>
      </w:tr>
      <w:tr w14:paraId="39BA2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4D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EC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30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370B">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1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7D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EF0B">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98DB">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6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E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D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A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D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9B6E">
            <w:pPr>
              <w:jc w:val="center"/>
            </w:pPr>
            <w:r>
              <w:rPr>
                <w:rFonts w:ascii="宋体" w:hAnsi="宋体" w:eastAsia="宋体"/>
                <w:sz w:val="16"/>
              </w:rPr>
              <w:t>二级客运站场是利民项目，群众需求高，满意度也高于预期值。</w:t>
            </w:r>
          </w:p>
        </w:tc>
      </w:tr>
      <w:tr w14:paraId="6A982BC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408C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2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C50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117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119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788F">
            <w:pPr>
              <w:jc w:val="center"/>
            </w:pPr>
            <w:r>
              <w:rPr>
                <w:rFonts w:ascii="宋体" w:hAnsi="宋体" w:eastAsia="宋体"/>
                <w:sz w:val="16"/>
              </w:rPr>
              <w:t>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2E9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E1F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071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70A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5A13A"/>
        </w:tc>
      </w:tr>
    </w:tbl>
    <w:p w14:paraId="4FD2CA9C">
      <w:r>
        <w:br w:type="page"/>
      </w:r>
    </w:p>
    <w:tbl>
      <w:tblPr>
        <w:tblStyle w:val="9"/>
        <w:tblW w:w="9224" w:type="dxa"/>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800"/>
      </w:tblGrid>
      <w:tr w14:paraId="3DBCA6D5">
        <w:tblPrEx>
          <w:tblCellMar>
            <w:top w:w="0" w:type="dxa"/>
            <w:left w:w="108" w:type="dxa"/>
            <w:bottom w:w="0" w:type="dxa"/>
            <w:right w:w="108" w:type="dxa"/>
          </w:tblCellMar>
        </w:tblPrEx>
        <w:tc>
          <w:tcPr>
            <w:tcW w:w="9224" w:type="dxa"/>
            <w:gridSpan w:val="14"/>
            <w:vAlign w:val="center"/>
          </w:tcPr>
          <w:p w14:paraId="6670FFA0">
            <w:pPr>
              <w:jc w:val="center"/>
            </w:pPr>
            <w:r>
              <w:rPr>
                <w:rFonts w:ascii="宋体" w:hAnsi="宋体" w:eastAsia="宋体"/>
                <w:sz w:val="24"/>
              </w:rPr>
              <w:t>项目支出绩效自评表</w:t>
            </w:r>
          </w:p>
        </w:tc>
      </w:tr>
      <w:tr w14:paraId="4EDB8A99">
        <w:tblPrEx>
          <w:tblCellMar>
            <w:top w:w="0" w:type="dxa"/>
            <w:left w:w="108" w:type="dxa"/>
            <w:bottom w:w="0" w:type="dxa"/>
            <w:right w:w="108" w:type="dxa"/>
          </w:tblCellMar>
        </w:tblPrEx>
        <w:tc>
          <w:tcPr>
            <w:tcW w:w="9224" w:type="dxa"/>
            <w:gridSpan w:val="14"/>
            <w:vAlign w:val="center"/>
          </w:tcPr>
          <w:p w14:paraId="54151257">
            <w:pPr>
              <w:jc w:val="center"/>
            </w:pPr>
            <w:r>
              <w:rPr>
                <w:rFonts w:ascii="宋体" w:hAnsi="宋体" w:eastAsia="宋体"/>
                <w:sz w:val="24"/>
              </w:rPr>
              <w:t>(2024年度)</w:t>
            </w:r>
          </w:p>
        </w:tc>
      </w:tr>
      <w:tr w14:paraId="00061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61F2">
            <w:pPr>
              <w:jc w:val="center"/>
            </w:pPr>
            <w:r>
              <w:rPr>
                <w:rFonts w:ascii="宋体" w:hAnsi="宋体" w:eastAsia="宋体"/>
                <w:sz w:val="16"/>
              </w:rPr>
              <w:t>项目名称</w:t>
            </w:r>
          </w:p>
        </w:tc>
        <w:tc>
          <w:tcPr>
            <w:tcW w:w="859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E0AC63">
            <w:pPr>
              <w:jc w:val="center"/>
            </w:pPr>
            <w:r>
              <w:rPr>
                <w:rFonts w:ascii="宋体" w:hAnsi="宋体" w:eastAsia="宋体"/>
                <w:sz w:val="16"/>
              </w:rPr>
              <w:t>伊州财建</w:t>
            </w:r>
            <w:r>
              <w:rPr>
                <w:rFonts w:hint="eastAsia" w:ascii="宋体" w:hAnsi="宋体"/>
                <w:sz w:val="16"/>
                <w:lang w:eastAsia="zh-CN"/>
              </w:rPr>
              <w:t>〔2023〕197号</w:t>
            </w:r>
            <w:r>
              <w:rPr>
                <w:rFonts w:ascii="宋体" w:hAnsi="宋体" w:eastAsia="宋体"/>
                <w:sz w:val="16"/>
              </w:rPr>
              <w:t>（车购税）伊犁州特克斯县2024年农村公路建设项目</w:t>
            </w:r>
          </w:p>
        </w:tc>
      </w:tr>
      <w:tr w14:paraId="62D067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05B9">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FE940A">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8EB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2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D0CE03">
            <w:pPr>
              <w:jc w:val="center"/>
            </w:pPr>
            <w:r>
              <w:rPr>
                <w:rFonts w:ascii="宋体" w:hAnsi="宋体" w:eastAsia="宋体"/>
                <w:sz w:val="16"/>
              </w:rPr>
              <w:t>特克斯县交通运输局</w:t>
            </w:r>
          </w:p>
        </w:tc>
      </w:tr>
      <w:tr w14:paraId="54D87F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05E0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445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47DCD">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6A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210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D2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781F">
            <w:pPr>
              <w:jc w:val="center"/>
            </w:pPr>
            <w:r>
              <w:rPr>
                <w:rFonts w:ascii="宋体" w:hAnsi="宋体" w:eastAsia="宋体"/>
                <w:sz w:val="16"/>
              </w:rPr>
              <w:t>执行率</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52609F85">
            <w:pPr>
              <w:jc w:val="center"/>
            </w:pPr>
            <w:r>
              <w:rPr>
                <w:rFonts w:ascii="宋体" w:hAnsi="宋体" w:eastAsia="宋体"/>
                <w:sz w:val="16"/>
              </w:rPr>
              <w:t>得分</w:t>
            </w:r>
          </w:p>
        </w:tc>
      </w:tr>
      <w:tr w14:paraId="092DF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E39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C4D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F9245">
            <w:pPr>
              <w:jc w:val="center"/>
            </w:pPr>
            <w:r>
              <w:rPr>
                <w:rFonts w:ascii="宋体" w:hAnsi="宋体" w:eastAsia="宋体"/>
                <w:sz w:val="16"/>
              </w:rPr>
              <w:t>1,762.48</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E42C">
            <w:pPr>
              <w:jc w:val="center"/>
            </w:pPr>
            <w:r>
              <w:rPr>
                <w:rFonts w:ascii="宋体" w:hAnsi="宋体" w:eastAsia="宋体"/>
                <w:sz w:val="16"/>
              </w:rPr>
              <w:t>1,762.48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9AA7">
            <w:pPr>
              <w:jc w:val="center"/>
            </w:pPr>
            <w:r>
              <w:rPr>
                <w:rFonts w:ascii="宋体" w:hAnsi="宋体" w:eastAsia="宋体"/>
                <w:sz w:val="16"/>
              </w:rPr>
              <w:t>1,039.59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23D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58E09">
            <w:pPr>
              <w:jc w:val="center"/>
            </w:pPr>
            <w:r>
              <w:rPr>
                <w:rFonts w:ascii="宋体" w:hAnsi="宋体" w:eastAsia="宋体"/>
                <w:sz w:val="16"/>
              </w:rPr>
              <w:t>58.98%</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3F788347">
            <w:pPr>
              <w:jc w:val="center"/>
            </w:pPr>
            <w:r>
              <w:rPr>
                <w:rFonts w:ascii="宋体" w:hAnsi="宋体" w:eastAsia="宋体"/>
                <w:sz w:val="16"/>
              </w:rPr>
              <w:t>0.00</w:t>
            </w:r>
          </w:p>
        </w:tc>
      </w:tr>
      <w:tr w14:paraId="5C6E4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1EA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366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66A65">
            <w:pPr>
              <w:jc w:val="center"/>
            </w:pPr>
            <w:r>
              <w:rPr>
                <w:rFonts w:ascii="宋体" w:hAnsi="宋体" w:eastAsia="宋体"/>
                <w:sz w:val="16"/>
              </w:rPr>
              <w:t>1,762.48</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DBB38">
            <w:pPr>
              <w:jc w:val="center"/>
            </w:pPr>
            <w:r>
              <w:rPr>
                <w:rFonts w:ascii="宋体" w:hAnsi="宋体" w:eastAsia="宋体"/>
                <w:sz w:val="16"/>
              </w:rPr>
              <w:t>1,762.48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37DF6">
            <w:pPr>
              <w:jc w:val="center"/>
            </w:pPr>
            <w:r>
              <w:rPr>
                <w:rFonts w:ascii="宋体" w:hAnsi="宋体" w:eastAsia="宋体"/>
                <w:sz w:val="16"/>
              </w:rPr>
              <w:t>1,039.59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A63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2611">
            <w:pPr>
              <w:jc w:val="center"/>
            </w:pPr>
            <w:r>
              <w:rPr>
                <w:rFonts w:ascii="宋体" w:hAnsi="宋体" w:eastAsia="宋体"/>
                <w:sz w:val="16"/>
              </w:rPr>
              <w:t>—</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30269228">
            <w:pPr>
              <w:jc w:val="center"/>
            </w:pPr>
            <w:r>
              <w:rPr>
                <w:rFonts w:ascii="宋体" w:hAnsi="宋体" w:eastAsia="宋体"/>
                <w:sz w:val="16"/>
              </w:rPr>
              <w:t>—</w:t>
            </w:r>
          </w:p>
        </w:tc>
      </w:tr>
      <w:tr w14:paraId="4FCDB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97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A6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7AE47">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FAA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7F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C4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CB5A">
            <w:pPr>
              <w:jc w:val="center"/>
            </w:pPr>
            <w:r>
              <w:rPr>
                <w:rFonts w:ascii="宋体" w:hAnsi="宋体" w:eastAsia="宋体"/>
                <w:sz w:val="16"/>
              </w:rPr>
              <w:t>—</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D2E84FC">
            <w:pPr>
              <w:jc w:val="center"/>
            </w:pPr>
            <w:r>
              <w:rPr>
                <w:rFonts w:ascii="宋体" w:hAnsi="宋体" w:eastAsia="宋体"/>
                <w:sz w:val="16"/>
              </w:rPr>
              <w:t>—</w:t>
            </w:r>
          </w:p>
        </w:tc>
      </w:tr>
      <w:tr w14:paraId="7AC77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A493B">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D5C36">
            <w:pPr>
              <w:jc w:val="center"/>
            </w:pPr>
            <w:r>
              <w:rPr>
                <w:rFonts w:ascii="宋体" w:hAnsi="宋体" w:eastAsia="宋体"/>
                <w:sz w:val="16"/>
              </w:rPr>
              <w:t>预期目标</w:t>
            </w:r>
          </w:p>
        </w:tc>
        <w:tc>
          <w:tcPr>
            <w:tcW w:w="39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753C4C">
            <w:pPr>
              <w:jc w:val="center"/>
            </w:pPr>
            <w:r>
              <w:rPr>
                <w:rFonts w:ascii="宋体" w:hAnsi="宋体" w:eastAsia="宋体"/>
                <w:sz w:val="16"/>
              </w:rPr>
              <w:t>实际完成情况</w:t>
            </w:r>
          </w:p>
        </w:tc>
      </w:tr>
      <w:tr w14:paraId="451FE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B2638"/>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61D0B">
            <w:pPr>
              <w:jc w:val="both"/>
            </w:pPr>
            <w:r>
              <w:rPr>
                <w:rFonts w:ascii="宋体" w:hAnsi="宋体" w:eastAsia="宋体"/>
                <w:sz w:val="16"/>
              </w:rPr>
              <w:t>完成伊犁州特克斯县2024年农村公路建设项目，全长,37.51公里，按照四级公路标准建设，建设内容包括路基路面桥涵及交通安全设施工程。</w:t>
            </w:r>
          </w:p>
        </w:tc>
        <w:tc>
          <w:tcPr>
            <w:tcW w:w="39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E7672E">
            <w:pPr>
              <w:jc w:val="both"/>
            </w:pPr>
            <w:r>
              <w:rPr>
                <w:rFonts w:ascii="宋体" w:hAnsi="宋体" w:eastAsia="宋体"/>
                <w:sz w:val="16"/>
              </w:rPr>
              <w:t>良好的公路交通能降低运输成本、提高运输效率，促进农村特色产业发展，为农村居民提供安全、便捷、高效的出行条件，2024年实施了农村公路建设项目，全长,37.51公里，按照四级公路标准建设，建设内容包括路基路面桥涵及交通安全设施工程。</w:t>
            </w:r>
          </w:p>
        </w:tc>
      </w:tr>
      <w:tr w14:paraId="43BA1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3B2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7D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42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65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1E97">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B11990">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458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75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798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FF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44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10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4AFA">
            <w:pPr>
              <w:jc w:val="center"/>
            </w:pPr>
            <w:r>
              <w:rPr>
                <w:rFonts w:ascii="宋体" w:hAnsi="宋体" w:eastAsia="宋体"/>
                <w:sz w:val="16"/>
              </w:rPr>
              <w:t>佐证资料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4617542F">
            <w:pPr>
              <w:jc w:val="center"/>
            </w:pPr>
            <w:r>
              <w:rPr>
                <w:rFonts w:ascii="宋体" w:hAnsi="宋体" w:eastAsia="宋体"/>
                <w:sz w:val="16"/>
              </w:rPr>
              <w:t>偏差原因分析及改进措施</w:t>
            </w:r>
          </w:p>
        </w:tc>
      </w:tr>
      <w:tr w14:paraId="0E9B0F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C1D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4DE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C49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6B48">
            <w:pPr>
              <w:jc w:val="center"/>
            </w:pPr>
            <w:r>
              <w:rPr>
                <w:rFonts w:ascii="宋体" w:hAnsi="宋体" w:eastAsia="宋体"/>
                <w:sz w:val="16"/>
              </w:rPr>
              <w:t>公路建设里程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0456">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2A2590">
            <w:pPr>
              <w:jc w:val="center"/>
            </w:pPr>
            <w:r>
              <w:rPr>
                <w:rFonts w:ascii="宋体" w:hAnsi="宋体" w:eastAsia="宋体"/>
                <w:sz w:val="16"/>
              </w:rPr>
              <w:t>=37.51公里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B87146">
            <w:pPr>
              <w:jc w:val="center"/>
            </w:pPr>
            <w:r>
              <w:rPr>
                <w:rFonts w:ascii="宋体" w:hAnsi="宋体" w:eastAsia="宋体"/>
                <w:sz w:val="16"/>
              </w:rPr>
              <w:t>37.51公里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0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EF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1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1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1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CBE5">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15488AF9">
            <w:pPr>
              <w:jc w:val="center"/>
            </w:pPr>
          </w:p>
        </w:tc>
      </w:tr>
      <w:tr w14:paraId="59FCE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35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36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2B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C335">
            <w:pPr>
              <w:jc w:val="center"/>
            </w:pPr>
            <w:r>
              <w:rPr>
                <w:rFonts w:ascii="宋体" w:hAnsi="宋体" w:eastAsia="宋体"/>
                <w:sz w:val="16"/>
              </w:rPr>
              <w:t>路面宽度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DD8B">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F34104">
            <w:pPr>
              <w:jc w:val="center"/>
            </w:pPr>
            <w:r>
              <w:rPr>
                <w:rFonts w:ascii="宋体" w:hAnsi="宋体" w:eastAsia="宋体"/>
                <w:sz w:val="16"/>
              </w:rPr>
              <w:t>&gt;=6.50米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D6CA03">
            <w:pPr>
              <w:jc w:val="center"/>
            </w:pPr>
            <w:r>
              <w:rPr>
                <w:rFonts w:ascii="宋体" w:hAnsi="宋体" w:eastAsia="宋体"/>
                <w:sz w:val="16"/>
              </w:rPr>
              <w:t>6.5米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C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9E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1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FA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4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4866">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27F1B08A">
            <w:pPr>
              <w:jc w:val="center"/>
            </w:pPr>
          </w:p>
        </w:tc>
      </w:tr>
      <w:tr w14:paraId="57725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7C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2B2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9F7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EB51">
            <w:pPr>
              <w:jc w:val="center"/>
            </w:pPr>
            <w:r>
              <w:rPr>
                <w:rFonts w:ascii="宋体" w:hAnsi="宋体" w:eastAsia="宋体"/>
                <w:sz w:val="16"/>
              </w:rPr>
              <w:t>公路等级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EEF5">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E50C65">
            <w:pPr>
              <w:jc w:val="center"/>
            </w:pPr>
            <w:r>
              <w:rPr>
                <w:rFonts w:ascii="宋体" w:hAnsi="宋体" w:eastAsia="宋体"/>
                <w:sz w:val="16"/>
              </w:rPr>
              <w:t>四级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4A386A">
            <w:pPr>
              <w:jc w:val="center"/>
            </w:pPr>
            <w:r>
              <w:rPr>
                <w:rFonts w:ascii="宋体" w:hAnsi="宋体" w:eastAsia="宋体"/>
                <w:sz w:val="16"/>
              </w:rPr>
              <w:t>四级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4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75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0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E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4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09C3">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444C2A54">
            <w:pPr>
              <w:jc w:val="center"/>
            </w:pPr>
          </w:p>
        </w:tc>
      </w:tr>
      <w:tr w14:paraId="43EA0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20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AE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1E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D058">
            <w:pPr>
              <w:jc w:val="center"/>
            </w:pPr>
            <w:r>
              <w:rPr>
                <w:rFonts w:ascii="宋体" w:hAnsi="宋体" w:eastAsia="宋体"/>
                <w:sz w:val="16"/>
              </w:rPr>
              <w:t>项目资金使用合规率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F08B">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2442B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2DB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5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88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C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1D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B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9487">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18E3427F">
            <w:pPr>
              <w:jc w:val="center"/>
            </w:pPr>
          </w:p>
        </w:tc>
      </w:tr>
      <w:tr w14:paraId="4F139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E8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48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3B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E063">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F3A2">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2ADD47">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695C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0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CE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0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0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2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3151">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41C1549">
            <w:pPr>
              <w:jc w:val="center"/>
            </w:pPr>
            <w:r>
              <w:rPr>
                <w:rFonts w:ascii="宋体" w:hAnsi="宋体" w:eastAsia="宋体"/>
                <w:sz w:val="16"/>
              </w:rPr>
              <w:t>由于当年气候恶劣，不满足验收条件，计划今年交工验收。</w:t>
            </w:r>
          </w:p>
        </w:tc>
      </w:tr>
      <w:tr w14:paraId="58256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3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0A9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EB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13FA">
            <w:pPr>
              <w:jc w:val="center"/>
            </w:pPr>
            <w:r>
              <w:rPr>
                <w:rFonts w:ascii="宋体" w:hAnsi="宋体" w:eastAsia="宋体"/>
                <w:sz w:val="16"/>
              </w:rPr>
              <w:t>公路建设成本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AF9E">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73692E">
            <w:pPr>
              <w:jc w:val="center"/>
            </w:pPr>
            <w:r>
              <w:rPr>
                <w:rFonts w:ascii="宋体" w:hAnsi="宋体" w:eastAsia="宋体"/>
                <w:sz w:val="16"/>
              </w:rPr>
              <w:t>&lt;=38.32万元/公里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B014F0">
            <w:pPr>
              <w:jc w:val="center"/>
            </w:pPr>
            <w:r>
              <w:rPr>
                <w:rFonts w:ascii="宋体" w:hAnsi="宋体" w:eastAsia="宋体"/>
                <w:sz w:val="16"/>
              </w:rPr>
              <w:t>27.72万元/公里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E1DF">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32C2">
            <w:pPr>
              <w:jc w:val="center"/>
            </w:pPr>
            <w:r>
              <w:rPr>
                <w:rFonts w:ascii="宋体" w:hAnsi="宋体" w:eastAsia="宋体"/>
                <w:sz w:val="16"/>
              </w:rPr>
              <w:t>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9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6A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F5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2142">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1F3F614F">
            <w:pPr>
              <w:jc w:val="center"/>
            </w:pPr>
            <w:r>
              <w:rPr>
                <w:rFonts w:ascii="宋体" w:hAnsi="宋体" w:eastAsia="宋体"/>
                <w:sz w:val="16"/>
              </w:rPr>
              <w:t>财政压力大，成本降低。</w:t>
            </w:r>
          </w:p>
        </w:tc>
      </w:tr>
      <w:tr w14:paraId="33EFC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260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840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9F2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4FFF">
            <w:pPr>
              <w:jc w:val="center"/>
            </w:pPr>
            <w:r>
              <w:rPr>
                <w:rFonts w:ascii="宋体" w:hAnsi="宋体" w:eastAsia="宋体"/>
                <w:sz w:val="16"/>
              </w:rPr>
              <w:t>完善地区路网建设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67DE">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BB7B29">
            <w:pPr>
              <w:jc w:val="center"/>
            </w:pPr>
            <w:r>
              <w:rPr>
                <w:rFonts w:ascii="宋体" w:hAnsi="宋体" w:eastAsia="宋体"/>
                <w:sz w:val="16"/>
              </w:rPr>
              <w:t>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339D2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1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24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C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E3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67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CA0C">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0FCF734D">
            <w:pPr>
              <w:jc w:val="center"/>
            </w:pPr>
          </w:p>
        </w:tc>
      </w:tr>
      <w:tr w14:paraId="03634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C0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87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3D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FAC8">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49CE">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D6EFE3">
            <w:pPr>
              <w:jc w:val="center"/>
            </w:pPr>
            <w:r>
              <w:rPr>
                <w:rFonts w:ascii="宋体" w:hAnsi="宋体" w:eastAsia="宋体"/>
                <w:sz w:val="16"/>
              </w:rPr>
              <w:t>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75DE2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6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AB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A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2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54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5345">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28897DFB">
            <w:pPr>
              <w:jc w:val="center"/>
            </w:pPr>
          </w:p>
        </w:tc>
      </w:tr>
      <w:tr w14:paraId="50B3E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DE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B8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3A4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D11B">
            <w:pPr>
              <w:jc w:val="center"/>
            </w:pPr>
            <w:r>
              <w:rPr>
                <w:rFonts w:ascii="宋体" w:hAnsi="宋体" w:eastAsia="宋体"/>
                <w:sz w:val="16"/>
              </w:rPr>
              <w:t>项目建设符合环评审批要求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AACF">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9AE26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B69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2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D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90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9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69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BBB3">
            <w:pPr>
              <w:jc w:val="center"/>
            </w:pPr>
            <w:r>
              <w:rPr>
                <w:rFonts w:ascii="宋体" w:hAnsi="宋体" w:eastAsia="宋体"/>
                <w:sz w:val="16"/>
              </w:rPr>
              <w:t>说明材料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5C997FB8">
            <w:pPr>
              <w:jc w:val="center"/>
            </w:pPr>
          </w:p>
        </w:tc>
      </w:tr>
      <w:tr w14:paraId="1D1C7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E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A8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03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CD6B">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411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565A2B">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798D7E">
            <w:pPr>
              <w:jc w:val="center"/>
            </w:pPr>
            <w:r>
              <w:rPr>
                <w:rFonts w:ascii="宋体" w:hAnsi="宋体" w:eastAsia="宋体"/>
                <w:sz w:val="16"/>
              </w:rPr>
              <w:t>96.92%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A6A8">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9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3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C1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17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A27D">
            <w:pPr>
              <w:jc w:val="center"/>
            </w:pPr>
            <w:r>
              <w:rPr>
                <w:rFonts w:ascii="宋体" w:hAnsi="宋体" w:eastAsia="宋体"/>
                <w:sz w:val="16"/>
              </w:rPr>
              <w:t>工作资料</w:t>
            </w:r>
          </w:p>
        </w:tc>
        <w:tc>
          <w:tcPr>
            <w:tcW w:w="800" w:type="dxa"/>
            <w:tcBorders>
              <w:top w:val="single" w:color="auto" w:sz="10" w:space="0"/>
              <w:left w:val="single" w:color="auto" w:sz="10" w:space="0"/>
              <w:bottom w:val="single" w:color="auto" w:sz="10" w:space="0"/>
              <w:right w:val="single" w:color="auto" w:sz="10" w:space="0"/>
              <w:insideV w:val="single" w:sz="10" w:space="0"/>
            </w:tcBorders>
            <w:vAlign w:val="center"/>
          </w:tcPr>
          <w:p w14:paraId="76A8ADA9">
            <w:pPr>
              <w:jc w:val="center"/>
            </w:pPr>
            <w:r>
              <w:rPr>
                <w:rFonts w:ascii="宋体" w:hAnsi="宋体" w:eastAsia="宋体"/>
                <w:sz w:val="16"/>
              </w:rPr>
              <w:t>群众满意度高于预期值。</w:t>
            </w:r>
          </w:p>
        </w:tc>
      </w:tr>
      <w:tr w14:paraId="1FEB90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9CDB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C651">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3FD8BE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2E4BB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AF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CD17">
            <w:pPr>
              <w:jc w:val="center"/>
            </w:pPr>
            <w:r>
              <w:rPr>
                <w:rFonts w:ascii="宋体" w:hAnsi="宋体" w:eastAsia="宋体"/>
                <w:sz w:val="16"/>
              </w:rPr>
              <w:t>84.4分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6E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C50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E37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6F937"/>
        </w:tc>
        <w:tc>
          <w:tcPr>
            <w:tcW w:w="800" w:type="dxa"/>
            <w:tcBorders>
              <w:top w:val="single" w:color="auto" w:sz="10" w:space="0"/>
              <w:left w:val="single" w:color="auto" w:sz="10" w:space="0"/>
              <w:bottom w:val="single" w:color="auto" w:sz="10" w:space="0"/>
              <w:right w:val="single" w:color="auto" w:sz="10" w:space="0"/>
              <w:insideV w:val="single" w:sz="10" w:space="0"/>
            </w:tcBorders>
          </w:tcPr>
          <w:p w14:paraId="5FF7ED7F"/>
        </w:tc>
      </w:tr>
    </w:tbl>
    <w:p w14:paraId="39706053">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96"/>
        <w:gridCol w:w="604"/>
        <w:gridCol w:w="936"/>
        <w:gridCol w:w="696"/>
        <w:gridCol w:w="617"/>
        <w:gridCol w:w="604"/>
        <w:gridCol w:w="592"/>
        <w:gridCol w:w="696"/>
        <w:gridCol w:w="594"/>
        <w:gridCol w:w="594"/>
        <w:gridCol w:w="630"/>
      </w:tblGrid>
      <w:tr w14:paraId="6B9EF42F">
        <w:tblPrEx>
          <w:tblCellMar>
            <w:top w:w="0" w:type="dxa"/>
            <w:left w:w="108" w:type="dxa"/>
            <w:bottom w:w="0" w:type="dxa"/>
            <w:right w:w="108" w:type="dxa"/>
          </w:tblCellMar>
        </w:tblPrEx>
        <w:tc>
          <w:tcPr>
            <w:tcW w:w="8848" w:type="dxa"/>
            <w:gridSpan w:val="14"/>
            <w:vAlign w:val="center"/>
          </w:tcPr>
          <w:p w14:paraId="1CE60369">
            <w:pPr>
              <w:jc w:val="center"/>
            </w:pPr>
            <w:r>
              <w:rPr>
                <w:rFonts w:ascii="宋体" w:hAnsi="宋体" w:eastAsia="宋体"/>
                <w:sz w:val="24"/>
              </w:rPr>
              <w:t>项目支出绩效自评表</w:t>
            </w:r>
          </w:p>
        </w:tc>
      </w:tr>
      <w:tr w14:paraId="1D4456D1">
        <w:tblPrEx>
          <w:tblCellMar>
            <w:top w:w="0" w:type="dxa"/>
            <w:left w:w="108" w:type="dxa"/>
            <w:bottom w:w="0" w:type="dxa"/>
            <w:right w:w="108" w:type="dxa"/>
          </w:tblCellMar>
        </w:tblPrEx>
        <w:tc>
          <w:tcPr>
            <w:tcW w:w="8848" w:type="dxa"/>
            <w:gridSpan w:val="14"/>
            <w:vAlign w:val="center"/>
          </w:tcPr>
          <w:p w14:paraId="3A75861C">
            <w:pPr>
              <w:jc w:val="center"/>
            </w:pPr>
            <w:r>
              <w:rPr>
                <w:rFonts w:ascii="宋体" w:hAnsi="宋体" w:eastAsia="宋体"/>
                <w:sz w:val="24"/>
              </w:rPr>
              <w:t>(2024年度)</w:t>
            </w:r>
          </w:p>
        </w:tc>
      </w:tr>
      <w:tr w14:paraId="71431F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A7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60D60B">
            <w:pPr>
              <w:jc w:val="center"/>
            </w:pPr>
            <w:r>
              <w:rPr>
                <w:rFonts w:ascii="宋体" w:hAnsi="宋体" w:eastAsia="宋体"/>
                <w:sz w:val="16"/>
              </w:rPr>
              <w:t>伊州财建</w:t>
            </w:r>
            <w:r>
              <w:rPr>
                <w:rFonts w:hint="eastAsia" w:ascii="宋体" w:hAnsi="宋体"/>
                <w:sz w:val="16"/>
                <w:lang w:eastAsia="zh-CN"/>
              </w:rPr>
              <w:t>〔2023〕202号</w:t>
            </w:r>
            <w:r>
              <w:rPr>
                <w:rFonts w:ascii="宋体" w:hAnsi="宋体" w:eastAsia="宋体"/>
                <w:sz w:val="16"/>
              </w:rPr>
              <w:t>（成品油）伊犁州特克斯县2024年农村公路日常养护项目</w:t>
            </w:r>
          </w:p>
        </w:tc>
      </w:tr>
      <w:tr w14:paraId="604A5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C2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5CE19">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23F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38337D">
            <w:pPr>
              <w:jc w:val="center"/>
            </w:pPr>
            <w:r>
              <w:rPr>
                <w:rFonts w:ascii="宋体" w:hAnsi="宋体" w:eastAsia="宋体"/>
                <w:sz w:val="16"/>
              </w:rPr>
              <w:t>特克斯县交通运输局</w:t>
            </w:r>
          </w:p>
        </w:tc>
      </w:tr>
      <w:tr w14:paraId="739A2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CE6E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D69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59E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9C1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27F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E65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814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B140">
            <w:pPr>
              <w:jc w:val="center"/>
            </w:pPr>
            <w:r>
              <w:rPr>
                <w:rFonts w:ascii="宋体" w:hAnsi="宋体" w:eastAsia="宋体"/>
                <w:sz w:val="16"/>
              </w:rPr>
              <w:t>得分</w:t>
            </w:r>
          </w:p>
        </w:tc>
      </w:tr>
      <w:tr w14:paraId="078B6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6E0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579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D4784">
            <w:pPr>
              <w:jc w:val="center"/>
            </w:pPr>
            <w:r>
              <w:rPr>
                <w:rFonts w:ascii="宋体" w:hAnsi="宋体" w:eastAsia="宋体"/>
                <w:sz w:val="16"/>
              </w:rPr>
              <w:t>138.00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72DD4">
            <w:pPr>
              <w:jc w:val="center"/>
            </w:pPr>
            <w:r>
              <w:rPr>
                <w:rFonts w:ascii="宋体" w:hAnsi="宋体" w:eastAsia="宋体"/>
                <w:sz w:val="16"/>
              </w:rPr>
              <w:t>138.00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748B1">
            <w:pPr>
              <w:jc w:val="center"/>
            </w:pPr>
            <w:r>
              <w:rPr>
                <w:rFonts w:ascii="宋体" w:hAnsi="宋体" w:eastAsia="宋体"/>
                <w:sz w:val="16"/>
              </w:rPr>
              <w:t>138.00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A5F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B37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F309">
            <w:pPr>
              <w:jc w:val="center"/>
            </w:pPr>
            <w:r>
              <w:rPr>
                <w:rFonts w:ascii="宋体" w:hAnsi="宋体" w:eastAsia="宋体"/>
                <w:sz w:val="16"/>
              </w:rPr>
              <w:t>10.00</w:t>
            </w:r>
          </w:p>
        </w:tc>
      </w:tr>
      <w:tr w14:paraId="5C110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13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D25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EA32">
            <w:pPr>
              <w:jc w:val="center"/>
            </w:pPr>
            <w:r>
              <w:rPr>
                <w:rFonts w:ascii="宋体" w:hAnsi="宋体" w:eastAsia="宋体"/>
                <w:sz w:val="16"/>
              </w:rPr>
              <w:t>138.00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D4DB0">
            <w:pPr>
              <w:jc w:val="center"/>
            </w:pPr>
            <w:r>
              <w:rPr>
                <w:rFonts w:ascii="宋体" w:hAnsi="宋体" w:eastAsia="宋体"/>
                <w:sz w:val="16"/>
              </w:rPr>
              <w:t>138.00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4852">
            <w:pPr>
              <w:jc w:val="center"/>
            </w:pPr>
            <w:r>
              <w:rPr>
                <w:rFonts w:ascii="宋体" w:hAnsi="宋体" w:eastAsia="宋体"/>
                <w:sz w:val="16"/>
              </w:rPr>
              <w:t>138.00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AD8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96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1FB0">
            <w:pPr>
              <w:jc w:val="center"/>
            </w:pPr>
            <w:r>
              <w:rPr>
                <w:rFonts w:ascii="宋体" w:hAnsi="宋体" w:eastAsia="宋体"/>
                <w:sz w:val="16"/>
              </w:rPr>
              <w:t>—</w:t>
            </w:r>
          </w:p>
        </w:tc>
      </w:tr>
      <w:tr w14:paraId="225E7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D42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45A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9D4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1B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70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3BE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9D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FD21">
            <w:pPr>
              <w:jc w:val="center"/>
            </w:pPr>
            <w:r>
              <w:rPr>
                <w:rFonts w:ascii="宋体" w:hAnsi="宋体" w:eastAsia="宋体"/>
                <w:sz w:val="16"/>
              </w:rPr>
              <w:t>—</w:t>
            </w:r>
          </w:p>
        </w:tc>
      </w:tr>
      <w:tr w14:paraId="231AF5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5A4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E53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5F834">
            <w:pPr>
              <w:jc w:val="center"/>
            </w:pPr>
            <w:r>
              <w:rPr>
                <w:rFonts w:ascii="宋体" w:hAnsi="宋体" w:eastAsia="宋体"/>
                <w:sz w:val="16"/>
              </w:rPr>
              <w:t>实际完成情况</w:t>
            </w:r>
          </w:p>
        </w:tc>
      </w:tr>
      <w:tr w14:paraId="65685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266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E08F1">
            <w:pPr>
              <w:jc w:val="both"/>
            </w:pPr>
            <w:r>
              <w:rPr>
                <w:rFonts w:ascii="宋体" w:hAnsi="宋体" w:eastAsia="宋体"/>
                <w:sz w:val="16"/>
              </w:rPr>
              <w:t>完成伊犁州特克斯县2024年农村公路养护项目，总投资138万元，按照1019.,5元/公里，养护县道里程148.26公里，养护乡道894.71公里，养护村道310.64公里，包含沥青路面补坑槽、边沟清淤、涵洞台帽修复等工程。加强农村公路建设和养护的规范化管理，进一步提高农村质量，保障公路安全，落实农村公路管理养护责任，确保农村公路管理养护目标的全面完成，更好地为经济建设和人民群众生产生活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B99A97">
            <w:pPr>
              <w:jc w:val="both"/>
            </w:pPr>
            <w:r>
              <w:rPr>
                <w:rFonts w:ascii="宋体" w:hAnsi="宋体" w:eastAsia="宋体"/>
                <w:sz w:val="16"/>
              </w:rPr>
              <w:t>为加强农村公路建设和养护的规范化管理，提高农村质量，保障公路安全，实施了伊犁州特克斯县2024年农村公路养护项目，总投资138万元，按照1019.,5元/公里，养护县道里程148.26公里，养护乡道894.71公里，养护村道310.64公里，包含沥青路面补坑槽、边沟清淤、涵洞台帽修复等工程。该项</w:t>
            </w:r>
            <w:r>
              <w:rPr>
                <w:rFonts w:hint="eastAsia" w:ascii="宋体" w:hAnsi="宋体"/>
                <w:sz w:val="16"/>
                <w:lang w:eastAsia="zh-CN"/>
              </w:rPr>
              <w:t>目在</w:t>
            </w:r>
            <w:r>
              <w:rPr>
                <w:rFonts w:ascii="宋体" w:hAnsi="宋体" w:eastAsia="宋体"/>
                <w:sz w:val="16"/>
              </w:rPr>
              <w:t>确保农村公路管理养护目标全面完成的同时，更好地为经济建设和人民群众生产生活提供服务。</w:t>
            </w:r>
          </w:p>
        </w:tc>
      </w:tr>
      <w:tr w14:paraId="46A38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290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15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FA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00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5F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E37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DCA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17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A8D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72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17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ED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B3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B5A0">
            <w:pPr>
              <w:jc w:val="center"/>
            </w:pPr>
            <w:r>
              <w:rPr>
                <w:rFonts w:ascii="宋体" w:hAnsi="宋体" w:eastAsia="宋体"/>
                <w:sz w:val="16"/>
              </w:rPr>
              <w:t>偏差原因分析及改进措施</w:t>
            </w:r>
          </w:p>
        </w:tc>
      </w:tr>
      <w:tr w14:paraId="2BFEFB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A29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8BE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767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7C4E">
            <w:pPr>
              <w:jc w:val="center"/>
            </w:pPr>
            <w:r>
              <w:rPr>
                <w:rFonts w:ascii="宋体" w:hAnsi="宋体" w:eastAsia="宋体"/>
                <w:sz w:val="16"/>
              </w:rPr>
              <w:t>养护县道里程（km）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2C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0773">
            <w:pPr>
              <w:jc w:val="center"/>
            </w:pPr>
            <w:r>
              <w:rPr>
                <w:rFonts w:ascii="宋体" w:hAnsi="宋体" w:eastAsia="宋体"/>
                <w:sz w:val="16"/>
              </w:rPr>
              <w:t>=148.26公里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B04C">
            <w:pPr>
              <w:jc w:val="center"/>
            </w:pPr>
            <w:r>
              <w:rPr>
                <w:rFonts w:ascii="宋体" w:hAnsi="宋体" w:eastAsia="宋体"/>
                <w:sz w:val="16"/>
              </w:rPr>
              <w:t>148.26公里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7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E9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1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BB4D">
            <w:pPr>
              <w:jc w:val="center"/>
            </w:pPr>
            <w:r>
              <w:rPr>
                <w:rFonts w:ascii="宋体" w:hAnsi="宋体" w:eastAsia="宋体"/>
                <w:sz w:val="16"/>
              </w:rPr>
              <w:t>148.26公里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4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E4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D71E">
            <w:pPr>
              <w:jc w:val="center"/>
            </w:pPr>
          </w:p>
        </w:tc>
      </w:tr>
      <w:tr w14:paraId="1390C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B0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BD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51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F214">
            <w:pPr>
              <w:jc w:val="center"/>
            </w:pPr>
            <w:r>
              <w:rPr>
                <w:rFonts w:ascii="宋体" w:hAnsi="宋体" w:eastAsia="宋体"/>
                <w:sz w:val="16"/>
              </w:rPr>
              <w:t>养护乡道里程（km）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23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5539">
            <w:pPr>
              <w:jc w:val="center"/>
            </w:pPr>
            <w:r>
              <w:rPr>
                <w:rFonts w:ascii="宋体" w:hAnsi="宋体" w:eastAsia="宋体"/>
                <w:sz w:val="16"/>
              </w:rPr>
              <w:t>=894.71公里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FBCA">
            <w:pPr>
              <w:jc w:val="center"/>
            </w:pPr>
            <w:r>
              <w:rPr>
                <w:rFonts w:ascii="宋体" w:hAnsi="宋体" w:eastAsia="宋体"/>
                <w:sz w:val="16"/>
              </w:rPr>
              <w:t>894.71公里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B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D4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7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621B">
            <w:pPr>
              <w:jc w:val="center"/>
            </w:pPr>
            <w:r>
              <w:rPr>
                <w:rFonts w:ascii="宋体" w:hAnsi="宋体" w:eastAsia="宋体"/>
                <w:sz w:val="16"/>
              </w:rPr>
              <w:t>894.71公里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6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46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DA2D">
            <w:pPr>
              <w:jc w:val="center"/>
            </w:pPr>
          </w:p>
        </w:tc>
      </w:tr>
      <w:tr w14:paraId="514AC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E1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2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C2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E1B9">
            <w:pPr>
              <w:jc w:val="center"/>
            </w:pPr>
            <w:r>
              <w:rPr>
                <w:rFonts w:ascii="宋体" w:hAnsi="宋体" w:eastAsia="宋体"/>
                <w:sz w:val="16"/>
              </w:rPr>
              <w:t>养护村道里程（km）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4A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4099">
            <w:pPr>
              <w:jc w:val="center"/>
            </w:pPr>
            <w:r>
              <w:rPr>
                <w:rFonts w:ascii="宋体" w:hAnsi="宋体" w:eastAsia="宋体"/>
                <w:sz w:val="16"/>
              </w:rPr>
              <w:t>=310.64公里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AF0A">
            <w:pPr>
              <w:jc w:val="center"/>
            </w:pPr>
            <w:r>
              <w:rPr>
                <w:rFonts w:ascii="宋体" w:hAnsi="宋体" w:eastAsia="宋体"/>
                <w:sz w:val="16"/>
              </w:rPr>
              <w:t>310.64公里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5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9C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32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782C">
            <w:pPr>
              <w:jc w:val="center"/>
            </w:pPr>
            <w:r>
              <w:rPr>
                <w:rFonts w:ascii="宋体" w:hAnsi="宋体" w:eastAsia="宋体"/>
                <w:sz w:val="16"/>
              </w:rPr>
              <w:t>310.64公里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A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88E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DE07">
            <w:pPr>
              <w:jc w:val="center"/>
            </w:pPr>
          </w:p>
        </w:tc>
      </w:tr>
      <w:tr w14:paraId="75A1E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7C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6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35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F30F">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43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9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C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7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1B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C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7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FD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9A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32D8">
            <w:pPr>
              <w:jc w:val="center"/>
            </w:pPr>
          </w:p>
        </w:tc>
      </w:tr>
      <w:tr w14:paraId="47CFD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35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B2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28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538D">
            <w:pPr>
              <w:jc w:val="center"/>
            </w:pPr>
            <w:r>
              <w:rPr>
                <w:rFonts w:ascii="宋体" w:hAnsi="宋体" w:eastAsia="宋体"/>
                <w:sz w:val="16"/>
              </w:rPr>
              <w:t>按期完成投资率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67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8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4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C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90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82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9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E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79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2A01">
            <w:pPr>
              <w:jc w:val="center"/>
            </w:pPr>
          </w:p>
        </w:tc>
      </w:tr>
      <w:tr w14:paraId="45263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03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A3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3A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8777">
            <w:pPr>
              <w:jc w:val="center"/>
            </w:pPr>
            <w:r>
              <w:rPr>
                <w:rFonts w:ascii="宋体" w:hAnsi="宋体" w:eastAsia="宋体"/>
                <w:sz w:val="16"/>
              </w:rPr>
              <w:t>公路养护成本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AA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6A66">
            <w:pPr>
              <w:jc w:val="center"/>
            </w:pPr>
            <w:r>
              <w:rPr>
                <w:rFonts w:ascii="宋体" w:hAnsi="宋体" w:eastAsia="宋体"/>
                <w:sz w:val="16"/>
              </w:rPr>
              <w:t>&lt;=1019.50元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0007">
            <w:pPr>
              <w:jc w:val="center"/>
            </w:pPr>
            <w:r>
              <w:rPr>
                <w:rFonts w:ascii="宋体" w:hAnsi="宋体" w:eastAsia="宋体"/>
                <w:sz w:val="16"/>
              </w:rPr>
              <w:t>1019.5元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09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D5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3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368D">
            <w:pPr>
              <w:jc w:val="center"/>
            </w:pPr>
            <w:r>
              <w:rPr>
                <w:rFonts w:ascii="宋体" w:hAnsi="宋体" w:eastAsia="宋体"/>
                <w:sz w:val="16"/>
              </w:rPr>
              <w:t>1019.5元/公里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E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AA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C3C3">
            <w:pPr>
              <w:jc w:val="center"/>
            </w:pPr>
          </w:p>
        </w:tc>
      </w:tr>
      <w:tr w14:paraId="201F9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A3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D37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FFC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8DDB">
            <w:pPr>
              <w:jc w:val="center"/>
            </w:pPr>
            <w:r>
              <w:rPr>
                <w:rFonts w:ascii="宋体" w:hAnsi="宋体" w:eastAsia="宋体"/>
                <w:sz w:val="16"/>
              </w:rPr>
              <w:t>对经济发展促进作用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B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307E">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ED0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7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51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C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D2D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48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31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3DDF">
            <w:pPr>
              <w:jc w:val="center"/>
            </w:pPr>
          </w:p>
        </w:tc>
      </w:tr>
      <w:tr w14:paraId="0EB32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4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F6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0F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6B9A">
            <w:pPr>
              <w:jc w:val="center"/>
            </w:pPr>
            <w:r>
              <w:rPr>
                <w:rFonts w:ascii="宋体" w:hAnsi="宋体" w:eastAsia="宋体"/>
                <w:sz w:val="16"/>
              </w:rPr>
              <w:t>项目适应未来一定时期交通需求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47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2D2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25B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6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4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6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CFD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48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71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3E9D">
            <w:pPr>
              <w:jc w:val="center"/>
            </w:pPr>
          </w:p>
        </w:tc>
      </w:tr>
      <w:tr w14:paraId="6721C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8B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02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89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883B">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6E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3B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3FD0">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772D">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A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9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C7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2C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D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29DF">
            <w:pPr>
              <w:jc w:val="center"/>
            </w:pPr>
            <w:r>
              <w:rPr>
                <w:rFonts w:ascii="宋体" w:hAnsi="宋体" w:eastAsia="宋体"/>
                <w:sz w:val="16"/>
              </w:rPr>
              <w:t>养护项目的实施提高了公路安全水平，群众满意度高于预期值。</w:t>
            </w:r>
          </w:p>
        </w:tc>
      </w:tr>
      <w:tr w14:paraId="3C4D4D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66AC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0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042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797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36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14E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84D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FE08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D8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2E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95D48"/>
        </w:tc>
      </w:tr>
    </w:tbl>
    <w:p w14:paraId="148B34B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936"/>
        <w:gridCol w:w="776"/>
        <w:gridCol w:w="622"/>
        <w:gridCol w:w="614"/>
        <w:gridCol w:w="606"/>
        <w:gridCol w:w="606"/>
        <w:gridCol w:w="608"/>
        <w:gridCol w:w="607"/>
        <w:gridCol w:w="631"/>
      </w:tblGrid>
      <w:tr w14:paraId="314753EA">
        <w:tblPrEx>
          <w:tblCellMar>
            <w:top w:w="0" w:type="dxa"/>
            <w:left w:w="108" w:type="dxa"/>
            <w:bottom w:w="0" w:type="dxa"/>
            <w:right w:w="108" w:type="dxa"/>
          </w:tblCellMar>
        </w:tblPrEx>
        <w:tc>
          <w:tcPr>
            <w:tcW w:w="8848" w:type="dxa"/>
            <w:gridSpan w:val="14"/>
            <w:vAlign w:val="center"/>
          </w:tcPr>
          <w:p w14:paraId="5306046E">
            <w:pPr>
              <w:jc w:val="center"/>
            </w:pPr>
            <w:r>
              <w:rPr>
                <w:rFonts w:ascii="宋体" w:hAnsi="宋体" w:eastAsia="宋体"/>
                <w:sz w:val="24"/>
              </w:rPr>
              <w:t>项目支出绩效自评表</w:t>
            </w:r>
          </w:p>
        </w:tc>
      </w:tr>
      <w:tr w14:paraId="549D35B4">
        <w:tblPrEx>
          <w:tblCellMar>
            <w:top w:w="0" w:type="dxa"/>
            <w:left w:w="108" w:type="dxa"/>
            <w:bottom w:w="0" w:type="dxa"/>
            <w:right w:w="108" w:type="dxa"/>
          </w:tblCellMar>
        </w:tblPrEx>
        <w:tc>
          <w:tcPr>
            <w:tcW w:w="8848" w:type="dxa"/>
            <w:gridSpan w:val="14"/>
            <w:vAlign w:val="center"/>
          </w:tcPr>
          <w:p w14:paraId="69FB2182">
            <w:pPr>
              <w:jc w:val="center"/>
            </w:pPr>
            <w:r>
              <w:rPr>
                <w:rFonts w:ascii="宋体" w:hAnsi="宋体" w:eastAsia="宋体"/>
                <w:sz w:val="24"/>
              </w:rPr>
              <w:t>(2024年度)</w:t>
            </w:r>
          </w:p>
        </w:tc>
      </w:tr>
      <w:tr w14:paraId="5213E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DA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FBAF35">
            <w:pPr>
              <w:jc w:val="center"/>
            </w:pPr>
            <w:r>
              <w:rPr>
                <w:rFonts w:ascii="宋体" w:hAnsi="宋体" w:eastAsia="宋体"/>
                <w:sz w:val="16"/>
              </w:rPr>
              <w:t>国道577线特克斯县至昭苏段公路工程征地拆迁项目</w:t>
            </w:r>
          </w:p>
        </w:tc>
      </w:tr>
      <w:tr w14:paraId="5FDD17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6C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2C41D">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8B7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D11454">
            <w:pPr>
              <w:jc w:val="center"/>
            </w:pPr>
            <w:r>
              <w:rPr>
                <w:rFonts w:ascii="宋体" w:hAnsi="宋体" w:eastAsia="宋体"/>
                <w:sz w:val="16"/>
              </w:rPr>
              <w:t>特克斯县交通运输局</w:t>
            </w:r>
          </w:p>
        </w:tc>
      </w:tr>
      <w:tr w14:paraId="54DD9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A517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465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E62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8D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F40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137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35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71A8">
            <w:pPr>
              <w:jc w:val="center"/>
            </w:pPr>
            <w:r>
              <w:rPr>
                <w:rFonts w:ascii="宋体" w:hAnsi="宋体" w:eastAsia="宋体"/>
                <w:sz w:val="16"/>
              </w:rPr>
              <w:t>得分</w:t>
            </w:r>
          </w:p>
        </w:tc>
      </w:tr>
      <w:tr w14:paraId="62457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2BE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19E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B4F26">
            <w:pPr>
              <w:jc w:val="center"/>
            </w:pPr>
            <w:r>
              <w:rPr>
                <w:rFonts w:ascii="宋体" w:hAnsi="宋体" w:eastAsia="宋体"/>
                <w:sz w:val="16"/>
              </w:rPr>
              <w:t>994.32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71D4">
            <w:pPr>
              <w:jc w:val="center"/>
            </w:pPr>
            <w:r>
              <w:rPr>
                <w:rFonts w:ascii="宋体" w:hAnsi="宋体" w:eastAsia="宋体"/>
                <w:sz w:val="16"/>
              </w:rPr>
              <w:t>1,640.41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23AC">
            <w:pPr>
              <w:jc w:val="center"/>
            </w:pPr>
            <w:r>
              <w:rPr>
                <w:rFonts w:ascii="宋体" w:hAnsi="宋体" w:eastAsia="宋体"/>
                <w:sz w:val="16"/>
              </w:rPr>
              <w:t>1,640.41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ECE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41FE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8BDE">
            <w:pPr>
              <w:jc w:val="center"/>
            </w:pPr>
            <w:r>
              <w:rPr>
                <w:rFonts w:ascii="宋体" w:hAnsi="宋体" w:eastAsia="宋体"/>
                <w:sz w:val="16"/>
              </w:rPr>
              <w:t>10.00</w:t>
            </w:r>
          </w:p>
        </w:tc>
      </w:tr>
      <w:tr w14:paraId="12035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3B5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F80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F0E0">
            <w:pPr>
              <w:jc w:val="center"/>
            </w:pPr>
            <w:r>
              <w:rPr>
                <w:rFonts w:ascii="宋体" w:hAnsi="宋体" w:eastAsia="宋体"/>
                <w:sz w:val="16"/>
              </w:rPr>
              <w:t>994.32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4D542">
            <w:pPr>
              <w:jc w:val="center"/>
            </w:pPr>
            <w:r>
              <w:rPr>
                <w:rFonts w:ascii="宋体" w:hAnsi="宋体" w:eastAsia="宋体"/>
                <w:sz w:val="16"/>
              </w:rPr>
              <w:t>1,640.41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B090A">
            <w:pPr>
              <w:jc w:val="center"/>
            </w:pPr>
            <w:r>
              <w:rPr>
                <w:rFonts w:ascii="宋体" w:hAnsi="宋体" w:eastAsia="宋体"/>
                <w:sz w:val="16"/>
              </w:rPr>
              <w:t>1,640.41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295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0D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9C42">
            <w:pPr>
              <w:jc w:val="center"/>
            </w:pPr>
            <w:r>
              <w:rPr>
                <w:rFonts w:ascii="宋体" w:hAnsi="宋体" w:eastAsia="宋体"/>
                <w:sz w:val="16"/>
              </w:rPr>
              <w:t>—</w:t>
            </w:r>
          </w:p>
        </w:tc>
      </w:tr>
      <w:tr w14:paraId="79B36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ABA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4F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CEC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F75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FC0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161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B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1679">
            <w:pPr>
              <w:jc w:val="center"/>
            </w:pPr>
            <w:r>
              <w:rPr>
                <w:rFonts w:ascii="宋体" w:hAnsi="宋体" w:eastAsia="宋体"/>
                <w:sz w:val="16"/>
              </w:rPr>
              <w:t>—</w:t>
            </w:r>
          </w:p>
        </w:tc>
      </w:tr>
      <w:tr w14:paraId="6A32C5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831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50A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EF19C9">
            <w:pPr>
              <w:jc w:val="center"/>
            </w:pPr>
            <w:r>
              <w:rPr>
                <w:rFonts w:ascii="宋体" w:hAnsi="宋体" w:eastAsia="宋体"/>
                <w:sz w:val="16"/>
              </w:rPr>
              <w:t>实际完成情况</w:t>
            </w:r>
          </w:p>
        </w:tc>
      </w:tr>
      <w:tr w14:paraId="37DF2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F9F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FBFCD">
            <w:pPr>
              <w:jc w:val="both"/>
            </w:pPr>
            <w:r>
              <w:rPr>
                <w:rFonts w:ascii="宋体" w:hAnsi="宋体" w:eastAsia="宋体"/>
                <w:sz w:val="16"/>
              </w:rPr>
              <w:t>完成国道577线特克斯-昭苏征地拆迁工作，及时拨付土地补偿费、安置补偿费、青苗补偿费、附着物补偿费、房屋补偿费。保证工程项目顺利推进。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CC1957">
            <w:pPr>
              <w:jc w:val="both"/>
            </w:pPr>
            <w:r>
              <w:rPr>
                <w:rFonts w:ascii="宋体" w:hAnsi="宋体" w:eastAsia="宋体"/>
                <w:sz w:val="16"/>
              </w:rPr>
              <w:t>通过及时拨付国道577征地拆迁补偿款，有效解决了沿线拆迁户草地、房屋、地上附着物补偿费，顺利推进此项目各阶段工程的顺利开展，提升了公路安全水平。</w:t>
            </w:r>
          </w:p>
        </w:tc>
      </w:tr>
      <w:tr w14:paraId="7A1146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6F1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41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85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53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FD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B44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C46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AF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2F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14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9B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BD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01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5F01">
            <w:pPr>
              <w:jc w:val="center"/>
            </w:pPr>
            <w:r>
              <w:rPr>
                <w:rFonts w:ascii="宋体" w:hAnsi="宋体" w:eastAsia="宋体"/>
                <w:sz w:val="16"/>
              </w:rPr>
              <w:t>偏差原因分析及改进措施</w:t>
            </w:r>
          </w:p>
        </w:tc>
      </w:tr>
      <w:tr w14:paraId="0695B3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EDA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7F4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48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A633">
            <w:pPr>
              <w:jc w:val="center"/>
            </w:pPr>
            <w:r>
              <w:rPr>
                <w:rFonts w:ascii="宋体" w:hAnsi="宋体" w:eastAsia="宋体"/>
                <w:sz w:val="16"/>
              </w:rPr>
              <w:t>涉及补偿类别数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C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FAC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C67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1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F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0D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B4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E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A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301B">
            <w:pPr>
              <w:jc w:val="center"/>
            </w:pPr>
          </w:p>
        </w:tc>
      </w:tr>
      <w:tr w14:paraId="0408C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66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2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75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9247">
            <w:pPr>
              <w:jc w:val="center"/>
            </w:pPr>
            <w:r>
              <w:rPr>
                <w:rFonts w:ascii="宋体" w:hAnsi="宋体" w:eastAsia="宋体"/>
                <w:sz w:val="16"/>
              </w:rPr>
              <w:t>征地补偿发放完成率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61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FB4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5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3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8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6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3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2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33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1315">
            <w:pPr>
              <w:jc w:val="center"/>
            </w:pPr>
          </w:p>
        </w:tc>
      </w:tr>
      <w:tr w14:paraId="7EC30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CF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1D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88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A077">
            <w:pPr>
              <w:jc w:val="center"/>
            </w:pPr>
            <w:r>
              <w:rPr>
                <w:rFonts w:ascii="宋体" w:hAnsi="宋体" w:eastAsia="宋体"/>
                <w:sz w:val="16"/>
              </w:rPr>
              <w:t>征地补偿发放及时率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0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EF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0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DBB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7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B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6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E6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6F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54B9">
            <w:pPr>
              <w:jc w:val="center"/>
            </w:pPr>
            <w:r>
              <w:rPr>
                <w:rFonts w:ascii="宋体" w:hAnsi="宋体" w:eastAsia="宋体"/>
                <w:sz w:val="16"/>
              </w:rPr>
              <w:t>资金到位率高，资金发放率较年初预期高</w:t>
            </w:r>
          </w:p>
        </w:tc>
      </w:tr>
      <w:tr w14:paraId="7FE48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527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09F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DC0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7FFC">
            <w:pPr>
              <w:jc w:val="center"/>
            </w:pPr>
            <w:r>
              <w:rPr>
                <w:rFonts w:ascii="宋体" w:hAnsi="宋体" w:eastAsia="宋体"/>
                <w:sz w:val="16"/>
              </w:rPr>
              <w:t>土地补偿费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35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5483">
            <w:pPr>
              <w:jc w:val="center"/>
            </w:pPr>
            <w:r>
              <w:rPr>
                <w:rFonts w:ascii="宋体" w:hAnsi="宋体" w:eastAsia="宋体"/>
                <w:sz w:val="16"/>
              </w:rPr>
              <w:t>&lt;=202.13万元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0DCB">
            <w:pPr>
              <w:jc w:val="center"/>
            </w:pPr>
            <w:r>
              <w:rPr>
                <w:rFonts w:ascii="宋体" w:hAnsi="宋体" w:eastAsia="宋体"/>
                <w:sz w:val="16"/>
              </w:rPr>
              <w:t>202.13万元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9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16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6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2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C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7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06A6">
            <w:pPr>
              <w:jc w:val="center"/>
            </w:pPr>
          </w:p>
        </w:tc>
      </w:tr>
      <w:tr w14:paraId="566F1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34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7C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EC4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0DFB">
            <w:pPr>
              <w:jc w:val="center"/>
            </w:pPr>
            <w:r>
              <w:rPr>
                <w:rFonts w:ascii="宋体" w:hAnsi="宋体" w:eastAsia="宋体"/>
                <w:sz w:val="16"/>
              </w:rPr>
              <w:t>安置补偿费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BB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EA60">
            <w:pPr>
              <w:jc w:val="center"/>
            </w:pPr>
            <w:r>
              <w:rPr>
                <w:rFonts w:ascii="宋体" w:hAnsi="宋体" w:eastAsia="宋体"/>
                <w:sz w:val="16"/>
              </w:rPr>
              <w:t>&lt;=1227.45万元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F9AC">
            <w:pPr>
              <w:jc w:val="center"/>
            </w:pPr>
            <w:r>
              <w:rPr>
                <w:rFonts w:ascii="宋体" w:hAnsi="宋体" w:eastAsia="宋体"/>
                <w:sz w:val="16"/>
              </w:rPr>
              <w:t>1227.45万元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08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4F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0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6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7F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9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38D0">
            <w:pPr>
              <w:jc w:val="center"/>
            </w:pPr>
          </w:p>
        </w:tc>
      </w:tr>
      <w:tr w14:paraId="71169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A4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B9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4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9D11">
            <w:pPr>
              <w:jc w:val="center"/>
            </w:pPr>
            <w:r>
              <w:rPr>
                <w:rFonts w:ascii="宋体" w:hAnsi="宋体" w:eastAsia="宋体"/>
                <w:sz w:val="16"/>
              </w:rPr>
              <w:t>青苗补偿费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FA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B131">
            <w:pPr>
              <w:jc w:val="center"/>
            </w:pPr>
            <w:r>
              <w:rPr>
                <w:rFonts w:ascii="宋体" w:hAnsi="宋体" w:eastAsia="宋体"/>
                <w:sz w:val="16"/>
              </w:rPr>
              <w:t>&lt;=4.71万元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A55E">
            <w:pPr>
              <w:jc w:val="center"/>
            </w:pPr>
            <w:r>
              <w:rPr>
                <w:rFonts w:ascii="宋体" w:hAnsi="宋体" w:eastAsia="宋体"/>
                <w:sz w:val="16"/>
              </w:rPr>
              <w:t>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D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38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3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D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C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E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C4B8">
            <w:pPr>
              <w:jc w:val="center"/>
            </w:pPr>
          </w:p>
        </w:tc>
      </w:tr>
      <w:tr w14:paraId="135D8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4D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1E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72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8B03">
            <w:pPr>
              <w:jc w:val="center"/>
            </w:pPr>
            <w:r>
              <w:rPr>
                <w:rFonts w:ascii="宋体" w:hAnsi="宋体" w:eastAsia="宋体"/>
                <w:sz w:val="16"/>
              </w:rPr>
              <w:t>附着物补偿费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C0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0673">
            <w:pPr>
              <w:jc w:val="center"/>
            </w:pPr>
            <w:r>
              <w:rPr>
                <w:rFonts w:ascii="宋体" w:hAnsi="宋体" w:eastAsia="宋体"/>
                <w:sz w:val="16"/>
              </w:rPr>
              <w:t>&lt;=160.89万元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EBCF">
            <w:pPr>
              <w:jc w:val="center"/>
            </w:pPr>
            <w:r>
              <w:rPr>
                <w:rFonts w:ascii="宋体" w:hAnsi="宋体" w:eastAsia="宋体"/>
                <w:sz w:val="16"/>
              </w:rPr>
              <w:t>160.89万元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2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21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F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EF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8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6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7575">
            <w:pPr>
              <w:jc w:val="center"/>
            </w:pPr>
          </w:p>
        </w:tc>
      </w:tr>
      <w:tr w14:paraId="35CAE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37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39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BE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9478">
            <w:pPr>
              <w:jc w:val="center"/>
            </w:pPr>
            <w:r>
              <w:rPr>
                <w:rFonts w:ascii="宋体" w:hAnsi="宋体" w:eastAsia="宋体"/>
                <w:sz w:val="16"/>
              </w:rPr>
              <w:t>房屋补偿费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B8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3141">
            <w:pPr>
              <w:jc w:val="center"/>
            </w:pPr>
            <w:r>
              <w:rPr>
                <w:rFonts w:ascii="宋体" w:hAnsi="宋体" w:eastAsia="宋体"/>
                <w:sz w:val="16"/>
              </w:rPr>
              <w:t>&lt;=45.23万元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7E28">
            <w:pPr>
              <w:jc w:val="center"/>
            </w:pPr>
            <w:r>
              <w:rPr>
                <w:rFonts w:ascii="宋体" w:hAnsi="宋体" w:eastAsia="宋体"/>
                <w:sz w:val="16"/>
              </w:rPr>
              <w:t>45.23万元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8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3CA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4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2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B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2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043A">
            <w:pPr>
              <w:jc w:val="center"/>
            </w:pPr>
          </w:p>
        </w:tc>
      </w:tr>
      <w:tr w14:paraId="4DA4F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F1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02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33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C68B">
            <w:pPr>
              <w:jc w:val="center"/>
            </w:pPr>
            <w:r>
              <w:rPr>
                <w:rFonts w:ascii="宋体" w:hAnsi="宋体" w:eastAsia="宋体"/>
                <w:sz w:val="16"/>
              </w:rPr>
              <w:t>提升公路安全水平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F1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8CF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39E8">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3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C5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9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0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A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5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DACF">
            <w:pPr>
              <w:jc w:val="center"/>
            </w:pPr>
          </w:p>
        </w:tc>
      </w:tr>
      <w:tr w14:paraId="64C90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8B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4C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F9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94B2">
            <w:pPr>
              <w:jc w:val="center"/>
            </w:pPr>
            <w:r>
              <w:rPr>
                <w:rFonts w:ascii="宋体" w:hAnsi="宋体" w:eastAsia="宋体"/>
                <w:sz w:val="16"/>
              </w:rPr>
              <w:t>沿线群众满意度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F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C9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C900">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12C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85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C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8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18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A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3DA8">
            <w:pPr>
              <w:jc w:val="center"/>
            </w:pPr>
            <w:r>
              <w:rPr>
                <w:rFonts w:ascii="宋体" w:hAnsi="宋体" w:eastAsia="宋体"/>
                <w:sz w:val="16"/>
              </w:rPr>
              <w:t>项目完成率较高，沿线群众满意度比预期高</w:t>
            </w:r>
          </w:p>
        </w:tc>
      </w:tr>
      <w:tr w14:paraId="6ABFDA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C17A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C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40F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33C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31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F13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35C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33A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848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FE7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37487"/>
        </w:tc>
      </w:tr>
    </w:tbl>
    <w:p w14:paraId="2BE11D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DCAC12F">
        <w:tblPrEx>
          <w:tblCellMar>
            <w:top w:w="0" w:type="dxa"/>
            <w:left w:w="108" w:type="dxa"/>
            <w:bottom w:w="0" w:type="dxa"/>
            <w:right w:w="108" w:type="dxa"/>
          </w:tblCellMar>
        </w:tblPrEx>
        <w:tc>
          <w:tcPr>
            <w:tcW w:w="8848" w:type="dxa"/>
            <w:gridSpan w:val="14"/>
            <w:vAlign w:val="center"/>
          </w:tcPr>
          <w:p w14:paraId="3A3FEA6D">
            <w:pPr>
              <w:jc w:val="center"/>
            </w:pPr>
            <w:r>
              <w:rPr>
                <w:rFonts w:ascii="宋体" w:hAnsi="宋体" w:eastAsia="宋体"/>
                <w:sz w:val="24"/>
              </w:rPr>
              <w:t>项目支出绩效自评表</w:t>
            </w:r>
          </w:p>
        </w:tc>
      </w:tr>
      <w:tr w14:paraId="46E6950B">
        <w:tblPrEx>
          <w:tblCellMar>
            <w:top w:w="0" w:type="dxa"/>
            <w:left w:w="108" w:type="dxa"/>
            <w:bottom w:w="0" w:type="dxa"/>
            <w:right w:w="108" w:type="dxa"/>
          </w:tblCellMar>
        </w:tblPrEx>
        <w:tc>
          <w:tcPr>
            <w:tcW w:w="8848" w:type="dxa"/>
            <w:gridSpan w:val="14"/>
            <w:vAlign w:val="center"/>
          </w:tcPr>
          <w:p w14:paraId="74703895">
            <w:pPr>
              <w:jc w:val="center"/>
            </w:pPr>
            <w:r>
              <w:rPr>
                <w:rFonts w:ascii="宋体" w:hAnsi="宋体" w:eastAsia="宋体"/>
                <w:sz w:val="24"/>
              </w:rPr>
              <w:t>(2024年度)</w:t>
            </w:r>
          </w:p>
        </w:tc>
      </w:tr>
      <w:tr w14:paraId="1366B5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C5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519CD7">
            <w:pPr>
              <w:jc w:val="center"/>
            </w:pPr>
            <w:r>
              <w:rPr>
                <w:rFonts w:ascii="宋体" w:hAnsi="宋体" w:eastAsia="宋体"/>
                <w:sz w:val="16"/>
              </w:rPr>
              <w:t>推动大规模设备更新和消费品以旧换新项目新财建</w:t>
            </w:r>
            <w:r>
              <w:rPr>
                <w:rFonts w:hint="eastAsia" w:ascii="宋体" w:hAnsi="宋体"/>
                <w:sz w:val="16"/>
                <w:lang w:eastAsia="zh-CN"/>
              </w:rPr>
              <w:t>〔2024〕189号</w:t>
            </w:r>
          </w:p>
        </w:tc>
      </w:tr>
      <w:tr w14:paraId="28D533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34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6BC9D">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310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A4934A">
            <w:pPr>
              <w:jc w:val="center"/>
            </w:pPr>
            <w:r>
              <w:rPr>
                <w:rFonts w:ascii="宋体" w:hAnsi="宋体" w:eastAsia="宋体"/>
                <w:sz w:val="16"/>
              </w:rPr>
              <w:t>特克斯县交通运输局</w:t>
            </w:r>
          </w:p>
        </w:tc>
      </w:tr>
      <w:tr w14:paraId="54C7D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914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2C0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FA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0A5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FEC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4B6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864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91C6">
            <w:pPr>
              <w:jc w:val="center"/>
            </w:pPr>
            <w:r>
              <w:rPr>
                <w:rFonts w:ascii="宋体" w:hAnsi="宋体" w:eastAsia="宋体"/>
                <w:sz w:val="16"/>
              </w:rPr>
              <w:t>得分</w:t>
            </w:r>
          </w:p>
        </w:tc>
      </w:tr>
      <w:tr w14:paraId="56BE1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5A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69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27B2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2F0F8">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0F830">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7B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9C5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F909">
            <w:pPr>
              <w:jc w:val="center"/>
            </w:pPr>
            <w:r>
              <w:rPr>
                <w:rFonts w:ascii="宋体" w:hAnsi="宋体" w:eastAsia="宋体"/>
                <w:sz w:val="16"/>
              </w:rPr>
              <w:t>10.00</w:t>
            </w:r>
          </w:p>
        </w:tc>
      </w:tr>
      <w:tr w14:paraId="2EDCC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60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F0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C2AA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3CFDF">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83CE">
            <w:pPr>
              <w:jc w:val="center"/>
            </w:pPr>
            <w:r>
              <w:rPr>
                <w:rFonts w:ascii="宋体" w:hAnsi="宋体" w:eastAsia="宋体"/>
                <w:sz w:val="16"/>
              </w:rPr>
              <w:t>88.30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3F7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FB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4FC8">
            <w:pPr>
              <w:jc w:val="center"/>
            </w:pPr>
            <w:r>
              <w:rPr>
                <w:rFonts w:ascii="宋体" w:hAnsi="宋体" w:eastAsia="宋体"/>
                <w:sz w:val="16"/>
              </w:rPr>
              <w:t>—</w:t>
            </w:r>
          </w:p>
        </w:tc>
      </w:tr>
      <w:tr w14:paraId="3B124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B4B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6D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8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0D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965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0E5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5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3C2E">
            <w:pPr>
              <w:jc w:val="center"/>
            </w:pPr>
            <w:r>
              <w:rPr>
                <w:rFonts w:ascii="宋体" w:hAnsi="宋体" w:eastAsia="宋体"/>
                <w:sz w:val="16"/>
              </w:rPr>
              <w:t>—</w:t>
            </w:r>
          </w:p>
        </w:tc>
      </w:tr>
      <w:tr w14:paraId="580D1A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DE7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A198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E0730">
            <w:pPr>
              <w:jc w:val="center"/>
            </w:pPr>
            <w:r>
              <w:rPr>
                <w:rFonts w:ascii="宋体" w:hAnsi="宋体" w:eastAsia="宋体"/>
                <w:sz w:val="16"/>
              </w:rPr>
              <w:t>实际完成情况</w:t>
            </w:r>
          </w:p>
        </w:tc>
      </w:tr>
      <w:tr w14:paraId="12023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3BB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E9269">
            <w:pPr>
              <w:jc w:val="both"/>
            </w:pPr>
            <w:r>
              <w:rPr>
                <w:rFonts w:ascii="宋体" w:hAnsi="宋体" w:eastAsia="宋体"/>
                <w:sz w:val="16"/>
              </w:rPr>
              <w:t>以加快报废高耗能高排放老旧货车为目标，</w:t>
            </w:r>
            <w:r>
              <w:rPr>
                <w:rFonts w:hint="eastAsia" w:ascii="宋体" w:hAnsi="宋体"/>
                <w:sz w:val="16"/>
                <w:lang w:eastAsia="zh-CN"/>
              </w:rPr>
              <w:t>支持</w:t>
            </w:r>
            <w:r>
              <w:rPr>
                <w:rFonts w:ascii="宋体" w:hAnsi="宋体" w:eastAsia="宋体"/>
                <w:sz w:val="16"/>
              </w:rPr>
              <w:t>报废国三及以下排放标准营运类柴油货车，加快更新一批高标准低排放货车。对提前报废国三及以下排放标准营运柴油货车、提前报废并新购国六排放标准货车或新能源货车、仅新购符合条件的新能源城市冷链配送货车，分档予以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1D015">
            <w:pPr>
              <w:jc w:val="both"/>
            </w:pPr>
            <w:r>
              <w:rPr>
                <w:rFonts w:ascii="宋体" w:hAnsi="宋体" w:eastAsia="宋体"/>
                <w:sz w:val="16"/>
              </w:rPr>
              <w:t>加快更新一批高标准低排放货车报废国三及以下排放标准营运类柴油货车</w:t>
            </w:r>
            <w:r>
              <w:rPr>
                <w:rFonts w:hint="eastAsia" w:ascii="宋体" w:hAnsi="宋体"/>
                <w:sz w:val="16"/>
                <w:lang w:eastAsia="zh-CN"/>
              </w:rPr>
              <w:t>，以</w:t>
            </w:r>
            <w:r>
              <w:rPr>
                <w:rFonts w:ascii="宋体" w:hAnsi="宋体" w:eastAsia="宋体"/>
                <w:sz w:val="16"/>
              </w:rPr>
              <w:t>加快报废高耗能高排放老旧货车为目标。</w:t>
            </w:r>
          </w:p>
        </w:tc>
      </w:tr>
      <w:tr w14:paraId="036AA8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67E0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3F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85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A0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8D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739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015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F1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059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8A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73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8B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8D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1CAE">
            <w:pPr>
              <w:jc w:val="center"/>
            </w:pPr>
            <w:r>
              <w:rPr>
                <w:rFonts w:ascii="宋体" w:hAnsi="宋体" w:eastAsia="宋体"/>
                <w:sz w:val="16"/>
              </w:rPr>
              <w:t>偏差原因分析及改进措施</w:t>
            </w:r>
          </w:p>
        </w:tc>
      </w:tr>
      <w:tr w14:paraId="5A76AA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CE9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8785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78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CAEE">
            <w:pPr>
              <w:jc w:val="center"/>
            </w:pPr>
            <w:r>
              <w:rPr>
                <w:rFonts w:ascii="宋体" w:hAnsi="宋体" w:eastAsia="宋体"/>
                <w:sz w:val="16"/>
              </w:rPr>
              <w:t>提前报废国三及以下排放标准中型、重型营运柴油货车数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37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0C94">
            <w:pPr>
              <w:jc w:val="center"/>
            </w:pPr>
            <w:r>
              <w:rPr>
                <w:rFonts w:ascii="宋体" w:hAnsi="宋体" w:eastAsia="宋体"/>
                <w:sz w:val="16"/>
              </w:rPr>
              <w:t>=28辆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0526">
            <w:pPr>
              <w:jc w:val="center"/>
            </w:pPr>
            <w:r>
              <w:rPr>
                <w:rFonts w:ascii="宋体" w:hAnsi="宋体" w:eastAsia="宋体"/>
                <w:sz w:val="16"/>
              </w:rPr>
              <w:t>28辆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8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DF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B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3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F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A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9DBE">
            <w:pPr>
              <w:jc w:val="center"/>
            </w:pPr>
          </w:p>
        </w:tc>
      </w:tr>
      <w:tr w14:paraId="3632A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B3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59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F1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F731">
            <w:pPr>
              <w:jc w:val="center"/>
            </w:pPr>
            <w:r>
              <w:rPr>
                <w:rFonts w:ascii="宋体" w:hAnsi="宋体" w:eastAsia="宋体"/>
                <w:sz w:val="16"/>
              </w:rPr>
              <w:t>补贴发放合格率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1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3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4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0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3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1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E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F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F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248D">
            <w:pPr>
              <w:jc w:val="center"/>
            </w:pPr>
          </w:p>
        </w:tc>
      </w:tr>
      <w:tr w14:paraId="2E0BE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7F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4C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AD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35E4">
            <w:pPr>
              <w:jc w:val="center"/>
            </w:pPr>
            <w:r>
              <w:rPr>
                <w:rFonts w:ascii="宋体" w:hAnsi="宋体" w:eastAsia="宋体"/>
                <w:sz w:val="16"/>
              </w:rPr>
              <w:t>补贴发放完成及时率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8B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03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C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2B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0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2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86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F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8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C237">
            <w:pPr>
              <w:jc w:val="center"/>
            </w:pPr>
          </w:p>
        </w:tc>
      </w:tr>
      <w:tr w14:paraId="3B8A0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E3B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BEB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48C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8A65">
            <w:pPr>
              <w:jc w:val="center"/>
            </w:pPr>
            <w:r>
              <w:rPr>
                <w:rFonts w:ascii="宋体" w:hAnsi="宋体" w:eastAsia="宋体"/>
                <w:sz w:val="16"/>
              </w:rPr>
              <w:t>提前报废中型老旧营运柴油货车满1年（含）不足2年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7B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3E25">
            <w:pPr>
              <w:jc w:val="center"/>
            </w:pPr>
            <w:r>
              <w:rPr>
                <w:rFonts w:ascii="宋体" w:hAnsi="宋体" w:eastAsia="宋体"/>
                <w:sz w:val="16"/>
              </w:rPr>
              <w:t>=1万元/辆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6865">
            <w:pPr>
              <w:jc w:val="center"/>
            </w:pPr>
            <w:r>
              <w:rPr>
                <w:rFonts w:ascii="宋体" w:hAnsi="宋体" w:eastAsia="宋体"/>
                <w:sz w:val="16"/>
              </w:rPr>
              <w:t>1万元/辆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4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9C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0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B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B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6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B57B">
            <w:pPr>
              <w:jc w:val="center"/>
            </w:pPr>
          </w:p>
        </w:tc>
      </w:tr>
      <w:tr w14:paraId="541F5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00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CF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2D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4C87">
            <w:pPr>
              <w:jc w:val="center"/>
            </w:pPr>
            <w:r>
              <w:rPr>
                <w:rFonts w:ascii="宋体" w:hAnsi="宋体" w:eastAsia="宋体"/>
                <w:sz w:val="16"/>
              </w:rPr>
              <w:t>提前报废中型老旧营运柴油货车满2年（含）不足4年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38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4A02">
            <w:pPr>
              <w:jc w:val="center"/>
            </w:pPr>
            <w:r>
              <w:rPr>
                <w:rFonts w:ascii="宋体" w:hAnsi="宋体" w:eastAsia="宋体"/>
                <w:sz w:val="16"/>
              </w:rPr>
              <w:t>=1.80万元/辆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1BEE">
            <w:pPr>
              <w:jc w:val="center"/>
            </w:pPr>
            <w:r>
              <w:rPr>
                <w:rFonts w:ascii="宋体" w:hAnsi="宋体" w:eastAsia="宋体"/>
                <w:sz w:val="16"/>
              </w:rPr>
              <w:t>1.8万元/辆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3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95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2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B5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A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D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0BDA">
            <w:pPr>
              <w:jc w:val="center"/>
            </w:pPr>
          </w:p>
        </w:tc>
      </w:tr>
      <w:tr w14:paraId="40605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9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A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E6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0192">
            <w:pPr>
              <w:jc w:val="center"/>
            </w:pPr>
            <w:r>
              <w:rPr>
                <w:rFonts w:ascii="宋体" w:hAnsi="宋体" w:eastAsia="宋体"/>
                <w:sz w:val="16"/>
              </w:rPr>
              <w:t>提前报废中型老旧营运柴油货车满4年（含）以上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29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E87A">
            <w:pPr>
              <w:jc w:val="center"/>
            </w:pPr>
            <w:r>
              <w:rPr>
                <w:rFonts w:ascii="宋体" w:hAnsi="宋体" w:eastAsia="宋体"/>
                <w:sz w:val="16"/>
              </w:rPr>
              <w:t>=2.50万元/辆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E5F2">
            <w:pPr>
              <w:jc w:val="center"/>
            </w:pPr>
            <w:r>
              <w:rPr>
                <w:rFonts w:ascii="宋体" w:hAnsi="宋体" w:eastAsia="宋体"/>
                <w:sz w:val="16"/>
              </w:rPr>
              <w:t>2.5万元/辆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4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32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1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1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8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5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BFD0">
            <w:pPr>
              <w:jc w:val="center"/>
            </w:pPr>
          </w:p>
        </w:tc>
      </w:tr>
      <w:tr w14:paraId="39782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CB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A6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9C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863F">
            <w:pPr>
              <w:jc w:val="center"/>
            </w:pPr>
            <w:r>
              <w:rPr>
                <w:rFonts w:ascii="宋体" w:hAnsi="宋体" w:eastAsia="宋体"/>
                <w:sz w:val="16"/>
              </w:rPr>
              <w:t>提前报废重型老旧营运柴油货车满1年（含）不足2年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07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47C">
            <w:pPr>
              <w:jc w:val="center"/>
            </w:pPr>
            <w:r>
              <w:rPr>
                <w:rFonts w:ascii="宋体" w:hAnsi="宋体" w:eastAsia="宋体"/>
                <w:sz w:val="16"/>
              </w:rPr>
              <w:t>=1.20万元/辆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2006">
            <w:pPr>
              <w:jc w:val="center"/>
            </w:pPr>
            <w:r>
              <w:rPr>
                <w:rFonts w:ascii="宋体" w:hAnsi="宋体" w:eastAsia="宋体"/>
                <w:sz w:val="16"/>
              </w:rPr>
              <w:t>1.2万元/辆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3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8A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61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A3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C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E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215D">
            <w:pPr>
              <w:jc w:val="center"/>
            </w:pPr>
          </w:p>
        </w:tc>
      </w:tr>
      <w:tr w14:paraId="1A830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35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1E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19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ECCE">
            <w:pPr>
              <w:jc w:val="center"/>
            </w:pPr>
            <w:r>
              <w:rPr>
                <w:rFonts w:ascii="宋体" w:hAnsi="宋体" w:eastAsia="宋体"/>
                <w:sz w:val="16"/>
              </w:rPr>
              <w:t>提前报废重型老旧营运柴油货车满2年（含）不足4年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67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E875">
            <w:pPr>
              <w:jc w:val="center"/>
            </w:pPr>
            <w:r>
              <w:rPr>
                <w:rFonts w:ascii="宋体" w:hAnsi="宋体" w:eastAsia="宋体"/>
                <w:sz w:val="16"/>
              </w:rPr>
              <w:t>=3.50万元/辆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5E59">
            <w:pPr>
              <w:jc w:val="center"/>
            </w:pPr>
            <w:r>
              <w:rPr>
                <w:rFonts w:ascii="宋体" w:hAnsi="宋体" w:eastAsia="宋体"/>
                <w:sz w:val="16"/>
              </w:rPr>
              <w:t>3.5万元/辆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5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32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F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0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4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B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8475">
            <w:pPr>
              <w:jc w:val="center"/>
            </w:pPr>
          </w:p>
        </w:tc>
      </w:tr>
      <w:tr w14:paraId="22E04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43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DF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0A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6AD4">
            <w:pPr>
              <w:jc w:val="center"/>
            </w:pPr>
            <w:r>
              <w:rPr>
                <w:rFonts w:ascii="宋体" w:hAnsi="宋体" w:eastAsia="宋体"/>
                <w:sz w:val="16"/>
              </w:rPr>
              <w:t>提前报废重型老旧营运柴油货车满4年（含）以上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7B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D49F">
            <w:pPr>
              <w:jc w:val="center"/>
            </w:pPr>
            <w:r>
              <w:rPr>
                <w:rFonts w:ascii="宋体" w:hAnsi="宋体" w:eastAsia="宋体"/>
                <w:sz w:val="16"/>
              </w:rPr>
              <w:t>=4.50万元/辆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8303">
            <w:pPr>
              <w:jc w:val="center"/>
            </w:pPr>
            <w:r>
              <w:rPr>
                <w:rFonts w:ascii="宋体" w:hAnsi="宋体" w:eastAsia="宋体"/>
                <w:sz w:val="16"/>
              </w:rPr>
              <w:t>4.5万元/辆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5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27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3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A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B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10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32FE">
            <w:pPr>
              <w:jc w:val="center"/>
            </w:pPr>
          </w:p>
        </w:tc>
      </w:tr>
      <w:tr w14:paraId="1AF03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C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9F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70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4692">
            <w:pPr>
              <w:jc w:val="center"/>
            </w:pPr>
            <w:r>
              <w:rPr>
                <w:rFonts w:ascii="宋体" w:hAnsi="宋体" w:eastAsia="宋体"/>
                <w:sz w:val="16"/>
              </w:rPr>
              <w:t>新购中型国六排放标准营运柴油货车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F81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2F5E">
            <w:pPr>
              <w:jc w:val="center"/>
            </w:pPr>
            <w:r>
              <w:rPr>
                <w:rFonts w:ascii="宋体" w:hAnsi="宋体" w:eastAsia="宋体"/>
                <w:sz w:val="16"/>
              </w:rPr>
              <w:t>=2.50万元/辆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3A47">
            <w:pPr>
              <w:jc w:val="center"/>
            </w:pPr>
            <w:r>
              <w:rPr>
                <w:rFonts w:ascii="宋体" w:hAnsi="宋体" w:eastAsia="宋体"/>
                <w:sz w:val="16"/>
              </w:rPr>
              <w:t>2.5万元/辆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8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0B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9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1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1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D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85DA">
            <w:pPr>
              <w:jc w:val="center"/>
            </w:pPr>
          </w:p>
        </w:tc>
      </w:tr>
      <w:tr w14:paraId="6B6EE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F9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D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1B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2A21">
            <w:pPr>
              <w:jc w:val="center"/>
            </w:pPr>
            <w:r>
              <w:rPr>
                <w:rFonts w:ascii="宋体" w:hAnsi="宋体" w:eastAsia="宋体"/>
                <w:sz w:val="16"/>
              </w:rPr>
              <w:t>新购重型2轴国六排放标准营运柴油货车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C57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8C09">
            <w:pPr>
              <w:jc w:val="center"/>
            </w:pPr>
            <w:r>
              <w:rPr>
                <w:rFonts w:ascii="宋体" w:hAnsi="宋体" w:eastAsia="宋体"/>
                <w:sz w:val="16"/>
              </w:rPr>
              <w:t>=4万元/辆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1C34">
            <w:pPr>
              <w:jc w:val="center"/>
            </w:pPr>
            <w:r>
              <w:rPr>
                <w:rFonts w:ascii="宋体" w:hAnsi="宋体" w:eastAsia="宋体"/>
                <w:sz w:val="16"/>
              </w:rPr>
              <w:t>4万元/辆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B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0BF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D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FC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8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A1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4290">
            <w:pPr>
              <w:jc w:val="center"/>
            </w:pPr>
          </w:p>
        </w:tc>
      </w:tr>
      <w:tr w14:paraId="453F3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7A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3D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19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713E">
            <w:pPr>
              <w:jc w:val="center"/>
            </w:pPr>
            <w:r>
              <w:rPr>
                <w:rFonts w:ascii="宋体" w:hAnsi="宋体" w:eastAsia="宋体"/>
                <w:sz w:val="16"/>
              </w:rPr>
              <w:t>新购重型3轴国六排放标准营运柴油货车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06C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11B7">
            <w:pPr>
              <w:jc w:val="center"/>
            </w:pPr>
            <w:r>
              <w:rPr>
                <w:rFonts w:ascii="宋体" w:hAnsi="宋体" w:eastAsia="宋体"/>
                <w:sz w:val="16"/>
              </w:rPr>
              <w:t>=5.50万元/辆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00A7">
            <w:pPr>
              <w:jc w:val="center"/>
            </w:pPr>
            <w:r>
              <w:rPr>
                <w:rFonts w:ascii="宋体" w:hAnsi="宋体" w:eastAsia="宋体"/>
                <w:sz w:val="16"/>
              </w:rPr>
              <w:t>5.5万元/辆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6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C67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D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9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9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5B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B24B">
            <w:pPr>
              <w:jc w:val="center"/>
            </w:pPr>
          </w:p>
        </w:tc>
      </w:tr>
      <w:tr w14:paraId="21354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BA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0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B2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5704">
            <w:pPr>
              <w:jc w:val="center"/>
            </w:pPr>
            <w:r>
              <w:rPr>
                <w:rFonts w:ascii="宋体" w:hAnsi="宋体" w:eastAsia="宋体"/>
                <w:sz w:val="16"/>
              </w:rPr>
              <w:t>新购重型4轴及以上国六排放标准营运柴油货车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A13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0DC7">
            <w:pPr>
              <w:jc w:val="center"/>
            </w:pPr>
            <w:r>
              <w:rPr>
                <w:rFonts w:ascii="宋体" w:hAnsi="宋体" w:eastAsia="宋体"/>
                <w:sz w:val="16"/>
              </w:rPr>
              <w:t>=6.50万元/辆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0265">
            <w:pPr>
              <w:jc w:val="center"/>
            </w:pPr>
            <w:r>
              <w:rPr>
                <w:rFonts w:ascii="宋体" w:hAnsi="宋体" w:eastAsia="宋体"/>
                <w:sz w:val="16"/>
              </w:rPr>
              <w:t>6.5万元/辆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C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320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C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FF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5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4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B801">
            <w:pPr>
              <w:jc w:val="center"/>
            </w:pPr>
          </w:p>
        </w:tc>
      </w:tr>
      <w:tr w14:paraId="40820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DE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AF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56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E83A">
            <w:pPr>
              <w:jc w:val="center"/>
            </w:pPr>
            <w:r>
              <w:rPr>
                <w:rFonts w:ascii="宋体" w:hAnsi="宋体" w:eastAsia="宋体"/>
                <w:sz w:val="16"/>
              </w:rPr>
              <w:t>新购中型新能源营运货车补贴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70A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05F1">
            <w:pPr>
              <w:jc w:val="center"/>
            </w:pPr>
            <w:r>
              <w:rPr>
                <w:rFonts w:ascii="宋体" w:hAnsi="宋体" w:eastAsia="宋体"/>
                <w:sz w:val="16"/>
              </w:rPr>
              <w:t>=3.50万元/辆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0941">
            <w:pPr>
              <w:jc w:val="center"/>
            </w:pPr>
            <w:r>
              <w:rPr>
                <w:rFonts w:ascii="宋体" w:hAnsi="宋体" w:eastAsia="宋体"/>
                <w:sz w:val="16"/>
              </w:rPr>
              <w:t>3.5万元/辆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8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11A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5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B1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A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1E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9DE3">
            <w:pPr>
              <w:jc w:val="center"/>
            </w:pPr>
          </w:p>
        </w:tc>
      </w:tr>
      <w:tr w14:paraId="19613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34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FE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02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57BA">
            <w:pPr>
              <w:jc w:val="center"/>
            </w:pPr>
            <w:r>
              <w:rPr>
                <w:rFonts w:ascii="宋体" w:hAnsi="宋体" w:eastAsia="宋体"/>
                <w:sz w:val="16"/>
              </w:rPr>
              <w:t>新购重型2轴新能源营运货车补贴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3B1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5947">
            <w:pPr>
              <w:jc w:val="center"/>
            </w:pPr>
            <w:r>
              <w:rPr>
                <w:rFonts w:ascii="宋体" w:hAnsi="宋体" w:eastAsia="宋体"/>
                <w:sz w:val="16"/>
              </w:rPr>
              <w:t>=7万元/辆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59E2">
            <w:pPr>
              <w:jc w:val="center"/>
            </w:pPr>
            <w:r>
              <w:rPr>
                <w:rFonts w:ascii="宋体" w:hAnsi="宋体" w:eastAsia="宋体"/>
                <w:sz w:val="16"/>
              </w:rPr>
              <w:t>7万元/辆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3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218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3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B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8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EE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1811">
            <w:pPr>
              <w:jc w:val="center"/>
            </w:pPr>
          </w:p>
        </w:tc>
      </w:tr>
      <w:tr w14:paraId="278AE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08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0B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A7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2A4A">
            <w:pPr>
              <w:jc w:val="center"/>
            </w:pPr>
            <w:r>
              <w:rPr>
                <w:rFonts w:ascii="宋体" w:hAnsi="宋体" w:eastAsia="宋体"/>
                <w:sz w:val="16"/>
              </w:rPr>
              <w:t>新购重型3轴新能源营运货车补贴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879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F801">
            <w:pPr>
              <w:jc w:val="center"/>
            </w:pPr>
            <w:r>
              <w:rPr>
                <w:rFonts w:ascii="宋体" w:hAnsi="宋体" w:eastAsia="宋体"/>
                <w:sz w:val="16"/>
              </w:rPr>
              <w:t>=8.50万元/辆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47EF">
            <w:pPr>
              <w:jc w:val="center"/>
            </w:pPr>
            <w:r>
              <w:rPr>
                <w:rFonts w:ascii="宋体" w:hAnsi="宋体" w:eastAsia="宋体"/>
                <w:sz w:val="16"/>
              </w:rPr>
              <w:t>8.5万元/辆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F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CAE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F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6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7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7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4060">
            <w:pPr>
              <w:jc w:val="center"/>
            </w:pPr>
          </w:p>
        </w:tc>
      </w:tr>
      <w:tr w14:paraId="08C60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D3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4B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12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51D4">
            <w:pPr>
              <w:jc w:val="center"/>
            </w:pPr>
            <w:r>
              <w:rPr>
                <w:rFonts w:ascii="宋体" w:hAnsi="宋体" w:eastAsia="宋体"/>
                <w:sz w:val="16"/>
              </w:rPr>
              <w:t>新购重型4轴及以上新能源营运货车补贴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7D1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36E8">
            <w:pPr>
              <w:jc w:val="center"/>
            </w:pPr>
            <w:r>
              <w:rPr>
                <w:rFonts w:ascii="宋体" w:hAnsi="宋体" w:eastAsia="宋体"/>
                <w:sz w:val="16"/>
              </w:rPr>
              <w:t>=9.50万元/辆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FBC3">
            <w:pPr>
              <w:jc w:val="center"/>
            </w:pPr>
            <w:r>
              <w:rPr>
                <w:rFonts w:ascii="宋体" w:hAnsi="宋体" w:eastAsia="宋体"/>
                <w:sz w:val="16"/>
              </w:rPr>
              <w:t>9.5万元/辆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5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E8A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C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E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5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C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D764">
            <w:pPr>
              <w:jc w:val="center"/>
            </w:pPr>
          </w:p>
        </w:tc>
      </w:tr>
      <w:tr w14:paraId="6C984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6F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81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B5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61C5">
            <w:pPr>
              <w:jc w:val="center"/>
            </w:pPr>
            <w:r>
              <w:rPr>
                <w:rFonts w:ascii="宋体" w:hAnsi="宋体" w:eastAsia="宋体"/>
                <w:sz w:val="16"/>
              </w:rPr>
              <w:t>有效降低空气污染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7F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2EA4">
            <w:pPr>
              <w:jc w:val="center"/>
            </w:pPr>
            <w:r>
              <w:rPr>
                <w:rFonts w:ascii="宋体" w:hAnsi="宋体" w:eastAsia="宋体"/>
                <w:sz w:val="16"/>
              </w:rPr>
              <w:t>有效降低空气污染率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7164">
            <w:pPr>
              <w:jc w:val="center"/>
            </w:pPr>
            <w:r>
              <w:rPr>
                <w:rFonts w:ascii="宋体" w:hAnsi="宋体" w:eastAsia="宋体"/>
                <w:sz w:val="16"/>
              </w:rPr>
              <w:t>有效降低空气污染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B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35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A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16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42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5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2124">
            <w:pPr>
              <w:jc w:val="center"/>
            </w:pPr>
          </w:p>
        </w:tc>
      </w:tr>
      <w:tr w14:paraId="42D74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BF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C3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99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539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05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461A">
            <w:pPr>
              <w:jc w:val="center"/>
            </w:pPr>
            <w:r>
              <w:rPr>
                <w:rFonts w:ascii="宋体" w:hAnsi="宋体" w:eastAsia="宋体"/>
                <w:sz w:val="16"/>
              </w:rPr>
              <w:t>&gt;=95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E58C">
            <w:pPr>
              <w:jc w:val="center"/>
            </w:pPr>
            <w:r>
              <w:rPr>
                <w:rFonts w:ascii="宋体" w:hAnsi="宋体" w:eastAsia="宋体"/>
                <w:sz w:val="16"/>
              </w:rPr>
              <w: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7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7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8D6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12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5C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3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2D23">
            <w:pPr>
              <w:jc w:val="center"/>
            </w:pPr>
          </w:p>
        </w:tc>
      </w:tr>
      <w:tr w14:paraId="6F9EF8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69B2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A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70A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1FB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B7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44F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AFC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72E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321C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CFF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FD715"/>
        </w:tc>
      </w:tr>
    </w:tbl>
    <w:p w14:paraId="1C94D0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1476218F">
        <w:tblPrEx>
          <w:tblCellMar>
            <w:top w:w="0" w:type="dxa"/>
            <w:left w:w="108" w:type="dxa"/>
            <w:bottom w:w="0" w:type="dxa"/>
            <w:right w:w="108" w:type="dxa"/>
          </w:tblCellMar>
        </w:tblPrEx>
        <w:tc>
          <w:tcPr>
            <w:tcW w:w="8848" w:type="dxa"/>
            <w:gridSpan w:val="14"/>
            <w:vAlign w:val="center"/>
          </w:tcPr>
          <w:p w14:paraId="5664A0A4">
            <w:pPr>
              <w:jc w:val="center"/>
            </w:pPr>
            <w:r>
              <w:rPr>
                <w:rFonts w:ascii="宋体" w:hAnsi="宋体" w:eastAsia="宋体"/>
                <w:sz w:val="24"/>
              </w:rPr>
              <w:t>项目支出绩效自评表</w:t>
            </w:r>
          </w:p>
        </w:tc>
      </w:tr>
      <w:tr w14:paraId="098D6244">
        <w:tblPrEx>
          <w:tblCellMar>
            <w:top w:w="0" w:type="dxa"/>
            <w:left w:w="108" w:type="dxa"/>
            <w:bottom w:w="0" w:type="dxa"/>
            <w:right w:w="108" w:type="dxa"/>
          </w:tblCellMar>
        </w:tblPrEx>
        <w:tc>
          <w:tcPr>
            <w:tcW w:w="8848" w:type="dxa"/>
            <w:gridSpan w:val="14"/>
            <w:vAlign w:val="center"/>
          </w:tcPr>
          <w:p w14:paraId="55FE043E">
            <w:pPr>
              <w:jc w:val="center"/>
            </w:pPr>
            <w:r>
              <w:rPr>
                <w:rFonts w:ascii="宋体" w:hAnsi="宋体" w:eastAsia="宋体"/>
                <w:sz w:val="24"/>
              </w:rPr>
              <w:t>(2024年度)</w:t>
            </w:r>
          </w:p>
        </w:tc>
      </w:tr>
      <w:tr w14:paraId="3AE69D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90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BA69D8">
            <w:pPr>
              <w:jc w:val="center"/>
            </w:pPr>
            <w:r>
              <w:rPr>
                <w:rFonts w:ascii="宋体" w:hAnsi="宋体" w:eastAsia="宋体"/>
                <w:sz w:val="16"/>
              </w:rPr>
              <w:t>特克斯县S220萨尔阔布村-萨尔阔布农业村五队-乔拉克铁热克乡大中修建设及除雪保交通项目</w:t>
            </w:r>
          </w:p>
        </w:tc>
      </w:tr>
      <w:tr w14:paraId="2F4D48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AE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E92D6">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C23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F21324">
            <w:pPr>
              <w:jc w:val="center"/>
            </w:pPr>
            <w:r>
              <w:rPr>
                <w:rFonts w:ascii="宋体" w:hAnsi="宋体" w:eastAsia="宋体"/>
                <w:sz w:val="16"/>
              </w:rPr>
              <w:t>特克斯县交通运输局</w:t>
            </w:r>
          </w:p>
        </w:tc>
      </w:tr>
      <w:tr w14:paraId="0683B6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62AC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020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F4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C91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CE9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C81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6D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C2DC">
            <w:pPr>
              <w:jc w:val="center"/>
            </w:pPr>
            <w:r>
              <w:rPr>
                <w:rFonts w:ascii="宋体" w:hAnsi="宋体" w:eastAsia="宋体"/>
                <w:sz w:val="16"/>
              </w:rPr>
              <w:t>得分</w:t>
            </w:r>
          </w:p>
        </w:tc>
      </w:tr>
      <w:tr w14:paraId="617D3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34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1B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D0B43">
            <w:pPr>
              <w:jc w:val="center"/>
            </w:pPr>
            <w:r>
              <w:rPr>
                <w:rFonts w:ascii="宋体" w:hAnsi="宋体" w:eastAsia="宋体"/>
                <w:sz w:val="16"/>
              </w:rPr>
              <w:t>167.41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ECC36">
            <w:pPr>
              <w:jc w:val="center"/>
            </w:pPr>
            <w:r>
              <w:rPr>
                <w:rFonts w:ascii="宋体" w:hAnsi="宋体" w:eastAsia="宋体"/>
                <w:sz w:val="16"/>
              </w:rPr>
              <w:t>167.41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E156A">
            <w:pPr>
              <w:jc w:val="center"/>
            </w:pPr>
            <w:r>
              <w:rPr>
                <w:rFonts w:ascii="宋体" w:hAnsi="宋体" w:eastAsia="宋体"/>
                <w:sz w:val="16"/>
              </w:rPr>
              <w:t>167.41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99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422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0466">
            <w:pPr>
              <w:jc w:val="center"/>
            </w:pPr>
            <w:r>
              <w:rPr>
                <w:rFonts w:ascii="宋体" w:hAnsi="宋体" w:eastAsia="宋体"/>
                <w:sz w:val="16"/>
              </w:rPr>
              <w:t>10.00</w:t>
            </w:r>
          </w:p>
        </w:tc>
      </w:tr>
      <w:tr w14:paraId="16898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EAF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E7E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77F39">
            <w:pPr>
              <w:jc w:val="center"/>
            </w:pPr>
            <w:r>
              <w:rPr>
                <w:rFonts w:ascii="宋体" w:hAnsi="宋体" w:eastAsia="宋体"/>
                <w:sz w:val="16"/>
              </w:rPr>
              <w:t>167.41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D3C4">
            <w:pPr>
              <w:jc w:val="center"/>
            </w:pPr>
            <w:r>
              <w:rPr>
                <w:rFonts w:ascii="宋体" w:hAnsi="宋体" w:eastAsia="宋体"/>
                <w:sz w:val="16"/>
              </w:rPr>
              <w:t>167.41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7DBB">
            <w:pPr>
              <w:jc w:val="center"/>
            </w:pPr>
            <w:r>
              <w:rPr>
                <w:rFonts w:ascii="宋体" w:hAnsi="宋体" w:eastAsia="宋体"/>
                <w:sz w:val="16"/>
              </w:rPr>
              <w:t>167.41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BE9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3F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6629">
            <w:pPr>
              <w:jc w:val="center"/>
            </w:pPr>
            <w:r>
              <w:rPr>
                <w:rFonts w:ascii="宋体" w:hAnsi="宋体" w:eastAsia="宋体"/>
                <w:sz w:val="16"/>
              </w:rPr>
              <w:t>—</w:t>
            </w:r>
          </w:p>
        </w:tc>
      </w:tr>
      <w:tr w14:paraId="75A59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A5F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42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AF0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AA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83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B5B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4CF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6B19">
            <w:pPr>
              <w:jc w:val="center"/>
            </w:pPr>
            <w:r>
              <w:rPr>
                <w:rFonts w:ascii="宋体" w:hAnsi="宋体" w:eastAsia="宋体"/>
                <w:sz w:val="16"/>
              </w:rPr>
              <w:t>—</w:t>
            </w:r>
          </w:p>
        </w:tc>
      </w:tr>
      <w:tr w14:paraId="4571BD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EDF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E0B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805341">
            <w:pPr>
              <w:jc w:val="center"/>
            </w:pPr>
            <w:r>
              <w:rPr>
                <w:rFonts w:ascii="宋体" w:hAnsi="宋体" w:eastAsia="宋体"/>
                <w:sz w:val="16"/>
              </w:rPr>
              <w:t>实际完成情况</w:t>
            </w:r>
          </w:p>
        </w:tc>
      </w:tr>
      <w:tr w14:paraId="4EBC2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5EA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1A1B2">
            <w:pPr>
              <w:jc w:val="both"/>
            </w:pPr>
            <w:r>
              <w:rPr>
                <w:rFonts w:ascii="宋体" w:hAnsi="宋体" w:eastAsia="宋体"/>
                <w:sz w:val="16"/>
              </w:rPr>
              <w:t>完成S220线萨尔阔布农业村-乔拉克铁热克镇大中修项目，实施好2023年除雪保交通工作，保障群众出行安全，不断提高农村公路管养水平，确保实现“有路必养，养必到位”的管养目标，推动“四好农村路”建设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7AEF5C">
            <w:pPr>
              <w:jc w:val="both"/>
            </w:pPr>
            <w:r>
              <w:rPr>
                <w:rFonts w:ascii="宋体" w:hAnsi="宋体" w:eastAsia="宋体"/>
                <w:sz w:val="16"/>
              </w:rPr>
              <w:t>为保障群众冬季出行安全，实施了冬季除雪保交通工作；为确保实现“有路必养，养必到位”的管养目标，S220线萨尔阔布农业村-乔拉克铁热克镇大中修项目，不断提高农村公路管养水平，推动“四好农村路”建设高质量发展。</w:t>
            </w:r>
          </w:p>
        </w:tc>
      </w:tr>
      <w:tr w14:paraId="6E989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423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6A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73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7D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56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24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374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2E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7D7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C0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A4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08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01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2FCB">
            <w:pPr>
              <w:jc w:val="center"/>
            </w:pPr>
            <w:r>
              <w:rPr>
                <w:rFonts w:ascii="宋体" w:hAnsi="宋体" w:eastAsia="宋体"/>
                <w:sz w:val="16"/>
              </w:rPr>
              <w:t>偏差原因分析及改进措施</w:t>
            </w:r>
          </w:p>
        </w:tc>
      </w:tr>
      <w:tr w14:paraId="2E36E5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F1E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A48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80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7499">
            <w:pPr>
              <w:jc w:val="center"/>
            </w:pPr>
            <w:r>
              <w:rPr>
                <w:rFonts w:ascii="宋体" w:hAnsi="宋体" w:eastAsia="宋体"/>
                <w:sz w:val="16"/>
              </w:rPr>
              <w:t>大中修道路里程数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B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B78A">
            <w:pPr>
              <w:jc w:val="center"/>
            </w:pPr>
            <w:r>
              <w:rPr>
                <w:rFonts w:ascii="宋体" w:hAnsi="宋体" w:eastAsia="宋体"/>
                <w:sz w:val="16"/>
              </w:rPr>
              <w: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D27B">
            <w:pPr>
              <w:jc w:val="center"/>
            </w:pPr>
            <w:r>
              <w:rPr>
                <w:rFonts w:ascii="宋体" w:hAnsi="宋体" w:eastAsia="宋体"/>
                <w:sz w:val="16"/>
              </w:rPr>
              <w: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6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B6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0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C2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F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3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4BBF">
            <w:pPr>
              <w:jc w:val="center"/>
            </w:pPr>
          </w:p>
        </w:tc>
      </w:tr>
      <w:tr w14:paraId="5490F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59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BEC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5F2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5A36">
            <w:pPr>
              <w:jc w:val="center"/>
            </w:pPr>
            <w:r>
              <w:rPr>
                <w:rFonts w:ascii="宋体" w:hAnsi="宋体" w:eastAsia="宋体"/>
                <w:sz w:val="16"/>
              </w:rPr>
              <w:t>资金</w:t>
            </w:r>
            <w:r>
              <w:rPr>
                <w:rFonts w:hint="eastAsia" w:ascii="宋体" w:hAnsi="宋体"/>
                <w:sz w:val="16"/>
                <w:lang w:eastAsia="zh-CN"/>
              </w:rPr>
              <w:t>使用</w:t>
            </w:r>
            <w:r>
              <w:rPr>
                <w:rFonts w:ascii="宋体" w:hAnsi="宋体" w:eastAsia="宋体"/>
                <w:sz w:val="16"/>
              </w:rPr>
              <w:t>规律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2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6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B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484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ED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D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2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3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4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9A7A">
            <w:pPr>
              <w:jc w:val="center"/>
            </w:pPr>
          </w:p>
        </w:tc>
      </w:tr>
      <w:tr w14:paraId="46BFE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63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2E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E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782E">
            <w:pPr>
              <w:jc w:val="center"/>
            </w:pPr>
            <w:r>
              <w:rPr>
                <w:rFonts w:ascii="宋体" w:hAnsi="宋体" w:eastAsia="宋体"/>
                <w:sz w:val="16"/>
              </w:rPr>
              <w:t>完工项目验收合格率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9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B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4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1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5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9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F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B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9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7C1A">
            <w:pPr>
              <w:jc w:val="center"/>
            </w:pPr>
          </w:p>
        </w:tc>
      </w:tr>
      <w:tr w14:paraId="4943A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19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F0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D0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5546">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A2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3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F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B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5C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5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C5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7A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1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019B">
            <w:pPr>
              <w:jc w:val="center"/>
            </w:pPr>
          </w:p>
        </w:tc>
      </w:tr>
      <w:tr w14:paraId="32493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20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119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F79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42AE">
            <w:pPr>
              <w:jc w:val="center"/>
            </w:pPr>
            <w:r>
              <w:rPr>
                <w:rFonts w:ascii="宋体" w:hAnsi="宋体" w:eastAsia="宋体"/>
                <w:sz w:val="16"/>
              </w:rPr>
              <w:t>大中修每公里造价成本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1A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5692">
            <w:pPr>
              <w:jc w:val="center"/>
            </w:pPr>
            <w:r>
              <w:rPr>
                <w:rFonts w:ascii="宋体" w:hAnsi="宋体" w:eastAsia="宋体"/>
                <w:sz w:val="16"/>
              </w:rPr>
              <w:t>&lt;=13.74万元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5C05">
            <w:pPr>
              <w:jc w:val="center"/>
            </w:pPr>
            <w:r>
              <w:rPr>
                <w:rFonts w:ascii="宋体" w:hAnsi="宋体" w:eastAsia="宋体"/>
                <w:sz w:val="16"/>
              </w:rPr>
              <w:t>13.74万元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8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1E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F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4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C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F1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E54C">
            <w:pPr>
              <w:jc w:val="center"/>
            </w:pPr>
          </w:p>
        </w:tc>
      </w:tr>
      <w:tr w14:paraId="08246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33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2A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8F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A4ED">
            <w:pPr>
              <w:jc w:val="center"/>
            </w:pPr>
            <w:r>
              <w:rPr>
                <w:rFonts w:ascii="宋体" w:hAnsi="宋体" w:eastAsia="宋体"/>
                <w:sz w:val="16"/>
              </w:rPr>
              <w:t>除雪保畅成本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F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89CC">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68AF">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5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E2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2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F9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D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6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5720">
            <w:pPr>
              <w:jc w:val="center"/>
            </w:pPr>
          </w:p>
        </w:tc>
      </w:tr>
      <w:tr w14:paraId="1B590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245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A181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BE5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263D">
            <w:pPr>
              <w:jc w:val="center"/>
            </w:pPr>
            <w:r>
              <w:rPr>
                <w:rFonts w:ascii="宋体" w:hAnsi="宋体" w:eastAsia="宋体"/>
                <w:sz w:val="16"/>
              </w:rPr>
              <w:t>基本公共服务水平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64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C0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21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1D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E0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F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9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5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3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7281">
            <w:pPr>
              <w:jc w:val="center"/>
            </w:pPr>
          </w:p>
        </w:tc>
      </w:tr>
      <w:tr w14:paraId="3C34E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F3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F9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AF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CB49">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06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B3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C1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2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97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9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B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9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B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B188">
            <w:pPr>
              <w:jc w:val="center"/>
            </w:pPr>
          </w:p>
        </w:tc>
      </w:tr>
      <w:tr w14:paraId="34290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E7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94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1F7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AD23">
            <w:pPr>
              <w:jc w:val="center"/>
            </w:pPr>
            <w:r>
              <w:rPr>
                <w:rFonts w:ascii="宋体" w:hAnsi="宋体" w:eastAsia="宋体"/>
                <w:sz w:val="16"/>
              </w:rPr>
              <w:t>提升公路的使用寿命，适应未来一定时期的发展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9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E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3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A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01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C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A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98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89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2BED">
            <w:pPr>
              <w:jc w:val="center"/>
            </w:pPr>
          </w:p>
        </w:tc>
      </w:tr>
      <w:tr w14:paraId="7ADF9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0F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3B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E8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C60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11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7BE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F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F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B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6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E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94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E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59FB">
            <w:pPr>
              <w:jc w:val="center"/>
            </w:pPr>
          </w:p>
        </w:tc>
      </w:tr>
      <w:tr w14:paraId="59E7F4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070E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2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BD2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022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05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F87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6B1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62E5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C0B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63A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ABEBD"/>
        </w:tc>
      </w:tr>
    </w:tbl>
    <w:p w14:paraId="67A905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EA995A9">
        <w:tblPrEx>
          <w:tblCellMar>
            <w:top w:w="0" w:type="dxa"/>
            <w:left w:w="108" w:type="dxa"/>
            <w:bottom w:w="0" w:type="dxa"/>
            <w:right w:w="108" w:type="dxa"/>
          </w:tblCellMar>
        </w:tblPrEx>
        <w:tc>
          <w:tcPr>
            <w:tcW w:w="8848" w:type="dxa"/>
            <w:gridSpan w:val="14"/>
            <w:vAlign w:val="center"/>
          </w:tcPr>
          <w:p w14:paraId="6CF75718">
            <w:pPr>
              <w:jc w:val="center"/>
            </w:pPr>
            <w:r>
              <w:rPr>
                <w:rFonts w:ascii="宋体" w:hAnsi="宋体" w:eastAsia="宋体"/>
                <w:sz w:val="24"/>
              </w:rPr>
              <w:t>项目支出绩效自评表</w:t>
            </w:r>
          </w:p>
        </w:tc>
      </w:tr>
      <w:tr w14:paraId="44946A04">
        <w:tblPrEx>
          <w:tblCellMar>
            <w:top w:w="0" w:type="dxa"/>
            <w:left w:w="108" w:type="dxa"/>
            <w:bottom w:w="0" w:type="dxa"/>
            <w:right w:w="108" w:type="dxa"/>
          </w:tblCellMar>
        </w:tblPrEx>
        <w:tc>
          <w:tcPr>
            <w:tcW w:w="8848" w:type="dxa"/>
            <w:gridSpan w:val="14"/>
            <w:vAlign w:val="center"/>
          </w:tcPr>
          <w:p w14:paraId="1F632238">
            <w:pPr>
              <w:jc w:val="center"/>
            </w:pPr>
            <w:r>
              <w:rPr>
                <w:rFonts w:ascii="宋体" w:hAnsi="宋体" w:eastAsia="宋体"/>
                <w:sz w:val="24"/>
              </w:rPr>
              <w:t>(2024年度)</w:t>
            </w:r>
          </w:p>
        </w:tc>
      </w:tr>
      <w:tr w14:paraId="04D514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26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60ED44">
            <w:pPr>
              <w:jc w:val="center"/>
            </w:pPr>
            <w:r>
              <w:rPr>
                <w:rFonts w:ascii="宋体" w:hAnsi="宋体" w:eastAsia="宋体"/>
                <w:sz w:val="16"/>
              </w:rPr>
              <w:t>特克斯县综合物流园基础设施建设项目土地征收补偿</w:t>
            </w:r>
          </w:p>
        </w:tc>
      </w:tr>
      <w:tr w14:paraId="2BF17F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88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C5968">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A1C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3B10DB">
            <w:pPr>
              <w:jc w:val="center"/>
            </w:pPr>
            <w:r>
              <w:rPr>
                <w:rFonts w:ascii="宋体" w:hAnsi="宋体" w:eastAsia="宋体"/>
                <w:sz w:val="16"/>
              </w:rPr>
              <w:t>特克斯县交通运输局</w:t>
            </w:r>
          </w:p>
        </w:tc>
      </w:tr>
      <w:tr w14:paraId="47DC40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CF3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DD8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C6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219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5C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3D2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DB9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1C39">
            <w:pPr>
              <w:jc w:val="center"/>
            </w:pPr>
            <w:r>
              <w:rPr>
                <w:rFonts w:ascii="宋体" w:hAnsi="宋体" w:eastAsia="宋体"/>
                <w:sz w:val="16"/>
              </w:rPr>
              <w:t>得分</w:t>
            </w:r>
          </w:p>
        </w:tc>
      </w:tr>
      <w:tr w14:paraId="53A6F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D5F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D3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CD08">
            <w:pPr>
              <w:jc w:val="center"/>
            </w:pPr>
            <w:r>
              <w:rPr>
                <w:rFonts w:ascii="宋体" w:hAnsi="宋体" w:eastAsia="宋体"/>
                <w:sz w:val="16"/>
              </w:rPr>
              <w:t>31.80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7087">
            <w:pPr>
              <w:jc w:val="center"/>
            </w:pPr>
            <w:r>
              <w:rPr>
                <w:rFonts w:ascii="宋体" w:hAnsi="宋体" w:eastAsia="宋体"/>
                <w:sz w:val="16"/>
              </w:rPr>
              <w:t>31.80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77C5E">
            <w:pPr>
              <w:jc w:val="center"/>
            </w:pPr>
            <w:r>
              <w:rPr>
                <w:rFonts w:ascii="宋体" w:hAnsi="宋体" w:eastAsia="宋体"/>
                <w:sz w:val="16"/>
              </w:rPr>
              <w:t>31.80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1C4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7BB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EA9B">
            <w:pPr>
              <w:jc w:val="center"/>
            </w:pPr>
            <w:r>
              <w:rPr>
                <w:rFonts w:ascii="宋体" w:hAnsi="宋体" w:eastAsia="宋体"/>
                <w:sz w:val="16"/>
              </w:rPr>
              <w:t>10.00</w:t>
            </w:r>
          </w:p>
        </w:tc>
      </w:tr>
      <w:tr w14:paraId="7D274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95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39C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523D">
            <w:pPr>
              <w:jc w:val="center"/>
            </w:pPr>
            <w:r>
              <w:rPr>
                <w:rFonts w:ascii="宋体" w:hAnsi="宋体" w:eastAsia="宋体"/>
                <w:sz w:val="16"/>
              </w:rPr>
              <w:t>31.80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DB9D9">
            <w:pPr>
              <w:jc w:val="center"/>
            </w:pPr>
            <w:r>
              <w:rPr>
                <w:rFonts w:ascii="宋体" w:hAnsi="宋体" w:eastAsia="宋体"/>
                <w:sz w:val="16"/>
              </w:rPr>
              <w:t>31.80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4966">
            <w:pPr>
              <w:jc w:val="center"/>
            </w:pPr>
            <w:r>
              <w:rPr>
                <w:rFonts w:ascii="宋体" w:hAnsi="宋体" w:eastAsia="宋体"/>
                <w:sz w:val="16"/>
              </w:rPr>
              <w:t>31.80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65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98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6DE2">
            <w:pPr>
              <w:jc w:val="center"/>
            </w:pPr>
            <w:r>
              <w:rPr>
                <w:rFonts w:ascii="宋体" w:hAnsi="宋体" w:eastAsia="宋体"/>
                <w:sz w:val="16"/>
              </w:rPr>
              <w:t>—</w:t>
            </w:r>
          </w:p>
        </w:tc>
      </w:tr>
      <w:tr w14:paraId="53375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195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E99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EBF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A15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AD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0E7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80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F45E">
            <w:pPr>
              <w:jc w:val="center"/>
            </w:pPr>
            <w:r>
              <w:rPr>
                <w:rFonts w:ascii="宋体" w:hAnsi="宋体" w:eastAsia="宋体"/>
                <w:sz w:val="16"/>
              </w:rPr>
              <w:t>—</w:t>
            </w:r>
          </w:p>
        </w:tc>
      </w:tr>
      <w:tr w14:paraId="18ABCA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B34E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6B9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2E1CF5">
            <w:pPr>
              <w:jc w:val="center"/>
            </w:pPr>
            <w:r>
              <w:rPr>
                <w:rFonts w:ascii="宋体" w:hAnsi="宋体" w:eastAsia="宋体"/>
                <w:sz w:val="16"/>
              </w:rPr>
              <w:t>实际完成情况</w:t>
            </w:r>
          </w:p>
        </w:tc>
      </w:tr>
      <w:tr w14:paraId="2492A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526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1E4FA">
            <w:pPr>
              <w:jc w:val="both"/>
            </w:pPr>
            <w:r>
              <w:rPr>
                <w:rFonts w:ascii="宋体" w:hAnsi="宋体" w:eastAsia="宋体"/>
                <w:sz w:val="16"/>
              </w:rPr>
              <w:t>特克斯县综合物流园基础设施建设项目占用特克斯镇古勒巴格村6户居民的10.6亩耕地，其中，一期工程涉及2户，占用4.3亩；二期工程涉及4户，占用6.3亩。按相关规定要求，需向涉及征地的6户居民，按每亩地3万元兑现补偿安置费31.8万元，确保项目有序推进，保障群众合法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253F86">
            <w:pPr>
              <w:jc w:val="both"/>
            </w:pPr>
            <w:r>
              <w:rPr>
                <w:rFonts w:ascii="宋体" w:hAnsi="宋体" w:eastAsia="宋体"/>
                <w:sz w:val="16"/>
              </w:rPr>
              <w:t>为确保特克斯县综合物流园基础设施建设项目有序推进，实施了征地拆迁工作，共涉及古勒巴格村6户居民的10.6亩耕地，其中，一期工程涉及2户，占用4.3亩；二期工程涉及4户，占用6.3亩。按相关规定要求，需向涉及征地的6户居民，按每亩地3万元兑现补偿安置费31.8万元。</w:t>
            </w:r>
          </w:p>
        </w:tc>
      </w:tr>
      <w:tr w14:paraId="4EA3F4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785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F9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4C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BE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0E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122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1D7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9E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BC8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D7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22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16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D7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F72B">
            <w:pPr>
              <w:jc w:val="center"/>
            </w:pPr>
            <w:r>
              <w:rPr>
                <w:rFonts w:ascii="宋体" w:hAnsi="宋体" w:eastAsia="宋体"/>
                <w:sz w:val="16"/>
              </w:rPr>
              <w:t>偏差原因分析及改进措施</w:t>
            </w:r>
          </w:p>
        </w:tc>
      </w:tr>
      <w:tr w14:paraId="043485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7A0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223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A8C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2E4F">
            <w:pPr>
              <w:jc w:val="center"/>
            </w:pPr>
            <w:r>
              <w:rPr>
                <w:rFonts w:ascii="宋体" w:hAnsi="宋体" w:eastAsia="宋体"/>
                <w:sz w:val="16"/>
              </w:rPr>
              <w:t>涉及征地数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69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DA4C">
            <w:pPr>
              <w:jc w:val="center"/>
            </w:pPr>
            <w:r>
              <w:rPr>
                <w:rFonts w:ascii="宋体" w:hAnsi="宋体" w:eastAsia="宋体"/>
                <w:sz w:val="16"/>
              </w:rPr>
              <w: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CC89">
            <w:pPr>
              <w:jc w:val="center"/>
            </w:pPr>
            <w:r>
              <w:rPr>
                <w:rFonts w:ascii="宋体" w:hAnsi="宋体" w:eastAsia="宋体"/>
                <w:sz w:val="16"/>
              </w:rPr>
              <w:t>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4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56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9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84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B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0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EC9E">
            <w:pPr>
              <w:jc w:val="center"/>
            </w:pPr>
          </w:p>
        </w:tc>
      </w:tr>
      <w:tr w14:paraId="307A7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51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19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6B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21C8">
            <w:pPr>
              <w:jc w:val="center"/>
            </w:pPr>
            <w:r>
              <w:rPr>
                <w:rFonts w:ascii="宋体" w:hAnsi="宋体" w:eastAsia="宋体"/>
                <w:sz w:val="16"/>
              </w:rPr>
              <w:t>涉及征地面积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6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6562">
            <w:pPr>
              <w:jc w:val="center"/>
            </w:pPr>
            <w:r>
              <w:rPr>
                <w:rFonts w:ascii="宋体" w:hAnsi="宋体" w:eastAsia="宋体"/>
                <w:sz w:val="16"/>
              </w:rPr>
              <w:t>=10.60亩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3613">
            <w:pPr>
              <w:jc w:val="center"/>
            </w:pPr>
            <w:r>
              <w:rPr>
                <w:rFonts w:ascii="宋体" w:hAnsi="宋体" w:eastAsia="宋体"/>
                <w:sz w:val="16"/>
              </w:rPr>
              <w:t>10.6亩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B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0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A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6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9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66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A1D0">
            <w:pPr>
              <w:jc w:val="center"/>
            </w:pPr>
          </w:p>
        </w:tc>
      </w:tr>
      <w:tr w14:paraId="24790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CA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EF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6D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AB60">
            <w:pPr>
              <w:jc w:val="center"/>
            </w:pPr>
            <w:r>
              <w:rPr>
                <w:rFonts w:ascii="宋体" w:hAnsi="宋体" w:eastAsia="宋体"/>
                <w:sz w:val="16"/>
              </w:rPr>
              <w:t>征收补贴发放完成率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7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B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7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0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19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5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96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8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7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AECF">
            <w:pPr>
              <w:jc w:val="center"/>
            </w:pPr>
          </w:p>
        </w:tc>
      </w:tr>
      <w:tr w14:paraId="7099F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D5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58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FF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C2DF">
            <w:pPr>
              <w:jc w:val="center"/>
            </w:pPr>
            <w:r>
              <w:rPr>
                <w:rFonts w:ascii="宋体" w:hAnsi="宋体" w:eastAsia="宋体"/>
                <w:sz w:val="16"/>
              </w:rPr>
              <w:t>征收补贴发放及时率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F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3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9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9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0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5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7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1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B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CE3B">
            <w:pPr>
              <w:jc w:val="center"/>
            </w:pPr>
          </w:p>
        </w:tc>
      </w:tr>
      <w:tr w14:paraId="15B20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C7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7A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0D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649C">
            <w:pPr>
              <w:jc w:val="center"/>
            </w:pPr>
            <w:r>
              <w:rPr>
                <w:rFonts w:ascii="宋体" w:hAnsi="宋体" w:eastAsia="宋体"/>
                <w:sz w:val="16"/>
              </w:rPr>
              <w:t>每亩土地补偿金额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11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75E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810E">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76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93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A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3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0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8C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29F1">
            <w:pPr>
              <w:jc w:val="center"/>
            </w:pPr>
          </w:p>
        </w:tc>
      </w:tr>
      <w:tr w14:paraId="76CE1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AF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57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36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44EB">
            <w:pPr>
              <w:jc w:val="center"/>
            </w:pPr>
            <w:r>
              <w:rPr>
                <w:rFonts w:ascii="宋体" w:hAnsi="宋体" w:eastAsia="宋体"/>
                <w:sz w:val="16"/>
              </w:rPr>
              <w:t>对社会发展的促进作用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8E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E8B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246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5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ED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7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35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5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E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4B78">
            <w:pPr>
              <w:jc w:val="center"/>
            </w:pPr>
          </w:p>
        </w:tc>
      </w:tr>
      <w:tr w14:paraId="7FB4B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4C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EC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0E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223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D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B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B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D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A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8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8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20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E4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A6AC">
            <w:pPr>
              <w:jc w:val="center"/>
            </w:pPr>
          </w:p>
        </w:tc>
      </w:tr>
      <w:tr w14:paraId="3BD1C5D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629D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6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CC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636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82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AC1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EE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A77C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FD6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97E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7FDD3"/>
        </w:tc>
      </w:tr>
    </w:tbl>
    <w:p w14:paraId="293237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7AB0C10">
        <w:tblPrEx>
          <w:tblCellMar>
            <w:top w:w="0" w:type="dxa"/>
            <w:left w:w="108" w:type="dxa"/>
            <w:bottom w:w="0" w:type="dxa"/>
            <w:right w:w="108" w:type="dxa"/>
          </w:tblCellMar>
        </w:tblPrEx>
        <w:tc>
          <w:tcPr>
            <w:tcW w:w="8848" w:type="dxa"/>
            <w:gridSpan w:val="14"/>
            <w:vAlign w:val="center"/>
          </w:tcPr>
          <w:p w14:paraId="25D0A1A6">
            <w:pPr>
              <w:jc w:val="center"/>
            </w:pPr>
            <w:r>
              <w:rPr>
                <w:rFonts w:ascii="宋体" w:hAnsi="宋体" w:eastAsia="宋体"/>
                <w:sz w:val="24"/>
              </w:rPr>
              <w:t>项目支出绩效自评表</w:t>
            </w:r>
          </w:p>
        </w:tc>
      </w:tr>
      <w:tr w14:paraId="56AD21E5">
        <w:tblPrEx>
          <w:tblCellMar>
            <w:top w:w="0" w:type="dxa"/>
            <w:left w:w="108" w:type="dxa"/>
            <w:bottom w:w="0" w:type="dxa"/>
            <w:right w:w="108" w:type="dxa"/>
          </w:tblCellMar>
        </w:tblPrEx>
        <w:tc>
          <w:tcPr>
            <w:tcW w:w="8848" w:type="dxa"/>
            <w:gridSpan w:val="14"/>
            <w:vAlign w:val="center"/>
          </w:tcPr>
          <w:p w14:paraId="0C8AA2BA">
            <w:pPr>
              <w:jc w:val="center"/>
            </w:pPr>
            <w:r>
              <w:rPr>
                <w:rFonts w:ascii="宋体" w:hAnsi="宋体" w:eastAsia="宋体"/>
                <w:sz w:val="24"/>
              </w:rPr>
              <w:t>(2024年度)</w:t>
            </w:r>
          </w:p>
        </w:tc>
      </w:tr>
      <w:tr w14:paraId="5787C8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06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9193B5">
            <w:pPr>
              <w:jc w:val="center"/>
            </w:pPr>
            <w:r>
              <w:rPr>
                <w:rFonts w:ascii="宋体" w:hAnsi="宋体" w:eastAsia="宋体"/>
                <w:sz w:val="16"/>
              </w:rPr>
              <w:t>路面破损维修保证金及履约保证金</w:t>
            </w:r>
          </w:p>
        </w:tc>
      </w:tr>
      <w:tr w14:paraId="65B6B5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47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A09387">
            <w:pPr>
              <w:jc w:val="center"/>
            </w:pPr>
            <w:r>
              <w:rPr>
                <w:rFonts w:ascii="宋体" w:hAnsi="宋体" w:eastAsia="宋体"/>
                <w:sz w:val="16"/>
              </w:rPr>
              <w:t>特克斯县交通运输局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191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4B7BD">
            <w:pPr>
              <w:jc w:val="center"/>
            </w:pPr>
            <w:r>
              <w:rPr>
                <w:rFonts w:ascii="宋体" w:hAnsi="宋体" w:eastAsia="宋体"/>
                <w:sz w:val="16"/>
              </w:rPr>
              <w:t>特克斯县交通运输局</w:t>
            </w:r>
          </w:p>
        </w:tc>
      </w:tr>
      <w:tr w14:paraId="2FB50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E2C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538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6DD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21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32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FB2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81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1E71">
            <w:pPr>
              <w:jc w:val="center"/>
            </w:pPr>
            <w:r>
              <w:rPr>
                <w:rFonts w:ascii="宋体" w:hAnsi="宋体" w:eastAsia="宋体"/>
                <w:sz w:val="16"/>
              </w:rPr>
              <w:t>得分</w:t>
            </w:r>
          </w:p>
        </w:tc>
      </w:tr>
      <w:tr w14:paraId="4C195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E5D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A41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4D75">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95912">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7CDF">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08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30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F395">
            <w:pPr>
              <w:jc w:val="center"/>
            </w:pPr>
            <w:r>
              <w:rPr>
                <w:rFonts w:ascii="宋体" w:hAnsi="宋体" w:eastAsia="宋体"/>
                <w:sz w:val="16"/>
              </w:rPr>
              <w:t>10.00</w:t>
            </w:r>
          </w:p>
        </w:tc>
      </w:tr>
      <w:tr w14:paraId="55E2F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D9E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A9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CAC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C2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7F0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0BA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6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A58E">
            <w:pPr>
              <w:jc w:val="center"/>
            </w:pPr>
            <w:r>
              <w:rPr>
                <w:rFonts w:ascii="宋体" w:hAnsi="宋体" w:eastAsia="宋体"/>
                <w:sz w:val="16"/>
              </w:rPr>
              <w:t>—</w:t>
            </w:r>
          </w:p>
        </w:tc>
      </w:tr>
      <w:tr w14:paraId="6102D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793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3E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A572">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606C2">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F75B">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C34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5B7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F647">
            <w:pPr>
              <w:jc w:val="center"/>
            </w:pPr>
            <w:r>
              <w:rPr>
                <w:rFonts w:ascii="宋体" w:hAnsi="宋体" w:eastAsia="宋体"/>
                <w:sz w:val="16"/>
              </w:rPr>
              <w:t>—</w:t>
            </w:r>
          </w:p>
        </w:tc>
      </w:tr>
      <w:tr w14:paraId="3BA06D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1AC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0EF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9DC9FC">
            <w:pPr>
              <w:jc w:val="center"/>
            </w:pPr>
            <w:r>
              <w:rPr>
                <w:rFonts w:ascii="宋体" w:hAnsi="宋体" w:eastAsia="宋体"/>
                <w:sz w:val="16"/>
              </w:rPr>
              <w:t>实际完成情况</w:t>
            </w:r>
          </w:p>
        </w:tc>
      </w:tr>
      <w:tr w14:paraId="38335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41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85471">
            <w:pPr>
              <w:jc w:val="both"/>
            </w:pPr>
            <w:r>
              <w:rPr>
                <w:rFonts w:ascii="宋体" w:hAnsi="宋体" w:eastAsia="宋体"/>
                <w:sz w:val="16"/>
              </w:rPr>
              <w:t>根据本年计划，按要求完成路面破损维修工作，保证如期退还保证金（郭孝文）、按照要求完成特克斯县阔克铁热克乡阔克铁热克村村组道路建设项目（履约保证金）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7195A">
            <w:pPr>
              <w:jc w:val="both"/>
            </w:pPr>
            <w:r>
              <w:rPr>
                <w:rFonts w:ascii="宋体" w:hAnsi="宋体" w:eastAsia="宋体"/>
                <w:sz w:val="16"/>
              </w:rPr>
              <w:t>已按要求完成特克斯县阔克铁热克乡阔克铁热克村村组道路建设项目（履约保证金），因此如期退还保证金。</w:t>
            </w:r>
          </w:p>
        </w:tc>
      </w:tr>
      <w:tr w14:paraId="52A792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6D9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8C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B6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B4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77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B0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897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D7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02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CD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DC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8D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31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82D0">
            <w:pPr>
              <w:jc w:val="center"/>
            </w:pPr>
            <w:r>
              <w:rPr>
                <w:rFonts w:ascii="宋体" w:hAnsi="宋体" w:eastAsia="宋体"/>
                <w:sz w:val="16"/>
              </w:rPr>
              <w:t>偏差原因分析及改进措施</w:t>
            </w:r>
          </w:p>
        </w:tc>
      </w:tr>
      <w:tr w14:paraId="35E8F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D4D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9FE0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D1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363F">
            <w:pPr>
              <w:jc w:val="center"/>
            </w:pPr>
            <w:r>
              <w:rPr>
                <w:rFonts w:ascii="宋体" w:hAnsi="宋体" w:eastAsia="宋体"/>
                <w:sz w:val="16"/>
              </w:rPr>
              <w:t>保障项目个数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4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2D7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611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8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1F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B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F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7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95F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03C3">
            <w:pPr>
              <w:jc w:val="center"/>
            </w:pPr>
          </w:p>
        </w:tc>
      </w:tr>
      <w:tr w14:paraId="7592E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4F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AC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09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22A9">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C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6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4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C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41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4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BF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0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89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1A98">
            <w:pPr>
              <w:jc w:val="center"/>
            </w:pPr>
          </w:p>
        </w:tc>
      </w:tr>
      <w:tr w14:paraId="46B53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83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D1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BE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9C6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D5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6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9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F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92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2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C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1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87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1EC7">
            <w:pPr>
              <w:jc w:val="center"/>
            </w:pPr>
          </w:p>
        </w:tc>
      </w:tr>
      <w:tr w14:paraId="28DE0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2CA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65E5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0CF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C18B">
            <w:pPr>
              <w:jc w:val="center"/>
            </w:pPr>
            <w:r>
              <w:rPr>
                <w:rFonts w:ascii="宋体" w:hAnsi="宋体" w:eastAsia="宋体"/>
                <w:sz w:val="16"/>
              </w:rPr>
              <w:t>路面破损维修经费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8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37F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805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F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1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C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DC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00D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4D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C4BD">
            <w:pPr>
              <w:jc w:val="center"/>
            </w:pPr>
          </w:p>
        </w:tc>
      </w:tr>
      <w:tr w14:paraId="1EF8C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05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73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B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B7E8">
            <w:pPr>
              <w:jc w:val="center"/>
            </w:pPr>
            <w:r>
              <w:rPr>
                <w:rFonts w:ascii="宋体" w:hAnsi="宋体" w:eastAsia="宋体"/>
                <w:sz w:val="16"/>
              </w:rPr>
              <w:t>正常项目履约经费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B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7875">
            <w:pPr>
              <w:jc w:val="center"/>
            </w:pPr>
            <w:r>
              <w:rPr>
                <w:rFonts w:ascii="宋体" w:hAnsi="宋体" w:eastAsia="宋体"/>
                <w:sz w:val="16"/>
              </w:rPr>
              <w:t>&lt;=5.71万元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13F1">
            <w:pPr>
              <w:jc w:val="center"/>
            </w:pPr>
            <w:r>
              <w:rPr>
                <w:rFonts w:ascii="宋体" w:hAnsi="宋体" w:eastAsia="宋体"/>
                <w:sz w:val="16"/>
              </w:rPr>
              <w:t>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9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C0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6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0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D7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41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CCFC">
            <w:pPr>
              <w:jc w:val="center"/>
            </w:pPr>
          </w:p>
        </w:tc>
      </w:tr>
      <w:tr w14:paraId="08A85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2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B3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52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DFF1">
            <w:pPr>
              <w:jc w:val="center"/>
            </w:pPr>
            <w:r>
              <w:rPr>
                <w:rFonts w:ascii="宋体" w:hAnsi="宋体" w:eastAsia="宋体"/>
                <w:sz w:val="16"/>
              </w:rPr>
              <w:t>推动各项工作有序、顺利进行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03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FCCC">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79D5">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3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F7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E6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E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06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77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0C10">
            <w:pPr>
              <w:jc w:val="center"/>
            </w:pPr>
          </w:p>
        </w:tc>
      </w:tr>
      <w:tr w14:paraId="798FB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A3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D8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85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EB2F">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44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30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4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511C">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D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3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1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4D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4D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2C7C">
            <w:pPr>
              <w:jc w:val="center"/>
            </w:pPr>
            <w:r>
              <w:rPr>
                <w:rFonts w:ascii="宋体" w:hAnsi="宋体" w:eastAsia="宋体"/>
                <w:sz w:val="16"/>
              </w:rPr>
              <w:t>此项目完成度较高，干部职工满意度也高于预期值。</w:t>
            </w:r>
          </w:p>
        </w:tc>
      </w:tr>
      <w:tr w14:paraId="2316C5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579B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0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798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C2F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B7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CEB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C110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720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C00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D5D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0981C"/>
        </w:tc>
      </w:tr>
    </w:tbl>
    <w:p w14:paraId="7ADBE248">
      <w:r>
        <w:br w:type="page"/>
      </w:r>
    </w:p>
    <w:p w14:paraId="64A23A81">
      <w:pPr>
        <w:spacing w:line="640" w:lineRule="exact"/>
        <w:ind w:firstLine="640"/>
        <w:jc w:val="both"/>
        <w:outlineLvl w:val="2"/>
      </w:pPr>
      <w:r>
        <w:rPr>
          <w:rFonts w:ascii="黑体" w:hAnsi="黑体" w:eastAsia="黑体"/>
          <w:sz w:val="32"/>
        </w:rPr>
        <w:t>十二、其他需说明的事项</w:t>
      </w:r>
    </w:p>
    <w:p w14:paraId="2862CC7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FEA547E">
      <w:r>
        <w:br w:type="page"/>
      </w:r>
    </w:p>
    <w:p w14:paraId="52B3C1E0">
      <w:pPr>
        <w:spacing w:line="240" w:lineRule="auto"/>
        <w:jc w:val="center"/>
        <w:outlineLvl w:val="1"/>
      </w:pPr>
      <w:r>
        <w:rPr>
          <w:rFonts w:ascii="黑体" w:hAnsi="黑体" w:eastAsia="黑体"/>
          <w:sz w:val="32"/>
        </w:rPr>
        <w:t>第三部分 专业名词解释</w:t>
      </w:r>
    </w:p>
    <w:p w14:paraId="1ED09D4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4BBA3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28C64EA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DEC6C7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DB4C9C2">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AF2AB2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EE3DFC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1BF07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82506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A84FB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22167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E3B141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484F1A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473AE5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0592E19">
      <w:r>
        <w:br w:type="page"/>
      </w:r>
    </w:p>
    <w:p w14:paraId="37496E4C">
      <w:pPr>
        <w:spacing w:line="240" w:lineRule="auto"/>
        <w:jc w:val="center"/>
        <w:outlineLvl w:val="1"/>
      </w:pPr>
      <w:r>
        <w:rPr>
          <w:rFonts w:ascii="黑体" w:hAnsi="黑体" w:eastAsia="黑体"/>
          <w:sz w:val="32"/>
        </w:rPr>
        <w:t>第四部分 部门决算报表（见附表）</w:t>
      </w:r>
    </w:p>
    <w:p w14:paraId="5694617E">
      <w:pPr>
        <w:spacing w:line="240" w:lineRule="auto"/>
        <w:ind w:firstLine="640"/>
        <w:jc w:val="both"/>
      </w:pPr>
      <w:r>
        <w:rPr>
          <w:rFonts w:ascii="仿宋_GB2312" w:hAnsi="仿宋_GB2312" w:eastAsia="仿宋_GB2312"/>
          <w:b w:val="0"/>
          <w:sz w:val="32"/>
        </w:rPr>
        <w:t>一、《收入支出决算总表》</w:t>
      </w:r>
    </w:p>
    <w:p w14:paraId="6EA4B84F">
      <w:pPr>
        <w:spacing w:line="240" w:lineRule="auto"/>
        <w:ind w:firstLine="640"/>
        <w:jc w:val="both"/>
      </w:pPr>
      <w:r>
        <w:rPr>
          <w:rFonts w:ascii="仿宋_GB2312" w:hAnsi="仿宋_GB2312" w:eastAsia="仿宋_GB2312"/>
          <w:b w:val="0"/>
          <w:sz w:val="32"/>
        </w:rPr>
        <w:t>二、《收入决算表》</w:t>
      </w:r>
    </w:p>
    <w:p w14:paraId="0F42E59E">
      <w:pPr>
        <w:spacing w:line="240" w:lineRule="auto"/>
        <w:ind w:firstLine="640"/>
        <w:jc w:val="both"/>
      </w:pPr>
      <w:r>
        <w:rPr>
          <w:rFonts w:ascii="仿宋_GB2312" w:hAnsi="仿宋_GB2312" w:eastAsia="仿宋_GB2312"/>
          <w:b w:val="0"/>
          <w:sz w:val="32"/>
        </w:rPr>
        <w:t>三、《支出决算表》</w:t>
      </w:r>
    </w:p>
    <w:p w14:paraId="355CADCA">
      <w:pPr>
        <w:spacing w:line="240" w:lineRule="auto"/>
        <w:ind w:firstLine="640"/>
        <w:jc w:val="both"/>
      </w:pPr>
      <w:r>
        <w:rPr>
          <w:rFonts w:ascii="仿宋_GB2312" w:hAnsi="仿宋_GB2312" w:eastAsia="仿宋_GB2312"/>
          <w:b w:val="0"/>
          <w:sz w:val="32"/>
        </w:rPr>
        <w:t>四、《财政拨款收入支出决算总表》</w:t>
      </w:r>
    </w:p>
    <w:p w14:paraId="0CCB9BB5">
      <w:pPr>
        <w:spacing w:line="240" w:lineRule="auto"/>
        <w:ind w:firstLine="640"/>
        <w:jc w:val="both"/>
      </w:pPr>
      <w:r>
        <w:rPr>
          <w:rFonts w:ascii="仿宋_GB2312" w:hAnsi="仿宋_GB2312" w:eastAsia="仿宋_GB2312"/>
          <w:b w:val="0"/>
          <w:sz w:val="32"/>
        </w:rPr>
        <w:t>五、《一般公共预算财政拨款支出决算表》</w:t>
      </w:r>
    </w:p>
    <w:p w14:paraId="48ABE7DE">
      <w:pPr>
        <w:spacing w:line="240" w:lineRule="auto"/>
        <w:ind w:firstLine="640"/>
        <w:jc w:val="both"/>
      </w:pPr>
      <w:r>
        <w:rPr>
          <w:rFonts w:ascii="仿宋_GB2312" w:hAnsi="仿宋_GB2312" w:eastAsia="仿宋_GB2312"/>
          <w:b w:val="0"/>
          <w:sz w:val="32"/>
        </w:rPr>
        <w:t>六、《一般公共预算财政拨款基本支出决算表》</w:t>
      </w:r>
    </w:p>
    <w:p w14:paraId="405A93BC">
      <w:pPr>
        <w:spacing w:line="240" w:lineRule="auto"/>
        <w:ind w:firstLine="640"/>
        <w:jc w:val="both"/>
      </w:pPr>
      <w:r>
        <w:rPr>
          <w:rFonts w:ascii="仿宋_GB2312" w:hAnsi="仿宋_GB2312" w:eastAsia="仿宋_GB2312"/>
          <w:b w:val="0"/>
          <w:sz w:val="32"/>
        </w:rPr>
        <w:t>七、《政府性基金预算财政拨款收入支出决算表》</w:t>
      </w:r>
    </w:p>
    <w:p w14:paraId="232BB8EC">
      <w:pPr>
        <w:spacing w:line="240" w:lineRule="auto"/>
        <w:ind w:firstLine="640"/>
        <w:jc w:val="both"/>
      </w:pPr>
      <w:r>
        <w:rPr>
          <w:rFonts w:ascii="仿宋_GB2312" w:hAnsi="仿宋_GB2312" w:eastAsia="仿宋_GB2312"/>
          <w:b w:val="0"/>
          <w:sz w:val="32"/>
        </w:rPr>
        <w:t>八、《国有资本经营预算财政拨款收入支出决算表》</w:t>
      </w:r>
    </w:p>
    <w:p w14:paraId="221CFD22">
      <w:pPr>
        <w:spacing w:line="240" w:lineRule="auto"/>
        <w:ind w:firstLine="640"/>
        <w:jc w:val="both"/>
      </w:pPr>
      <w:r>
        <w:rPr>
          <w:rFonts w:ascii="仿宋_GB2312" w:hAnsi="仿宋_GB2312" w:eastAsia="仿宋_GB2312"/>
          <w:b w:val="0"/>
          <w:sz w:val="32"/>
        </w:rPr>
        <w:t>九、《财政拨款“三公”经费支出决算表》</w:t>
      </w:r>
    </w:p>
    <w:p w14:paraId="6ED8AD06">
      <w:pPr>
        <w:spacing w:line="240" w:lineRule="auto"/>
        <w:ind w:firstLine="640"/>
        <w:jc w:val="both"/>
      </w:pPr>
    </w:p>
    <w:p w14:paraId="100E2E5E">
      <w:pPr>
        <w:spacing w:line="240" w:lineRule="auto"/>
        <w:ind w:firstLine="640"/>
        <w:jc w:val="both"/>
      </w:pPr>
    </w:p>
    <w:p w14:paraId="4DE52FA5">
      <w:pPr>
        <w:spacing w:line="240" w:lineRule="auto"/>
        <w:ind w:firstLine="640"/>
        <w:jc w:val="both"/>
      </w:pPr>
    </w:p>
    <w:p w14:paraId="1078C4C6">
      <w:pPr>
        <w:spacing w:line="240" w:lineRule="auto"/>
        <w:ind w:firstLine="640"/>
        <w:jc w:val="both"/>
      </w:pPr>
    </w:p>
    <w:p w14:paraId="307867A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590F17"/>
    <w:rsid w:val="27CE017C"/>
    <w:rsid w:val="27CF2642"/>
    <w:rsid w:val="282459E2"/>
    <w:rsid w:val="29116777"/>
    <w:rsid w:val="2A053397"/>
    <w:rsid w:val="2A444FB1"/>
    <w:rsid w:val="2A6064E2"/>
    <w:rsid w:val="2C1965E9"/>
    <w:rsid w:val="2D1136DF"/>
    <w:rsid w:val="2DAE0E44"/>
    <w:rsid w:val="2FD27414"/>
    <w:rsid w:val="313F1D52"/>
    <w:rsid w:val="3142223B"/>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F9461B"/>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2420</Words>
  <Characters>2672</Characters>
  <Lines>0</Lines>
  <Paragraphs>0</Paragraphs>
  <TotalTime>12</TotalTime>
  <ScaleCrop>false</ScaleCrop>
  <LinksUpToDate>false</LinksUpToDate>
  <CharactersWithSpaces>2680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