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特克斯县供销合作社联合社2024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8DB1DEE">
      <w:r>
        <w:br w:type="page"/>
      </w:r>
    </w:p>
    <w:p w14:paraId="2A8978E7">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54CC8C8E">
      <w:pPr>
        <w:spacing w:line="640" w:lineRule="exact"/>
        <w:ind w:firstLine="640"/>
        <w:jc w:val="both"/>
        <w:outlineLvl w:val="2"/>
      </w:pPr>
      <w:r>
        <w:rPr>
          <w:rFonts w:ascii="黑体" w:hAnsi="黑体" w:eastAsia="黑体"/>
          <w:sz w:val="32"/>
        </w:rPr>
        <w:t>一、主要职能</w:t>
      </w:r>
    </w:p>
    <w:p w14:paraId="41D1FA4A">
      <w:pPr>
        <w:spacing w:line="580" w:lineRule="exact"/>
        <w:ind w:firstLine="640"/>
        <w:jc w:val="both"/>
      </w:pPr>
      <w:r>
        <w:rPr>
          <w:rFonts w:ascii="仿宋_GB2312" w:hAnsi="仿宋_GB2312" w:eastAsia="仿宋_GB2312"/>
          <w:sz w:val="32"/>
        </w:rPr>
        <w:t>1.贯彻落实党和政府有关农村经济和社会发展的方针、政策和法规</w:t>
      </w:r>
      <w:r>
        <w:rPr>
          <w:rFonts w:hint="eastAsia" w:ascii="仿宋_GB2312" w:hAnsi="仿宋_GB2312" w:eastAsia="仿宋_GB2312"/>
          <w:sz w:val="32"/>
          <w:lang w:eastAsia="zh-CN"/>
        </w:rPr>
        <w:t>；</w:t>
      </w:r>
      <w:r>
        <w:rPr>
          <w:rFonts w:ascii="仿宋_GB2312" w:hAnsi="仿宋_GB2312" w:eastAsia="仿宋_GB2312"/>
          <w:sz w:val="32"/>
        </w:rPr>
        <w:t>研究制定全县供销社和</w:t>
      </w:r>
      <w:r>
        <w:rPr>
          <w:rFonts w:hint="eastAsia" w:ascii="仿宋_GB2312" w:hAnsi="仿宋_GB2312" w:eastAsia="仿宋_GB2312"/>
          <w:sz w:val="32"/>
          <w:lang w:eastAsia="zh-CN"/>
        </w:rPr>
        <w:t>农村集体经济组织</w:t>
      </w:r>
      <w:r>
        <w:rPr>
          <w:rFonts w:ascii="仿宋_GB2312" w:hAnsi="仿宋_GB2312" w:eastAsia="仿宋_GB2312"/>
          <w:sz w:val="32"/>
        </w:rPr>
        <w:t>的发展战略和发展规划。</w:t>
      </w:r>
    </w:p>
    <w:p w14:paraId="1933626F">
      <w:pPr>
        <w:spacing w:line="580" w:lineRule="exact"/>
        <w:ind w:firstLine="640"/>
        <w:jc w:val="both"/>
      </w:pPr>
      <w:r>
        <w:rPr>
          <w:rFonts w:ascii="仿宋_GB2312" w:hAnsi="仿宋_GB2312" w:eastAsia="仿宋_GB2312"/>
          <w:sz w:val="32"/>
        </w:rPr>
        <w:t>2.负责有关农村流通体制改革，发展和完善有关农村农业生产资料和消费品市场体系建设，指导推进有关农村流通现代化及连锁经营、物流配送</w:t>
      </w:r>
      <w:r>
        <w:rPr>
          <w:rFonts w:hint="eastAsia" w:ascii="仿宋_GB2312" w:hAnsi="仿宋_GB2312" w:eastAsia="仿宋_GB2312"/>
          <w:sz w:val="32"/>
          <w:lang w:eastAsia="zh-CN"/>
        </w:rPr>
        <w:t>。</w:t>
      </w:r>
      <w:r>
        <w:rPr>
          <w:rFonts w:ascii="仿宋_GB2312" w:hAnsi="仿宋_GB2312" w:eastAsia="仿宋_GB2312"/>
          <w:sz w:val="32"/>
        </w:rPr>
        <w:t>电子商务等现代流通方式，改造传统经营网络。</w:t>
      </w:r>
    </w:p>
    <w:p w14:paraId="3E41ED99">
      <w:pPr>
        <w:spacing w:line="580" w:lineRule="exact"/>
        <w:ind w:firstLine="640"/>
        <w:jc w:val="both"/>
      </w:pPr>
      <w:r>
        <w:rPr>
          <w:rFonts w:ascii="仿宋_GB2312" w:hAnsi="仿宋_GB2312" w:eastAsia="仿宋_GB2312"/>
          <w:sz w:val="32"/>
        </w:rPr>
        <w:t>3.按照县人民政府授权，负责对重要农业生产资料、农副产品、农药、边销茶、食用盐、工业用盐，烟花爆竹和再生资源的组织、协调和经营管理工作。</w:t>
      </w:r>
    </w:p>
    <w:p w14:paraId="006217FB">
      <w:pPr>
        <w:spacing w:line="580" w:lineRule="exact"/>
        <w:ind w:firstLine="640"/>
        <w:jc w:val="both"/>
      </w:pPr>
      <w:r>
        <w:rPr>
          <w:rFonts w:ascii="仿宋_GB2312" w:hAnsi="仿宋_GB2312" w:eastAsia="仿宋_GB2312"/>
          <w:sz w:val="32"/>
        </w:rPr>
        <w:t>4.贯彻落实《</w:t>
      </w:r>
      <w:r>
        <w:rPr>
          <w:rFonts w:hint="eastAsia" w:ascii="仿宋_GB2312" w:hAnsi="仿宋_GB2312" w:eastAsia="仿宋_GB2312"/>
          <w:sz w:val="32"/>
          <w:lang w:eastAsia="zh-CN"/>
        </w:rPr>
        <w:t>中华人民共和国农民专业合作社法</w:t>
      </w:r>
      <w:r>
        <w:rPr>
          <w:rFonts w:ascii="仿宋_GB2312" w:hAnsi="仿宋_GB2312" w:eastAsia="仿宋_GB2312"/>
          <w:sz w:val="32"/>
        </w:rPr>
        <w:t>》，维护各级供销社、社办企业、农村合作经济组织和全体社员的合法权益。</w:t>
      </w:r>
    </w:p>
    <w:p w14:paraId="17E55CAA">
      <w:pPr>
        <w:spacing w:line="580" w:lineRule="exact"/>
        <w:ind w:firstLine="640"/>
        <w:jc w:val="both"/>
      </w:pPr>
      <w:r>
        <w:rPr>
          <w:rFonts w:ascii="仿宋_GB2312" w:hAnsi="仿宋_GB2312" w:eastAsia="仿宋_GB2312"/>
          <w:sz w:val="32"/>
        </w:rPr>
        <w:t>5.行使县供销社社有资产出资人代表职能，监督社有资产保值增值，对社属控参股企业进行监管。</w:t>
      </w:r>
    </w:p>
    <w:p w14:paraId="4B79B20B">
      <w:pPr>
        <w:spacing w:line="580" w:lineRule="exact"/>
        <w:ind w:firstLine="640"/>
        <w:jc w:val="both"/>
      </w:pPr>
      <w:r>
        <w:rPr>
          <w:rFonts w:ascii="仿宋_GB2312" w:hAnsi="仿宋_GB2312" w:eastAsia="仿宋_GB2312"/>
          <w:sz w:val="32"/>
        </w:rPr>
        <w:t>6.按照干部管理权限，负责县供销社机关及社属控参股企业的干部人事管理工作</w:t>
      </w:r>
      <w:r>
        <w:rPr>
          <w:rFonts w:hint="eastAsia" w:ascii="仿宋_GB2312" w:hAnsi="仿宋_GB2312" w:eastAsia="仿宋_GB2312"/>
          <w:sz w:val="32"/>
          <w:lang w:eastAsia="zh-CN"/>
        </w:rPr>
        <w:t>；</w:t>
      </w:r>
      <w:r>
        <w:rPr>
          <w:rFonts w:ascii="仿宋_GB2312" w:hAnsi="仿宋_GB2312" w:eastAsia="仿宋_GB2312"/>
          <w:sz w:val="32"/>
        </w:rPr>
        <w:t>负责全县供销社系统干部和职工的教育与培训工作</w:t>
      </w:r>
      <w:r>
        <w:rPr>
          <w:rFonts w:hint="eastAsia" w:ascii="仿宋_GB2312" w:hAnsi="仿宋_GB2312" w:eastAsia="仿宋_GB2312"/>
          <w:sz w:val="32"/>
          <w:lang w:eastAsia="zh-CN"/>
        </w:rPr>
        <w:t>；</w:t>
      </w:r>
      <w:r>
        <w:rPr>
          <w:rFonts w:ascii="仿宋_GB2312" w:hAnsi="仿宋_GB2312" w:eastAsia="仿宋_GB2312"/>
          <w:sz w:val="32"/>
        </w:rPr>
        <w:t>指导有关行业协会、学会的工作。</w:t>
      </w:r>
    </w:p>
    <w:p w14:paraId="5A791807">
      <w:pPr>
        <w:spacing w:line="580" w:lineRule="exact"/>
        <w:ind w:firstLine="640"/>
        <w:jc w:val="both"/>
      </w:pPr>
      <w:r>
        <w:rPr>
          <w:rFonts w:ascii="仿宋_GB2312" w:hAnsi="仿宋_GB2312" w:eastAsia="仿宋_GB2312"/>
          <w:sz w:val="32"/>
        </w:rPr>
        <w:t>7.负责县供销社机关及县盐务局，直属企业党的建设、党风廉政建设工作。</w:t>
      </w:r>
    </w:p>
    <w:p w14:paraId="26CDBA54">
      <w:pPr>
        <w:spacing w:line="580" w:lineRule="exact"/>
        <w:ind w:firstLine="640"/>
        <w:jc w:val="both"/>
      </w:pPr>
      <w:r>
        <w:rPr>
          <w:rFonts w:ascii="仿宋_GB2312" w:hAnsi="仿宋_GB2312" w:eastAsia="仿宋_GB2312"/>
          <w:sz w:val="32"/>
        </w:rPr>
        <w:t>8.承办县委、县人民政府和自治州供销合作社交</w:t>
      </w:r>
      <w:r>
        <w:rPr>
          <w:rFonts w:hint="eastAsia" w:ascii="仿宋_GB2312" w:hAnsi="仿宋_GB2312" w:eastAsia="仿宋_GB2312"/>
          <w:sz w:val="32"/>
          <w:lang w:eastAsia="zh-CN"/>
        </w:rPr>
        <w:t>办的其他</w:t>
      </w:r>
      <w:r>
        <w:rPr>
          <w:rFonts w:ascii="仿宋_GB2312" w:hAnsi="仿宋_GB2312" w:eastAsia="仿宋_GB2312"/>
          <w:sz w:val="32"/>
        </w:rPr>
        <w:t>事项。</w:t>
      </w:r>
    </w:p>
    <w:p w14:paraId="0E95C8A0">
      <w:pPr>
        <w:spacing w:line="640" w:lineRule="exact"/>
        <w:ind w:firstLine="640"/>
        <w:jc w:val="both"/>
        <w:outlineLvl w:val="2"/>
      </w:pPr>
      <w:r>
        <w:rPr>
          <w:rFonts w:ascii="黑体" w:hAnsi="黑体" w:eastAsia="黑体"/>
          <w:sz w:val="32"/>
        </w:rPr>
        <w:t>二、机构设置及人员情况</w:t>
      </w:r>
    </w:p>
    <w:p w14:paraId="51DF5096">
      <w:pPr>
        <w:spacing w:line="580" w:lineRule="exact"/>
        <w:ind w:firstLine="640"/>
        <w:jc w:val="both"/>
      </w:pPr>
      <w:r>
        <w:rPr>
          <w:rFonts w:ascii="仿宋_GB2312" w:hAnsi="仿宋_GB2312" w:eastAsia="仿宋_GB2312"/>
          <w:sz w:val="32"/>
        </w:rPr>
        <w:t>特克斯县供销合作社联合社2024年度，实有人数14人，其中：在职人员8人，增加0人；离休人员0人，增加0人；退休人员6人,增加1人。</w:t>
      </w:r>
    </w:p>
    <w:p w14:paraId="0F90B74C">
      <w:pPr>
        <w:spacing w:line="580" w:lineRule="exact"/>
        <w:ind w:firstLine="640"/>
        <w:jc w:val="both"/>
      </w:pPr>
      <w:r>
        <w:rPr>
          <w:rFonts w:ascii="仿宋_GB2312" w:hAnsi="仿宋_GB2312" w:eastAsia="仿宋_GB2312"/>
          <w:sz w:val="32"/>
        </w:rPr>
        <w:t>特克斯县供销合作社联合社无下属预算</w:t>
      </w:r>
      <w:r>
        <w:rPr>
          <w:rFonts w:hint="eastAsia" w:ascii="仿宋_GB2312" w:hAnsi="仿宋_GB2312" w:eastAsia="仿宋_GB2312"/>
          <w:sz w:val="32"/>
          <w:lang w:eastAsia="zh-CN"/>
        </w:rPr>
        <w:t>单位</w:t>
      </w:r>
      <w:r>
        <w:rPr>
          <w:rFonts w:ascii="仿宋_GB2312" w:hAnsi="仿宋_GB2312" w:eastAsia="仿宋_GB2312"/>
          <w:sz w:val="32"/>
        </w:rPr>
        <w:t>，下设2个科室，分别是：综合办公室、业务办公室。</w:t>
      </w:r>
    </w:p>
    <w:p w14:paraId="74013784">
      <w:r>
        <w:br w:type="page"/>
      </w:r>
    </w:p>
    <w:p w14:paraId="342874E2">
      <w:pPr>
        <w:spacing w:line="240" w:lineRule="auto"/>
        <w:jc w:val="center"/>
        <w:outlineLvl w:val="1"/>
      </w:pPr>
      <w:r>
        <w:rPr>
          <w:rFonts w:ascii="黑体" w:hAnsi="黑体" w:eastAsia="黑体"/>
          <w:sz w:val="32"/>
        </w:rPr>
        <w:t>第二部分 部门决算情况说明</w:t>
      </w:r>
    </w:p>
    <w:p w14:paraId="3D5960D5">
      <w:pPr>
        <w:spacing w:line="640" w:lineRule="exact"/>
        <w:ind w:firstLine="640"/>
        <w:jc w:val="both"/>
        <w:outlineLvl w:val="2"/>
      </w:pPr>
      <w:r>
        <w:rPr>
          <w:rFonts w:ascii="黑体" w:hAnsi="黑体" w:eastAsia="黑体"/>
          <w:sz w:val="32"/>
        </w:rPr>
        <w:t>一、收入支出决算总体情况说明</w:t>
      </w:r>
    </w:p>
    <w:p w14:paraId="50EC4944">
      <w:pPr>
        <w:spacing w:line="580" w:lineRule="exact"/>
        <w:ind w:firstLine="640"/>
        <w:jc w:val="both"/>
      </w:pPr>
      <w:r>
        <w:rPr>
          <w:rFonts w:ascii="仿宋_GB2312" w:hAnsi="仿宋_GB2312" w:eastAsia="仿宋_GB2312"/>
          <w:b/>
          <w:sz w:val="32"/>
        </w:rPr>
        <w:t>2024年度收入总计144.20万元，</w:t>
      </w:r>
      <w:r>
        <w:rPr>
          <w:rFonts w:ascii="仿宋_GB2312" w:hAnsi="仿宋_GB2312" w:eastAsia="仿宋_GB2312"/>
          <w:b w:val="0"/>
          <w:sz w:val="32"/>
        </w:rPr>
        <w:t>其中：本年收入合计144.20万元，使用非财政拨款结余（含专用结余）0.00万元，年初结转和结余0.00万元。</w:t>
      </w:r>
    </w:p>
    <w:p w14:paraId="5054517F">
      <w:pPr>
        <w:spacing w:line="580" w:lineRule="exact"/>
        <w:ind w:firstLine="640"/>
        <w:jc w:val="both"/>
      </w:pPr>
      <w:r>
        <w:rPr>
          <w:rFonts w:ascii="仿宋_GB2312" w:hAnsi="仿宋_GB2312" w:eastAsia="仿宋_GB2312"/>
          <w:b/>
          <w:sz w:val="32"/>
        </w:rPr>
        <w:t>2024年度支出总计144.20万元，</w:t>
      </w:r>
      <w:r>
        <w:rPr>
          <w:rFonts w:ascii="仿宋_GB2312" w:hAnsi="仿宋_GB2312" w:eastAsia="仿宋_GB2312"/>
          <w:b w:val="0"/>
          <w:sz w:val="32"/>
        </w:rPr>
        <w:t>其中：本年支出合计144.20万元，结余分配0.00万元，年末结转和结余0.00万元。</w:t>
      </w:r>
    </w:p>
    <w:p w14:paraId="3362D27C">
      <w:pPr>
        <w:spacing w:line="580" w:lineRule="exact"/>
        <w:ind w:firstLine="640"/>
        <w:jc w:val="both"/>
      </w:pPr>
      <w:r>
        <w:rPr>
          <w:rFonts w:ascii="仿宋_GB2312" w:hAnsi="仿宋_GB2312" w:eastAsia="仿宋_GB2312"/>
          <w:b w:val="0"/>
          <w:sz w:val="32"/>
        </w:rPr>
        <w:t>收入支出总体与上年相比，减少10.76万元，下降6.94%，主要原因是：本年在职人员转退休一人，调入一人，工资基数不同，相关人员经费较上年减少。</w:t>
      </w:r>
    </w:p>
    <w:p w14:paraId="574A478F">
      <w:pPr>
        <w:spacing w:line="640" w:lineRule="exact"/>
        <w:ind w:firstLine="640"/>
        <w:jc w:val="both"/>
        <w:outlineLvl w:val="2"/>
      </w:pPr>
      <w:r>
        <w:rPr>
          <w:rFonts w:ascii="黑体" w:hAnsi="黑体" w:eastAsia="黑体"/>
          <w:sz w:val="32"/>
        </w:rPr>
        <w:t>二、收入决算情况说明</w:t>
      </w:r>
    </w:p>
    <w:p w14:paraId="70B61E93">
      <w:pPr>
        <w:spacing w:line="580" w:lineRule="exact"/>
        <w:ind w:firstLine="640"/>
        <w:jc w:val="both"/>
      </w:pPr>
      <w:r>
        <w:rPr>
          <w:rFonts w:ascii="仿宋_GB2312" w:hAnsi="仿宋_GB2312" w:eastAsia="仿宋_GB2312"/>
          <w:b/>
          <w:sz w:val="32"/>
        </w:rPr>
        <w:t>本年收入144.20万元，</w:t>
      </w:r>
      <w:r>
        <w:rPr>
          <w:rFonts w:ascii="仿宋_GB2312" w:hAnsi="仿宋_GB2312" w:eastAsia="仿宋_GB2312"/>
          <w:b w:val="0"/>
          <w:sz w:val="32"/>
        </w:rPr>
        <w:t>其中：财政拨款收入144.20万元，占100.00%；上级补助收入0.00万元，占0.00%；事业收入0.00万元，占0.00%；经营收入0.00万元，占0.00%；附属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4ACEB710">
      <w:pPr>
        <w:spacing w:line="640" w:lineRule="exact"/>
        <w:ind w:firstLine="640"/>
        <w:jc w:val="both"/>
        <w:outlineLvl w:val="2"/>
      </w:pPr>
      <w:r>
        <w:rPr>
          <w:rFonts w:ascii="黑体" w:hAnsi="黑体" w:eastAsia="黑体"/>
          <w:sz w:val="32"/>
        </w:rPr>
        <w:t>三、支出决算情况说明</w:t>
      </w:r>
    </w:p>
    <w:p w14:paraId="069A56A9">
      <w:pPr>
        <w:spacing w:line="580" w:lineRule="exact"/>
        <w:ind w:firstLine="640"/>
        <w:jc w:val="both"/>
      </w:pPr>
      <w:r>
        <w:rPr>
          <w:rFonts w:ascii="仿宋_GB2312" w:hAnsi="仿宋_GB2312" w:eastAsia="仿宋_GB2312"/>
          <w:b/>
          <w:sz w:val="32"/>
        </w:rPr>
        <w:t>本年支出144.20万元，</w:t>
      </w:r>
      <w:r>
        <w:rPr>
          <w:rFonts w:ascii="仿宋_GB2312" w:hAnsi="仿宋_GB2312" w:eastAsia="仿宋_GB2312"/>
          <w:b w:val="0"/>
          <w:sz w:val="32"/>
        </w:rPr>
        <w:t>其中：基本支出144.20万元，占100.00%；项目支出0.00万元，占0.00%；上缴上级支出0.00万元，占0.00%；经营支出0.00万元，占0.00%；对附属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0C4724CB">
      <w:pPr>
        <w:spacing w:line="640" w:lineRule="exact"/>
        <w:ind w:firstLine="640"/>
        <w:jc w:val="both"/>
        <w:outlineLvl w:val="2"/>
      </w:pPr>
      <w:r>
        <w:rPr>
          <w:rFonts w:ascii="黑体" w:hAnsi="黑体" w:eastAsia="黑体"/>
          <w:sz w:val="32"/>
        </w:rPr>
        <w:t>四、财政拨款收入支出决算总体情况说明</w:t>
      </w:r>
    </w:p>
    <w:p w14:paraId="1246299B">
      <w:pPr>
        <w:spacing w:line="580" w:lineRule="exact"/>
        <w:ind w:firstLine="640"/>
        <w:jc w:val="both"/>
      </w:pPr>
      <w:r>
        <w:rPr>
          <w:rFonts w:ascii="仿宋_GB2312" w:hAnsi="仿宋_GB2312" w:eastAsia="仿宋_GB2312"/>
          <w:b/>
          <w:sz w:val="32"/>
        </w:rPr>
        <w:t>2024年度财政拨款收入总计144.20万元，</w:t>
      </w:r>
      <w:r>
        <w:rPr>
          <w:rFonts w:ascii="仿宋_GB2312" w:hAnsi="仿宋_GB2312" w:eastAsia="仿宋_GB2312"/>
          <w:b w:val="0"/>
          <w:sz w:val="32"/>
        </w:rPr>
        <w:t>其中：年初财政拨款结转和结余0.00万元，本年财政拨款收入144.20万元。</w:t>
      </w:r>
      <w:r>
        <w:rPr>
          <w:rFonts w:ascii="仿宋_GB2312" w:hAnsi="仿宋_GB2312" w:eastAsia="仿宋_GB2312"/>
          <w:b/>
          <w:sz w:val="32"/>
        </w:rPr>
        <w:t>财政拨款支出总计144.20万元，</w:t>
      </w:r>
      <w:r>
        <w:rPr>
          <w:rFonts w:ascii="仿宋_GB2312" w:hAnsi="仿宋_GB2312" w:eastAsia="仿宋_GB2312"/>
          <w:b w:val="0"/>
          <w:sz w:val="32"/>
        </w:rPr>
        <w:t>其中：年末财政拨款结转和结余0.00万元，本年财政拨款支出144.20万元。</w:t>
      </w:r>
    </w:p>
    <w:p w14:paraId="1EEA8DB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减少10.76万元，下降6.94%，主要原因是：本年在职人员转退休一人，调入一人，工资基数不同，相关人员经费较上年减少。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年初预算数161.96万元，决算数144.20万元，预决算差异率-10.97%，主要原因是：本年在职人员转退休一人，调入一人，工资基数不同，年中调减相关人员经费，导致预决算存在差异。</w:t>
      </w:r>
    </w:p>
    <w:p w14:paraId="1C352D2C">
      <w:pPr>
        <w:spacing w:line="640" w:lineRule="exact"/>
        <w:ind w:firstLine="640"/>
        <w:jc w:val="both"/>
        <w:outlineLvl w:val="2"/>
      </w:pPr>
      <w:r>
        <w:rPr>
          <w:rFonts w:ascii="黑体" w:hAnsi="黑体" w:eastAsia="黑体"/>
          <w:sz w:val="32"/>
        </w:rPr>
        <w:t>五、一般公共预算财政拨款支出决算情况说明</w:t>
      </w:r>
    </w:p>
    <w:p w14:paraId="5F8A1AAF">
      <w:pPr>
        <w:spacing w:line="640" w:lineRule="exact"/>
        <w:ind w:firstLine="640"/>
        <w:jc w:val="both"/>
        <w:outlineLvl w:val="3"/>
      </w:pPr>
      <w:r>
        <w:rPr>
          <w:rFonts w:ascii="楷体_GB2312" w:hAnsi="楷体_GB2312" w:eastAsia="楷体_GB2312"/>
          <w:b/>
          <w:sz w:val="32"/>
        </w:rPr>
        <w:t>（一）一般公共预算财政拨款支出决算总体情况</w:t>
      </w:r>
    </w:p>
    <w:p w14:paraId="46BF0B55">
      <w:pPr>
        <w:spacing w:line="580" w:lineRule="exact"/>
        <w:ind w:firstLine="640"/>
        <w:jc w:val="both"/>
      </w:pPr>
      <w:r>
        <w:rPr>
          <w:rFonts w:ascii="仿宋_GB2312" w:hAnsi="仿宋_GB2312" w:eastAsia="仿宋_GB2312"/>
          <w:b/>
          <w:sz w:val="32"/>
        </w:rPr>
        <w:t>2024年度一般公共预算财政拨款支出144.20万元，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减少10.76万元，下降6.94%，主要原因是：本年在职人员转退休一人，调入一人，工资基数不同，相关人员经费较上年减少。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年初预算数161.96万元，决算数144.20万元，预决算差异率-10.97%，主要原因是：本年在职人员转退休一人，调入一人，工资基数不同，年中调减相关人员经费，导致预决算存在差异。</w:t>
      </w:r>
    </w:p>
    <w:p w14:paraId="22EF0067">
      <w:pPr>
        <w:spacing w:line="640" w:lineRule="exact"/>
        <w:ind w:firstLine="640"/>
        <w:jc w:val="both"/>
        <w:outlineLvl w:val="3"/>
      </w:pPr>
      <w:r>
        <w:rPr>
          <w:rFonts w:ascii="楷体_GB2312" w:hAnsi="楷体_GB2312" w:eastAsia="楷体_GB2312"/>
          <w:b/>
          <w:sz w:val="32"/>
        </w:rPr>
        <w:t>（二）一般公共预算财政拨款支出决算结构情况</w:t>
      </w:r>
    </w:p>
    <w:p w14:paraId="6F0214C1">
      <w:pPr>
        <w:spacing w:line="580" w:lineRule="exact"/>
        <w:ind w:firstLine="640"/>
        <w:jc w:val="both"/>
      </w:pPr>
      <w:r>
        <w:rPr>
          <w:rFonts w:ascii="仿宋_GB2312" w:hAnsi="仿宋_GB2312" w:eastAsia="仿宋_GB2312"/>
          <w:b w:val="0"/>
          <w:sz w:val="32"/>
        </w:rPr>
        <w:t>1.社会保障和就业支出(类)21.07万元,占14.61%。</w:t>
      </w:r>
    </w:p>
    <w:p w14:paraId="577F065F">
      <w:pPr>
        <w:spacing w:line="580" w:lineRule="exact"/>
        <w:ind w:firstLine="640"/>
        <w:jc w:val="both"/>
      </w:pPr>
      <w:r>
        <w:rPr>
          <w:rFonts w:ascii="仿宋_GB2312" w:hAnsi="仿宋_GB2312" w:eastAsia="仿宋_GB2312"/>
          <w:b w:val="0"/>
          <w:sz w:val="32"/>
        </w:rPr>
        <w:t>2.卫生健康支出(类)5.75万元,占3.99%。</w:t>
      </w:r>
    </w:p>
    <w:p w14:paraId="6514BE14">
      <w:pPr>
        <w:spacing w:line="580" w:lineRule="exact"/>
        <w:ind w:firstLine="640"/>
        <w:jc w:val="both"/>
      </w:pPr>
      <w:r>
        <w:rPr>
          <w:rFonts w:ascii="仿宋_GB2312" w:hAnsi="仿宋_GB2312" w:eastAsia="仿宋_GB2312"/>
          <w:b w:val="0"/>
          <w:sz w:val="32"/>
        </w:rPr>
        <w:t>3.商业服务业等支出(类)106.72万元,占74.01%。</w:t>
      </w:r>
    </w:p>
    <w:p w14:paraId="4DE929D1">
      <w:pPr>
        <w:spacing w:line="580" w:lineRule="exact"/>
        <w:ind w:firstLine="640"/>
        <w:jc w:val="both"/>
      </w:pPr>
      <w:r>
        <w:rPr>
          <w:rFonts w:ascii="仿宋_GB2312" w:hAnsi="仿宋_GB2312" w:eastAsia="仿宋_GB2312"/>
          <w:b w:val="0"/>
          <w:sz w:val="32"/>
        </w:rPr>
        <w:t>4.住房保障支出(类)10.67万元,占7.40%。</w:t>
      </w:r>
    </w:p>
    <w:p w14:paraId="516F0D9F">
      <w:pPr>
        <w:spacing w:line="640" w:lineRule="exact"/>
        <w:ind w:firstLine="640"/>
        <w:jc w:val="both"/>
        <w:outlineLvl w:val="3"/>
      </w:pPr>
      <w:r>
        <w:rPr>
          <w:rFonts w:ascii="楷体_GB2312" w:hAnsi="楷体_GB2312" w:eastAsia="楷体_GB2312"/>
          <w:b/>
          <w:sz w:val="32"/>
        </w:rPr>
        <w:t>（三）一般公共预算财政拨款支出决算具体情况</w:t>
      </w:r>
    </w:p>
    <w:p w14:paraId="4F5932A0">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基本养老保险缴费支出(项):支出决算数为14.01万元，比上年决算减少0.39万元，下降2.71%,主要原因是：本年在职人员转退休一人，调入一人，工资基数不同，机关事业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基本养老保险缴费经费较上年减少。</w:t>
      </w:r>
    </w:p>
    <w:p w14:paraId="59545B30">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职业年金缴费支出(项):支出决算数为6.48万元，比上年决算增加6.48万元，增长100.00%,主要原因是：本年新增退休人员，职业年金缴费支出增加。</w:t>
      </w:r>
    </w:p>
    <w:p w14:paraId="7CEDA5ED">
      <w:pPr>
        <w:spacing w:line="580" w:lineRule="exact"/>
        <w:ind w:firstLine="640"/>
        <w:jc w:val="both"/>
      </w:pPr>
      <w:r>
        <w:rPr>
          <w:rFonts w:ascii="仿宋_GB2312" w:hAnsi="仿宋_GB2312" w:eastAsia="仿宋_GB2312"/>
          <w:b w:val="0"/>
          <w:sz w:val="32"/>
        </w:rPr>
        <w:t>3.社会保障和就业支出(类)抚恤(款)死亡抚恤(项):支出决算数为0.58万元，比上年决算增加0.00万元，增长0.00%,主要原因是：遗属补助支出较上年无变化。</w:t>
      </w:r>
    </w:p>
    <w:p w14:paraId="2E975222">
      <w:pPr>
        <w:spacing w:line="580" w:lineRule="exact"/>
        <w:ind w:firstLine="640"/>
        <w:jc w:val="both"/>
      </w:pPr>
      <w:r>
        <w:rPr>
          <w:rFonts w:ascii="仿宋_GB2312" w:hAnsi="仿宋_GB2312" w:eastAsia="仿宋_GB2312"/>
          <w:b w:val="0"/>
          <w:sz w:val="32"/>
        </w:rPr>
        <w:t>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医疗(项):支出决算数为5.66万元，比上年决算减少5.44万元，下降49.01%,主要原因是：本年在职人员转退休一人，调入一人，工资基数不同，医疗保险缴费经费较上年减少。</w:t>
      </w:r>
    </w:p>
    <w:p w14:paraId="2CC63826">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医疗支出(项):支出决算数为0.09万元，比上年决算减少0.10万元，下降52.63%,主要原因是：本年在职人员转退休一人，调入一人，工资基数不同，</w:t>
      </w:r>
      <w:r>
        <w:rPr>
          <w:rFonts w:hint="eastAsia" w:ascii="仿宋_GB2312" w:hAnsi="仿宋_GB2312" w:eastAsia="仿宋_GB2312"/>
          <w:b w:val="0"/>
          <w:sz w:val="32"/>
          <w:lang w:val="en-US" w:eastAsia="zh-CN"/>
        </w:rPr>
        <w:t>大病</w:t>
      </w:r>
      <w:r>
        <w:rPr>
          <w:rFonts w:ascii="仿宋_GB2312" w:hAnsi="仿宋_GB2312" w:eastAsia="仿宋_GB2312"/>
          <w:b w:val="0"/>
          <w:sz w:val="32"/>
        </w:rPr>
        <w:t>医疗保险缴费经费较上年减少。</w:t>
      </w:r>
    </w:p>
    <w:p w14:paraId="4C334415">
      <w:pPr>
        <w:spacing w:line="580" w:lineRule="exact"/>
        <w:ind w:firstLine="640"/>
        <w:jc w:val="both"/>
      </w:pPr>
      <w:r>
        <w:rPr>
          <w:rFonts w:ascii="仿宋_GB2312" w:hAnsi="仿宋_GB2312" w:eastAsia="仿宋_GB2312"/>
          <w:b w:val="0"/>
          <w:sz w:val="32"/>
        </w:rPr>
        <w:t>6.商业服务业等支出(类)商业流通事务(款)事业运行(项):支出决算数为106.72万元，比上年决算减少10.57万元，下降9.01%,主要原因是：本年在职人员转退休一人，调入一人，工资基数不同，相应人员经费较上年减少。本年差旅费较上年减少。</w:t>
      </w:r>
    </w:p>
    <w:p w14:paraId="33E9A5B2">
      <w:pPr>
        <w:spacing w:line="580" w:lineRule="exact"/>
        <w:ind w:firstLine="640"/>
        <w:jc w:val="both"/>
      </w:pPr>
      <w:r>
        <w:rPr>
          <w:rFonts w:ascii="仿宋_GB2312" w:hAnsi="仿宋_GB2312" w:eastAsia="仿宋_GB2312"/>
          <w:b w:val="0"/>
          <w:sz w:val="32"/>
        </w:rPr>
        <w:t>7.住房保障支出(类)住房改革支出(款)住房公积金(项):支出决算数为10.67万元，比上年决算减少0.73万元，下降6.40%,主要原因是：本年在职人员转退休一人，调入一人，工资基数不同，相应住房公积金较上年减少。</w:t>
      </w:r>
    </w:p>
    <w:p w14:paraId="79DAEEA7">
      <w:pPr>
        <w:spacing w:line="640" w:lineRule="exact"/>
        <w:ind w:firstLine="640"/>
        <w:jc w:val="both"/>
        <w:outlineLvl w:val="2"/>
      </w:pPr>
      <w:r>
        <w:rPr>
          <w:rFonts w:ascii="黑体" w:hAnsi="黑体" w:eastAsia="黑体"/>
          <w:sz w:val="32"/>
        </w:rPr>
        <w:t>六、一般公共预算财政拨款基本支出决算情况说明</w:t>
      </w:r>
    </w:p>
    <w:p w14:paraId="4A2577C7">
      <w:pPr>
        <w:spacing w:line="580" w:lineRule="exact"/>
        <w:ind w:firstLine="640"/>
        <w:jc w:val="both"/>
      </w:pPr>
      <w:r>
        <w:rPr>
          <w:rFonts w:ascii="仿宋_GB2312" w:hAnsi="仿宋_GB2312" w:eastAsia="仿宋_GB2312"/>
          <w:b w:val="0"/>
          <w:sz w:val="32"/>
        </w:rPr>
        <w:t>2024年度一般公共预算财政拨款基本支出144.20万元，其中：</w:t>
      </w:r>
      <w:r>
        <w:rPr>
          <w:rFonts w:ascii="仿宋_GB2312" w:hAnsi="仿宋_GB2312" w:eastAsia="仿宋_GB2312"/>
          <w:b/>
          <w:sz w:val="32"/>
        </w:rPr>
        <w:t>人员经费142.38万元，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基本养老保险缴费、职业年金缴费、职工基本医疗保险缴费、其他社会保障缴费、住房公积金、退休费、生活补助。</w:t>
      </w:r>
    </w:p>
    <w:p w14:paraId="448A1DC3">
      <w:pPr>
        <w:spacing w:line="580" w:lineRule="exact"/>
        <w:ind w:firstLine="640"/>
        <w:jc w:val="both"/>
      </w:pPr>
      <w:r>
        <w:rPr>
          <w:rFonts w:ascii="仿宋_GB2312" w:hAnsi="仿宋_GB2312" w:eastAsia="仿宋_GB2312"/>
          <w:b/>
          <w:sz w:val="32"/>
        </w:rPr>
        <w:t>公用经费1.82万元，</w:t>
      </w:r>
      <w:r>
        <w:rPr>
          <w:rFonts w:ascii="仿宋_GB2312" w:hAnsi="仿宋_GB2312" w:eastAsia="仿宋_GB2312"/>
          <w:b w:val="0"/>
          <w:sz w:val="32"/>
        </w:rPr>
        <w:t>包括：办公费、邮电费、差旅费、工会经费。</w:t>
      </w:r>
    </w:p>
    <w:p w14:paraId="77A97C25">
      <w:pPr>
        <w:spacing w:line="640" w:lineRule="exact"/>
        <w:ind w:firstLine="640"/>
        <w:jc w:val="both"/>
        <w:outlineLvl w:val="2"/>
      </w:pPr>
      <w:r>
        <w:rPr>
          <w:rFonts w:ascii="黑体" w:hAnsi="黑体" w:eastAsia="黑体"/>
          <w:sz w:val="32"/>
        </w:rPr>
        <w:t>七、政府性基金预算财政拨款收入支出决算情况说明</w:t>
      </w:r>
    </w:p>
    <w:p w14:paraId="7B4E1833">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646D3572">
      <w:pPr>
        <w:spacing w:line="640" w:lineRule="exact"/>
        <w:ind w:firstLine="640"/>
        <w:jc w:val="both"/>
        <w:outlineLvl w:val="2"/>
      </w:pPr>
      <w:r>
        <w:rPr>
          <w:rFonts w:ascii="黑体" w:hAnsi="黑体" w:eastAsia="黑体"/>
          <w:sz w:val="32"/>
        </w:rPr>
        <w:t>八、国有资本经营预算财政拨款收入支出决算情况说明</w:t>
      </w:r>
    </w:p>
    <w:p w14:paraId="2EE3F787">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1E1DA613">
      <w:pPr>
        <w:spacing w:line="640" w:lineRule="exact"/>
        <w:ind w:firstLine="640"/>
        <w:jc w:val="both"/>
        <w:outlineLvl w:val="2"/>
      </w:pPr>
      <w:r>
        <w:rPr>
          <w:rFonts w:ascii="黑体" w:hAnsi="黑体" w:eastAsia="黑体"/>
          <w:sz w:val="32"/>
        </w:rPr>
        <w:t>九、财政拨款“三公”经费支出决算情况说明</w:t>
      </w:r>
    </w:p>
    <w:p w14:paraId="2AEE1D80">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比上年减少0.25万元，下降100.00%，主要原因是：本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业务用车待报废，本年无公务用车运行维护费。其中：因公出国（境）费支出0.00万元，占0.00%，比上年增加0.00万元，增长0.00%，主要原因是：2023年与2024年均未安排因公出国（境）费支出。公务用车购置及运行维护费支出0.00万元，占0.00%，比上年减少0.25万元，下降100.00%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业务用车待报废，本年无公务用车运行维护费。公务接待费支出0.00万元，占0.00%，比上年增加0.00万元，增长0.00%，主要原因是：2023年与2024年均未安排公务接待费支出。</w:t>
      </w:r>
    </w:p>
    <w:p w14:paraId="23E1FA47">
      <w:pPr>
        <w:spacing w:line="580" w:lineRule="exact"/>
        <w:ind w:firstLine="640"/>
        <w:jc w:val="both"/>
      </w:pPr>
      <w:r>
        <w:rPr>
          <w:rFonts w:ascii="仿宋_GB2312" w:hAnsi="仿宋_GB2312" w:eastAsia="仿宋_GB2312"/>
          <w:b/>
          <w:sz w:val="32"/>
        </w:rPr>
        <w:t>具体情况如下：</w:t>
      </w:r>
    </w:p>
    <w:p w14:paraId="6A5FBAF3">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402C4B5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无公务用车运行维护费。公务用车购置数0辆，公务用车保有量0辆。国有资产占用情况中固定资产车辆1辆，与公务用车保有量差异原因是：本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业务用车待报废，本年</w:t>
      </w:r>
      <w:r>
        <w:rPr>
          <w:rFonts w:hint="eastAsia" w:ascii="仿宋_GB2312" w:hAnsi="仿宋_GB2312" w:eastAsia="仿宋_GB2312"/>
          <w:b w:val="0"/>
          <w:sz w:val="32"/>
          <w:lang w:val="en-US" w:eastAsia="zh-CN"/>
        </w:rPr>
        <w:t>未产生经费支出</w:t>
      </w:r>
      <w:r>
        <w:rPr>
          <w:rFonts w:ascii="仿宋_GB2312" w:hAnsi="仿宋_GB2312" w:eastAsia="仿宋_GB2312"/>
          <w:b w:val="0"/>
          <w:sz w:val="32"/>
        </w:rPr>
        <w:t>。</w:t>
      </w:r>
    </w:p>
    <w:p w14:paraId="65DD7E1B">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6795C59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0D961767">
      <w:pPr>
        <w:spacing w:line="640" w:lineRule="exact"/>
        <w:ind w:firstLine="640"/>
        <w:jc w:val="both"/>
        <w:outlineLvl w:val="2"/>
      </w:pPr>
      <w:r>
        <w:rPr>
          <w:rFonts w:ascii="黑体" w:hAnsi="黑体" w:eastAsia="黑体"/>
          <w:sz w:val="32"/>
        </w:rPr>
        <w:t>十、其他重要事项的情况说明</w:t>
      </w:r>
    </w:p>
    <w:p w14:paraId="5306DB17">
      <w:pPr>
        <w:spacing w:line="640" w:lineRule="exact"/>
        <w:ind w:firstLine="640"/>
        <w:jc w:val="both"/>
        <w:outlineLvl w:val="3"/>
      </w:pPr>
      <w:r>
        <w:rPr>
          <w:rFonts w:ascii="楷体_GB2312" w:hAnsi="楷体_GB2312" w:eastAsia="楷体_GB2312"/>
          <w:b/>
          <w:sz w:val="32"/>
        </w:rPr>
        <w:t>（一）机关运行经费及公用经费支出情况</w:t>
      </w:r>
    </w:p>
    <w:p w14:paraId="2CCA5582">
      <w:pPr>
        <w:spacing w:line="580" w:lineRule="exact"/>
        <w:ind w:firstLine="640"/>
        <w:jc w:val="both"/>
      </w:pPr>
      <w:r>
        <w:rPr>
          <w:rFonts w:ascii="仿宋_GB2312" w:hAnsi="仿宋_GB2312" w:eastAsia="仿宋_GB2312"/>
          <w:b w:val="0"/>
          <w:sz w:val="32"/>
        </w:rPr>
        <w:t>2024年度特克斯县供销合作社联合社（事业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）公用经费支出1.82万元，比上年增加0.14万元，增长8.33%，主要原因是：本年更新、维护补充办公用品，导致公用经费较上年增加。</w:t>
      </w:r>
    </w:p>
    <w:p w14:paraId="19ADBEA0">
      <w:pPr>
        <w:spacing w:line="640" w:lineRule="exact"/>
        <w:ind w:firstLine="640"/>
        <w:jc w:val="both"/>
        <w:outlineLvl w:val="3"/>
      </w:pPr>
      <w:r>
        <w:rPr>
          <w:rFonts w:ascii="楷体_GB2312" w:hAnsi="楷体_GB2312" w:eastAsia="楷体_GB2312"/>
          <w:b/>
          <w:sz w:val="32"/>
        </w:rPr>
        <w:t>（二）政府采购情况</w:t>
      </w:r>
    </w:p>
    <w:p w14:paraId="0608281D">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4167B91">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26CA67B0">
      <w:pPr>
        <w:spacing w:line="640" w:lineRule="exact"/>
        <w:ind w:firstLine="640"/>
        <w:jc w:val="both"/>
        <w:outlineLvl w:val="3"/>
      </w:pPr>
      <w:r>
        <w:rPr>
          <w:rFonts w:ascii="楷体_GB2312" w:hAnsi="楷体_GB2312" w:eastAsia="楷体_GB2312"/>
          <w:b/>
          <w:sz w:val="32"/>
        </w:rPr>
        <w:t>（三）国有资产占用情况说明</w:t>
      </w:r>
    </w:p>
    <w:p w14:paraId="56BBCE2C">
      <w:pPr>
        <w:spacing w:line="580" w:lineRule="exact"/>
        <w:ind w:firstLine="640"/>
        <w:jc w:val="both"/>
      </w:pPr>
      <w:r>
        <w:rPr>
          <w:rFonts w:ascii="仿宋_GB2312" w:hAnsi="仿宋_GB2312" w:eastAsia="仿宋_GB2312"/>
          <w:b w:val="0"/>
          <w:sz w:val="32"/>
        </w:rPr>
        <w:t>截至2024年12月31日，房屋0.00平方米，价值0.00万元。车辆1辆，价值9.34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hAnsi="仿宋_GB2312" w:eastAsia="仿宋_GB2312"/>
          <w:b w:val="0"/>
          <w:sz w:val="32"/>
          <w:lang w:eastAsia="zh-CN"/>
        </w:rPr>
        <w:t>单位</w:t>
      </w:r>
      <w:r>
        <w:rPr>
          <w:rFonts w:ascii="仿宋_GB2312" w:hAnsi="仿宋_GB2312" w:eastAsia="仿宋_GB2312"/>
          <w:b w:val="0"/>
          <w:sz w:val="32"/>
        </w:rPr>
        <w:t>业务用车。单价100万元（含）以上设备（不含车辆）0台（套）。</w:t>
      </w:r>
    </w:p>
    <w:p w14:paraId="41FF0ECE">
      <w:pPr>
        <w:spacing w:line="640" w:lineRule="exact"/>
        <w:ind w:firstLine="640"/>
        <w:jc w:val="both"/>
        <w:outlineLvl w:val="2"/>
      </w:pPr>
      <w:r>
        <w:rPr>
          <w:rFonts w:ascii="黑体" w:hAnsi="黑体" w:eastAsia="黑体"/>
          <w:sz w:val="32"/>
        </w:rPr>
        <w:t>十一、预算绩效的情况说明</w:t>
      </w:r>
    </w:p>
    <w:p w14:paraId="2A74BFC6">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2024年度预算绩效管理形成整体支出绩效自评表1个，全年预算总额144.20万元，实际执行总额144.20万元；预算绩效评价项目0个，全年预算数0.00万元，全年执行数0.00万元。预算绩效管理取得的成效：本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无绩效自评项目。发现的问题及原因：本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无绩效自评项目。下一步改进措施：本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无绩效自评项目。具体附整体支出绩效自评表。</w:t>
      </w:r>
    </w:p>
    <w:p w14:paraId="6734F3F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5883BDD">
        <w:tc>
          <w:tcPr>
            <w:tcW w:w="8840" w:type="dxa"/>
            <w:gridSpan w:val="8"/>
            <w:vAlign w:val="center"/>
          </w:tcPr>
          <w:p w14:paraId="3A8A365F">
            <w:pPr>
              <w:jc w:val="center"/>
            </w:pPr>
            <w:r>
              <w:rPr>
                <w:rFonts w:hint="eastAsia" w:ascii="宋体" w:hAnsi="宋体"/>
                <w:sz w:val="24"/>
                <w:lang w:eastAsia="zh-CN"/>
              </w:rPr>
              <w:t>单位</w:t>
            </w:r>
            <w:r>
              <w:rPr>
                <w:rFonts w:ascii="宋体" w:hAnsi="宋体" w:eastAsia="宋体"/>
                <w:sz w:val="24"/>
              </w:rPr>
              <w:t>整体支出绩效自评表</w:t>
            </w:r>
          </w:p>
        </w:tc>
      </w:tr>
      <w:tr w14:paraId="29A81D95">
        <w:tblPrEx>
          <w:tblCellMar>
            <w:top w:w="0" w:type="dxa"/>
            <w:left w:w="108" w:type="dxa"/>
            <w:bottom w:w="0" w:type="dxa"/>
            <w:right w:w="108" w:type="dxa"/>
          </w:tblCellMar>
        </w:tblPrEx>
        <w:tc>
          <w:tcPr>
            <w:tcW w:w="8840" w:type="dxa"/>
            <w:gridSpan w:val="8"/>
            <w:vAlign w:val="center"/>
          </w:tcPr>
          <w:p w14:paraId="31D1B037">
            <w:pPr>
              <w:jc w:val="center"/>
            </w:pPr>
            <w:r>
              <w:rPr>
                <w:rFonts w:ascii="宋体" w:hAnsi="宋体" w:eastAsia="宋体"/>
                <w:sz w:val="24"/>
              </w:rPr>
              <w:t>（2024年度）</w:t>
            </w:r>
          </w:p>
        </w:tc>
      </w:tr>
      <w:tr w14:paraId="1AC89AB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07611B">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D52AC7">
            <w:pPr>
              <w:jc w:val="center"/>
            </w:pPr>
            <w:r>
              <w:rPr>
                <w:rFonts w:ascii="宋体" w:hAnsi="宋体" w:eastAsia="宋体"/>
                <w:sz w:val="16"/>
              </w:rPr>
              <w:t>特克斯县供销合作社联合社</w:t>
            </w:r>
          </w:p>
        </w:tc>
      </w:tr>
      <w:tr w14:paraId="2C78AB1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4F826">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C73A55">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B2174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F8E54F">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204282">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AD1CF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DD3BB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57F303">
            <w:pPr>
              <w:jc w:val="center"/>
            </w:pPr>
            <w:r>
              <w:rPr>
                <w:rFonts w:ascii="宋体" w:hAnsi="宋体" w:eastAsia="宋体"/>
                <w:sz w:val="16"/>
              </w:rPr>
              <w:t>得分</w:t>
            </w:r>
          </w:p>
        </w:tc>
      </w:tr>
      <w:tr w14:paraId="5F2CC78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9AC6F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F5ED2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A1A791">
            <w:pPr>
              <w:jc w:val="center"/>
            </w:pPr>
            <w:r>
              <w:rPr>
                <w:rFonts w:ascii="宋体" w:hAnsi="宋体" w:eastAsia="宋体"/>
                <w:sz w:val="16"/>
              </w:rPr>
              <w:t>159.96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EEFF6B">
            <w:pPr>
              <w:jc w:val="center"/>
            </w:pPr>
            <w:r>
              <w:rPr>
                <w:rFonts w:ascii="宋体" w:hAnsi="宋体" w:eastAsia="宋体"/>
                <w:sz w:val="16"/>
              </w:rPr>
              <w:t>144.20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38DB6E">
            <w:pPr>
              <w:jc w:val="center"/>
            </w:pPr>
            <w:r>
              <w:rPr>
                <w:rFonts w:ascii="宋体" w:hAnsi="宋体" w:eastAsia="宋体"/>
                <w:sz w:val="16"/>
              </w:rPr>
              <w:t>144.20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22AFA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1375A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77F868">
            <w:pPr>
              <w:jc w:val="center"/>
            </w:pPr>
            <w:r>
              <w:rPr>
                <w:rFonts w:ascii="宋体" w:hAnsi="宋体" w:eastAsia="宋体"/>
                <w:sz w:val="16"/>
              </w:rPr>
              <w:t>10</w:t>
            </w:r>
          </w:p>
        </w:tc>
      </w:tr>
      <w:tr w14:paraId="2EA40B5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5D5B0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B03DFC">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4A205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D06E5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81D57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32F39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A4C33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049AFF">
            <w:pPr>
              <w:jc w:val="center"/>
            </w:pPr>
            <w:r>
              <w:rPr>
                <w:rFonts w:ascii="宋体" w:hAnsi="宋体" w:eastAsia="宋体"/>
                <w:sz w:val="16"/>
              </w:rPr>
              <w:t>-</w:t>
            </w:r>
          </w:p>
        </w:tc>
      </w:tr>
      <w:tr w14:paraId="102A85F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E077F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0D3E1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543DEB">
            <w:pPr>
              <w:jc w:val="center"/>
            </w:pPr>
            <w:r>
              <w:rPr>
                <w:rFonts w:ascii="宋体" w:hAnsi="宋体" w:eastAsia="宋体"/>
                <w:sz w:val="16"/>
              </w:rPr>
              <w:t>159.96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88A897">
            <w:pPr>
              <w:jc w:val="center"/>
            </w:pPr>
            <w:r>
              <w:rPr>
                <w:rFonts w:ascii="宋体" w:hAnsi="宋体" w:eastAsia="宋体"/>
                <w:sz w:val="16"/>
              </w:rPr>
              <w:t>144.20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B335C4">
            <w:pPr>
              <w:jc w:val="center"/>
            </w:pPr>
            <w:r>
              <w:rPr>
                <w:rFonts w:ascii="宋体" w:hAnsi="宋体" w:eastAsia="宋体"/>
                <w:sz w:val="16"/>
              </w:rPr>
              <w:t>144.20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44E6C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91A82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65C7BA">
            <w:pPr>
              <w:jc w:val="center"/>
            </w:pPr>
            <w:r>
              <w:rPr>
                <w:rFonts w:ascii="宋体" w:hAnsi="宋体" w:eastAsia="宋体"/>
                <w:sz w:val="16"/>
              </w:rPr>
              <w:t>-</w:t>
            </w:r>
          </w:p>
        </w:tc>
      </w:tr>
      <w:tr w14:paraId="1A2492F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A9520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4A6E5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37539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BE658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D230E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099D8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479F5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2905D2">
            <w:pPr>
              <w:jc w:val="center"/>
            </w:pPr>
            <w:r>
              <w:rPr>
                <w:rFonts w:ascii="宋体" w:hAnsi="宋体" w:eastAsia="宋体"/>
                <w:sz w:val="16"/>
              </w:rPr>
              <w:t>-</w:t>
            </w:r>
          </w:p>
        </w:tc>
      </w:tr>
      <w:tr w14:paraId="742574C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C31A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7C039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E98941">
            <w:pPr>
              <w:jc w:val="center"/>
            </w:pPr>
            <w:r>
              <w:rPr>
                <w:rFonts w:ascii="宋体" w:hAnsi="宋体" w:eastAsia="宋体"/>
                <w:sz w:val="16"/>
              </w:rPr>
              <w:t>实际完成情况</w:t>
            </w:r>
          </w:p>
        </w:tc>
      </w:tr>
      <w:tr w14:paraId="65F5499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00367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C67D5F">
            <w:pPr>
              <w:jc w:val="both"/>
            </w:pPr>
            <w:r>
              <w:rPr>
                <w:rFonts w:ascii="宋体" w:hAnsi="宋体" w:eastAsia="宋体"/>
                <w:sz w:val="16"/>
              </w:rPr>
              <w:t>深化供销社综合改革，利用好援疆资金和项目资金加快推进基层供销社恢复重建工作。2、积极开展农业社会化服务，发挥供销社“姓农、为农”的本质。3、继续抓好农村电商工作，扩大农村电子商务应用领域、提高应用能力、改善发展环境，在方便农民生产生活、促进农村就业和农民增收、推进乡村振兴等方面取得新成效。4、以项目为抓手，加快对基层社进行升级改造。</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AAFDC9">
            <w:pPr>
              <w:jc w:val="both"/>
            </w:pPr>
            <w:r>
              <w:rPr>
                <w:rFonts w:ascii="宋体" w:hAnsi="宋体" w:eastAsia="宋体"/>
                <w:sz w:val="16"/>
              </w:rPr>
              <w:t>2024年在县委、县人民政府的坚强领导和在州供销社的业务指导下，通过自身努力，改造农资配送中心1个 、新建农资经营网点 1 个、再生资源经营网点1个、农产品经营网点1个，改造2个、日用品消费经营网点（供销超市）1个、农资调运 8000 吨，完成品牌建设1（八卦城黑小麦），打造高质量示范社1个，新建乡村 振兴金融服务网点4个，基层社新建1个，改造提升1个，农村综合服务社改造提升2个，农业社会化服务3.2万亩。</w:t>
            </w:r>
          </w:p>
        </w:tc>
      </w:tr>
      <w:tr w14:paraId="0989C51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14C982">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27CCE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FCD79D">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73DD2B">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D022EB">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59A96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1822BE">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7376F0">
            <w:pPr>
              <w:jc w:val="center"/>
            </w:pPr>
            <w:r>
              <w:rPr>
                <w:rFonts w:ascii="宋体" w:hAnsi="宋体" w:eastAsia="宋体"/>
                <w:sz w:val="16"/>
              </w:rPr>
              <w:t>得分</w:t>
            </w:r>
          </w:p>
        </w:tc>
      </w:tr>
      <w:tr w14:paraId="14E3E0A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2F0C6">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8D1FA">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E3A47F">
            <w:pPr>
              <w:jc w:val="center"/>
            </w:pPr>
            <w:r>
              <w:rPr>
                <w:rFonts w:ascii="宋体" w:hAnsi="宋体" w:eastAsia="宋体"/>
                <w:sz w:val="16"/>
              </w:rPr>
              <w:t>基层供销社恢复重建工作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3D030F">
            <w:pPr>
              <w:jc w:val="center"/>
            </w:pPr>
            <w:r>
              <w:rPr>
                <w:rFonts w:ascii="宋体" w:hAnsi="宋体" w:eastAsia="宋体"/>
                <w:sz w:val="16"/>
              </w:rPr>
              <w:t>&gt;=1个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BCC004">
            <w:pPr>
              <w:jc w:val="center"/>
            </w:pPr>
            <w:r>
              <w:rPr>
                <w:rFonts w:ascii="宋体" w:hAnsi="宋体" w:eastAsia="宋体"/>
                <w:sz w:val="16"/>
              </w:rPr>
              <w:t>特克斯县供销社2023年工作总结和2024年工作思路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7C2CE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0E37FC">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EDAFAB">
            <w:pPr>
              <w:jc w:val="center"/>
            </w:pPr>
            <w:r>
              <w:rPr>
                <w:rFonts w:ascii="宋体" w:hAnsi="宋体" w:eastAsia="宋体"/>
                <w:sz w:val="16"/>
              </w:rPr>
              <w:t>20</w:t>
            </w:r>
          </w:p>
        </w:tc>
      </w:tr>
      <w:tr w14:paraId="62BCB1B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4B7B8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100A4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17553C">
            <w:pPr>
              <w:jc w:val="center"/>
            </w:pPr>
            <w:r>
              <w:rPr>
                <w:rFonts w:ascii="宋体" w:hAnsi="宋体" w:eastAsia="宋体"/>
                <w:sz w:val="16"/>
              </w:rPr>
              <w:t>新建乡镇为民综合服务社</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6AC67D">
            <w:pPr>
              <w:jc w:val="center"/>
            </w:pPr>
            <w:r>
              <w:rPr>
                <w:rFonts w:ascii="宋体" w:hAnsi="宋体" w:eastAsia="宋体"/>
                <w:sz w:val="16"/>
              </w:rPr>
              <w:t>&gt;=1个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94E05E">
            <w:pPr>
              <w:jc w:val="center"/>
            </w:pPr>
            <w:r>
              <w:rPr>
                <w:rFonts w:ascii="宋体" w:hAnsi="宋体" w:eastAsia="宋体"/>
                <w:sz w:val="16"/>
              </w:rPr>
              <w:t>特克斯县供销社2023年工作总结和2024年工作思路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F2CAE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99C8C1">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647BEE">
            <w:pPr>
              <w:jc w:val="center"/>
            </w:pPr>
            <w:r>
              <w:rPr>
                <w:rFonts w:ascii="宋体" w:hAnsi="宋体" w:eastAsia="宋体"/>
                <w:sz w:val="16"/>
              </w:rPr>
              <w:t>20</w:t>
            </w:r>
          </w:p>
        </w:tc>
      </w:tr>
      <w:tr w14:paraId="017E46E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B2241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7DADE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A3810B">
            <w:pPr>
              <w:jc w:val="center"/>
            </w:pPr>
            <w:r>
              <w:rPr>
                <w:rFonts w:ascii="宋体" w:hAnsi="宋体" w:eastAsia="宋体"/>
                <w:sz w:val="16"/>
              </w:rPr>
              <w:t>提升农民专业合作社</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622567">
            <w:pPr>
              <w:jc w:val="center"/>
            </w:pPr>
            <w:r>
              <w:rPr>
                <w:rFonts w:ascii="宋体" w:hAnsi="宋体" w:eastAsia="宋体"/>
                <w:sz w:val="16"/>
              </w:rPr>
              <w:t>&gt;=1个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D2099D">
            <w:pPr>
              <w:jc w:val="center"/>
            </w:pPr>
            <w:r>
              <w:rPr>
                <w:rFonts w:ascii="宋体" w:hAnsi="宋体" w:eastAsia="宋体"/>
                <w:sz w:val="16"/>
              </w:rPr>
              <w:t>特克斯县供销社2023年工作总结和2024年工作思路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3216C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99F10B">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AC00BF">
            <w:pPr>
              <w:jc w:val="center"/>
            </w:pPr>
            <w:r>
              <w:rPr>
                <w:rFonts w:ascii="宋体" w:hAnsi="宋体" w:eastAsia="宋体"/>
                <w:sz w:val="16"/>
              </w:rPr>
              <w:t>15</w:t>
            </w:r>
          </w:p>
        </w:tc>
      </w:tr>
      <w:tr w14:paraId="513B310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E89F9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D6EA6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E32E1F">
            <w:pPr>
              <w:jc w:val="center"/>
            </w:pPr>
            <w:r>
              <w:rPr>
                <w:rFonts w:ascii="宋体" w:hAnsi="宋体" w:eastAsia="宋体"/>
                <w:sz w:val="16"/>
              </w:rPr>
              <w:t>加快对基层社进行升级改造</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55040F">
            <w:pPr>
              <w:jc w:val="center"/>
            </w:pPr>
            <w:r>
              <w:rPr>
                <w:rFonts w:ascii="宋体" w:hAnsi="宋体" w:eastAsia="宋体"/>
                <w:sz w:val="16"/>
              </w:rPr>
              <w:t>&gt;=1个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0E0E10">
            <w:pPr>
              <w:jc w:val="center"/>
            </w:pPr>
            <w:r>
              <w:rPr>
                <w:rFonts w:ascii="宋体" w:hAnsi="宋体" w:eastAsia="宋体"/>
                <w:sz w:val="16"/>
              </w:rPr>
              <w:t>特克斯县供销社2023年工作总结和2024年工作思路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97677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986A60">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B84CE1">
            <w:pPr>
              <w:jc w:val="center"/>
            </w:pPr>
            <w:r>
              <w:rPr>
                <w:rFonts w:ascii="宋体" w:hAnsi="宋体" w:eastAsia="宋体"/>
                <w:sz w:val="16"/>
              </w:rPr>
              <w:t>20</w:t>
            </w:r>
          </w:p>
        </w:tc>
      </w:tr>
      <w:tr w14:paraId="302AC1E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62C18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B092A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C665AC">
            <w:pPr>
              <w:jc w:val="center"/>
            </w:pPr>
            <w:r>
              <w:rPr>
                <w:rFonts w:ascii="宋体" w:hAnsi="宋体" w:eastAsia="宋体"/>
                <w:sz w:val="16"/>
              </w:rPr>
              <w:t>黑小麦种植面积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B043F8">
            <w:pPr>
              <w:jc w:val="center"/>
            </w:pPr>
            <w:r>
              <w:rPr>
                <w:rFonts w:ascii="宋体" w:hAnsi="宋体" w:eastAsia="宋体"/>
                <w:sz w:val="16"/>
              </w:rPr>
              <w:t>&gt;=2万亩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27C6B9">
            <w:pPr>
              <w:jc w:val="center"/>
            </w:pPr>
            <w:r>
              <w:rPr>
                <w:rFonts w:ascii="宋体" w:hAnsi="宋体" w:eastAsia="宋体"/>
                <w:sz w:val="16"/>
              </w:rPr>
              <w:t>特克斯县供销社2023年工作总结和2024年工作思路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67944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8210CC">
            <w:pPr>
              <w:jc w:val="center"/>
            </w:pPr>
            <w:r>
              <w:rPr>
                <w:rFonts w:ascii="宋体" w:hAnsi="宋体" w:eastAsia="宋体"/>
                <w:sz w:val="16"/>
              </w:rPr>
              <w:t>3.2万亩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CE8976">
            <w:pPr>
              <w:jc w:val="center"/>
            </w:pPr>
            <w:r>
              <w:rPr>
                <w:rFonts w:ascii="宋体" w:hAnsi="宋体" w:eastAsia="宋体"/>
                <w:sz w:val="16"/>
              </w:rPr>
              <w:t>15</w:t>
            </w:r>
          </w:p>
        </w:tc>
      </w:tr>
    </w:tbl>
    <w:p w14:paraId="624CD372">
      <w:r>
        <w:br w:type="page"/>
      </w:r>
    </w:p>
    <w:p w14:paraId="2042331E">
      <w:pPr>
        <w:spacing w:line="640" w:lineRule="exact"/>
        <w:ind w:firstLine="640"/>
        <w:jc w:val="both"/>
        <w:outlineLvl w:val="2"/>
      </w:pPr>
      <w:r>
        <w:rPr>
          <w:rFonts w:ascii="黑体" w:hAnsi="黑体" w:eastAsia="黑体"/>
          <w:sz w:val="32"/>
        </w:rPr>
        <w:t>十二、其他需说明的事项</w:t>
      </w:r>
    </w:p>
    <w:p w14:paraId="5CE23CC6">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2024年度无政府采购支出，授予中小企业合同金额0.00万元。</w:t>
      </w:r>
    </w:p>
    <w:p w14:paraId="3B703C9A">
      <w:r>
        <w:br w:type="page"/>
      </w:r>
    </w:p>
    <w:p w14:paraId="760054E2">
      <w:pPr>
        <w:spacing w:line="240" w:lineRule="auto"/>
        <w:jc w:val="center"/>
        <w:outlineLvl w:val="1"/>
      </w:pPr>
      <w:r>
        <w:rPr>
          <w:rFonts w:ascii="黑体" w:hAnsi="黑体" w:eastAsia="黑体"/>
          <w:sz w:val="32"/>
        </w:rPr>
        <w:t>第三部分 专业名词解释</w:t>
      </w:r>
    </w:p>
    <w:p w14:paraId="69EBF8A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B94B08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136D92D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248C5E1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218836E4">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6A3AC7A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4700E92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3313AA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7363EE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51D1A0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9900FD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366679DB">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35497FD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6F33F09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05506931">
      <w:r>
        <w:br w:type="page"/>
      </w:r>
    </w:p>
    <w:p w14:paraId="0F945068">
      <w:pPr>
        <w:spacing w:line="240" w:lineRule="auto"/>
        <w:jc w:val="center"/>
        <w:outlineLvl w:val="1"/>
      </w:pPr>
      <w:r>
        <w:rPr>
          <w:rFonts w:ascii="黑体" w:hAnsi="黑体" w:eastAsia="黑体"/>
          <w:sz w:val="32"/>
        </w:rPr>
        <w:t>第四部分 部门决算报表（见附表）</w:t>
      </w:r>
    </w:p>
    <w:p w14:paraId="5F6EE38D">
      <w:pPr>
        <w:spacing w:line="240" w:lineRule="auto"/>
        <w:ind w:firstLine="640"/>
        <w:jc w:val="both"/>
      </w:pPr>
      <w:r>
        <w:rPr>
          <w:rFonts w:ascii="仿宋_GB2312" w:hAnsi="仿宋_GB2312" w:eastAsia="仿宋_GB2312"/>
          <w:b w:val="0"/>
          <w:sz w:val="32"/>
        </w:rPr>
        <w:t>一、《收入支出决算总表》</w:t>
      </w:r>
    </w:p>
    <w:p w14:paraId="25493B3D">
      <w:pPr>
        <w:spacing w:line="240" w:lineRule="auto"/>
        <w:ind w:firstLine="640"/>
        <w:jc w:val="both"/>
      </w:pPr>
      <w:r>
        <w:rPr>
          <w:rFonts w:ascii="仿宋_GB2312" w:hAnsi="仿宋_GB2312" w:eastAsia="仿宋_GB2312"/>
          <w:b w:val="0"/>
          <w:sz w:val="32"/>
        </w:rPr>
        <w:t>二、《收入决算表》</w:t>
      </w:r>
    </w:p>
    <w:p w14:paraId="54D2E784">
      <w:pPr>
        <w:spacing w:line="240" w:lineRule="auto"/>
        <w:ind w:firstLine="640"/>
        <w:jc w:val="both"/>
      </w:pPr>
      <w:r>
        <w:rPr>
          <w:rFonts w:ascii="仿宋_GB2312" w:hAnsi="仿宋_GB2312" w:eastAsia="仿宋_GB2312"/>
          <w:b w:val="0"/>
          <w:sz w:val="32"/>
        </w:rPr>
        <w:t>三、《支出决算表》</w:t>
      </w:r>
    </w:p>
    <w:p w14:paraId="0829EE9E">
      <w:pPr>
        <w:spacing w:line="240" w:lineRule="auto"/>
        <w:ind w:firstLine="640"/>
        <w:jc w:val="both"/>
      </w:pPr>
      <w:r>
        <w:rPr>
          <w:rFonts w:ascii="仿宋_GB2312" w:hAnsi="仿宋_GB2312" w:eastAsia="仿宋_GB2312"/>
          <w:b w:val="0"/>
          <w:sz w:val="32"/>
        </w:rPr>
        <w:t>四、《财政拨款收入支出决算总表》</w:t>
      </w:r>
    </w:p>
    <w:p w14:paraId="37F9AFFE">
      <w:pPr>
        <w:spacing w:line="240" w:lineRule="auto"/>
        <w:ind w:firstLine="640"/>
        <w:jc w:val="both"/>
      </w:pPr>
      <w:r>
        <w:rPr>
          <w:rFonts w:ascii="仿宋_GB2312" w:hAnsi="仿宋_GB2312" w:eastAsia="仿宋_GB2312"/>
          <w:b w:val="0"/>
          <w:sz w:val="32"/>
        </w:rPr>
        <w:t>五、《一般公共预算财政拨款支出决算表》</w:t>
      </w:r>
    </w:p>
    <w:p w14:paraId="383FB4EC">
      <w:pPr>
        <w:spacing w:line="240" w:lineRule="auto"/>
        <w:ind w:firstLine="640"/>
        <w:jc w:val="both"/>
      </w:pPr>
      <w:r>
        <w:rPr>
          <w:rFonts w:ascii="仿宋_GB2312" w:hAnsi="仿宋_GB2312" w:eastAsia="仿宋_GB2312"/>
          <w:b w:val="0"/>
          <w:sz w:val="32"/>
        </w:rPr>
        <w:t>六、《一般公共预算财政拨款基本支出决算表》</w:t>
      </w:r>
    </w:p>
    <w:p w14:paraId="503B2266">
      <w:pPr>
        <w:spacing w:line="240" w:lineRule="auto"/>
        <w:ind w:firstLine="640"/>
        <w:jc w:val="both"/>
      </w:pPr>
      <w:r>
        <w:rPr>
          <w:rFonts w:ascii="仿宋_GB2312" w:hAnsi="仿宋_GB2312" w:eastAsia="仿宋_GB2312"/>
          <w:b w:val="0"/>
          <w:sz w:val="32"/>
        </w:rPr>
        <w:t>七、《政府性基金预算财政拨款收入支出决算表》</w:t>
      </w:r>
    </w:p>
    <w:p w14:paraId="2B21330D">
      <w:pPr>
        <w:spacing w:line="240" w:lineRule="auto"/>
        <w:ind w:firstLine="640"/>
        <w:jc w:val="both"/>
      </w:pPr>
      <w:r>
        <w:rPr>
          <w:rFonts w:ascii="仿宋_GB2312" w:hAnsi="仿宋_GB2312" w:eastAsia="仿宋_GB2312"/>
          <w:b w:val="0"/>
          <w:sz w:val="32"/>
        </w:rPr>
        <w:t>八、《国有资本经营预算财政拨款收入支出决算表》</w:t>
      </w:r>
    </w:p>
    <w:p w14:paraId="15DC7C9B">
      <w:pPr>
        <w:spacing w:line="240" w:lineRule="auto"/>
        <w:ind w:firstLine="640"/>
        <w:jc w:val="both"/>
      </w:pPr>
      <w:r>
        <w:rPr>
          <w:rFonts w:ascii="仿宋_GB2312" w:hAnsi="仿宋_GB2312" w:eastAsia="仿宋_GB2312"/>
          <w:b w:val="0"/>
          <w:sz w:val="32"/>
        </w:rPr>
        <w:t>九、《财政拨款“三公”经费支出决算表》</w:t>
      </w:r>
    </w:p>
    <w:p w14:paraId="27440DA3">
      <w:pPr>
        <w:spacing w:line="240" w:lineRule="auto"/>
        <w:ind w:firstLine="640"/>
        <w:jc w:val="both"/>
      </w:pPr>
    </w:p>
    <w:p w14:paraId="6BF5C4B3">
      <w:pPr>
        <w:spacing w:line="240" w:lineRule="auto"/>
        <w:ind w:firstLine="640"/>
        <w:jc w:val="both"/>
      </w:pPr>
    </w:p>
    <w:p w14:paraId="69E09103">
      <w:pPr>
        <w:spacing w:line="240" w:lineRule="auto"/>
        <w:ind w:firstLine="640"/>
        <w:jc w:val="both"/>
      </w:pPr>
    </w:p>
    <w:p w14:paraId="7DC6C54B">
      <w:pPr>
        <w:spacing w:line="240" w:lineRule="auto"/>
        <w:ind w:firstLine="640"/>
        <w:jc w:val="both"/>
      </w:pPr>
    </w:p>
    <w:p w14:paraId="1C1324B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BE497D"/>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82101C"/>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79349F"/>
    <w:rsid w:val="69846A0E"/>
    <w:rsid w:val="69AD798C"/>
    <w:rsid w:val="6B68175F"/>
    <w:rsid w:val="6B6963FE"/>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4d64a405-5d7d-4a20-a85e-dbc8a789da56</errorID>
      <errorWord>2月31日</errorWord>
      <group>L1_Sensitive</group>
      <groupName>敏感问题</groupName>
      <ability>L2_UserSensitive</ability>
      <abilityName>自定义敏感词</abilityName>
      <candidateList/>
      <explain>来自自定义敏感词库。</explain>
      <paraID>56BBCE2C</paraID>
      <start>8</start>
      <end>13</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fa6434-ea18-4b33-92e9-359cdfc8f70f}">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4425</Words>
  <Characters>5046</Characters>
  <Lines>0</Lines>
  <Paragraphs>0</Paragraphs>
  <TotalTime>4</TotalTime>
  <ScaleCrop>false</ScaleCrop>
  <LinksUpToDate>false</LinksUpToDate>
  <CharactersWithSpaces>5054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eyJoZGlkIjoiNTBiYjFiYzY0OWM2ODlhYjA1NDAwODJkOGMwZGNkYTMiLCJ1c2VySWQiOiIzNzI2MDMzNTYifQ==</vt:lpwstr>
  </property>
</Properties>
</file>